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29.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5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572" w:rsidRPr="00CB5CC3" w:rsidRDefault="00603572" w:rsidP="0032339D">
      <w:pPr>
        <w:widowControl w:val="0"/>
        <w:shd w:val="clear" w:color="auto" w:fill="FFFFFF"/>
        <w:spacing w:after="0" w:line="240" w:lineRule="auto"/>
        <w:ind w:right="-1"/>
        <w:rPr>
          <w:rFonts w:ascii="Times New Roman" w:hAnsi="Times New Roman" w:cs="Times New Roman"/>
          <w:sz w:val="28"/>
          <w:szCs w:val="28"/>
        </w:rPr>
      </w:pPr>
      <w:bookmarkStart w:id="0" w:name="_GoBack"/>
      <w:bookmarkEnd w:id="0"/>
    </w:p>
    <w:p w:rsidR="00C46FE2" w:rsidRPr="00802D35" w:rsidRDefault="00C46FE2" w:rsidP="00CB5CC3">
      <w:pPr>
        <w:widowControl w:val="0"/>
        <w:shd w:val="clear" w:color="auto" w:fill="FFFFFF"/>
        <w:spacing w:after="0" w:line="240" w:lineRule="auto"/>
        <w:ind w:right="-1"/>
        <w:jc w:val="center"/>
        <w:rPr>
          <w:rFonts w:ascii="Times New Roman" w:hAnsi="Times New Roman"/>
          <w:b/>
          <w:sz w:val="28"/>
          <w:szCs w:val="28"/>
        </w:rPr>
      </w:pPr>
      <w:r w:rsidRPr="00802D35">
        <w:rPr>
          <w:rFonts w:ascii="Times New Roman" w:hAnsi="Times New Roman"/>
          <w:b/>
          <w:sz w:val="28"/>
          <w:szCs w:val="28"/>
        </w:rPr>
        <w:t>Министерство образования и науки Республики Казахстан</w:t>
      </w:r>
    </w:p>
    <w:p w:rsidR="00C46FE2" w:rsidRPr="00802D35" w:rsidRDefault="00C46FE2" w:rsidP="00C46FE2">
      <w:pPr>
        <w:widowControl w:val="0"/>
        <w:shd w:val="clear" w:color="auto" w:fill="FFFFFF"/>
        <w:spacing w:after="0" w:line="240" w:lineRule="auto"/>
        <w:ind w:right="182"/>
        <w:jc w:val="center"/>
        <w:rPr>
          <w:rFonts w:ascii="Times New Roman" w:hAnsi="Times New Roman"/>
          <w:b/>
          <w:sz w:val="28"/>
          <w:szCs w:val="28"/>
        </w:rPr>
      </w:pPr>
    </w:p>
    <w:p w:rsidR="00C46FE2" w:rsidRPr="00802D35" w:rsidRDefault="00C46FE2" w:rsidP="00CB5CC3">
      <w:pPr>
        <w:widowControl w:val="0"/>
        <w:shd w:val="clear" w:color="auto" w:fill="FFFFFF"/>
        <w:spacing w:after="0" w:line="240" w:lineRule="auto"/>
        <w:ind w:right="-1"/>
        <w:jc w:val="center"/>
        <w:rPr>
          <w:rFonts w:ascii="Times New Roman" w:hAnsi="Times New Roman"/>
          <w:b/>
          <w:sz w:val="28"/>
          <w:szCs w:val="28"/>
        </w:rPr>
      </w:pPr>
      <w:r w:rsidRPr="00802D35">
        <w:rPr>
          <w:rFonts w:ascii="Times New Roman" w:hAnsi="Times New Roman"/>
          <w:b/>
          <w:sz w:val="28"/>
          <w:szCs w:val="28"/>
        </w:rPr>
        <w:t>КАСПИЙСКИЙ ОБЩЕСТВЕННЫЙ УНИВЕРСИТЕТ</w:t>
      </w:r>
    </w:p>
    <w:p w:rsidR="00C46FE2" w:rsidRPr="00802D35" w:rsidRDefault="00C46FE2" w:rsidP="00C46FE2">
      <w:pPr>
        <w:widowControl w:val="0"/>
        <w:shd w:val="clear" w:color="auto" w:fill="FFFFFF"/>
        <w:spacing w:after="0" w:line="240" w:lineRule="auto"/>
        <w:ind w:right="182"/>
        <w:jc w:val="center"/>
        <w:rPr>
          <w:rFonts w:ascii="Times New Roman" w:hAnsi="Times New Roman"/>
          <w:b/>
          <w:sz w:val="28"/>
          <w:szCs w:val="28"/>
        </w:rPr>
      </w:pPr>
    </w:p>
    <w:p w:rsidR="00C46FE2" w:rsidRPr="00802D35" w:rsidRDefault="00C46FE2" w:rsidP="00C46FE2">
      <w:pPr>
        <w:widowControl w:val="0"/>
        <w:shd w:val="clear" w:color="auto" w:fill="FFFFFF"/>
        <w:spacing w:after="0" w:line="240" w:lineRule="auto"/>
        <w:ind w:right="182"/>
        <w:rPr>
          <w:rFonts w:ascii="Times New Roman" w:hAnsi="Times New Roman"/>
          <w:sz w:val="28"/>
          <w:szCs w:val="28"/>
        </w:rPr>
      </w:pPr>
    </w:p>
    <w:p w:rsidR="00C46FE2" w:rsidRPr="00802D35" w:rsidRDefault="00C46FE2" w:rsidP="00C46FE2">
      <w:pPr>
        <w:widowControl w:val="0"/>
        <w:shd w:val="clear" w:color="auto" w:fill="FFFFFF"/>
        <w:spacing w:after="0" w:line="240" w:lineRule="auto"/>
        <w:ind w:right="182"/>
        <w:rPr>
          <w:rFonts w:ascii="Times New Roman" w:hAnsi="Times New Roman"/>
          <w:sz w:val="28"/>
          <w:szCs w:val="28"/>
        </w:rPr>
      </w:pPr>
      <w:r w:rsidRPr="00802D35">
        <w:rPr>
          <w:rFonts w:ascii="Times New Roman" w:hAnsi="Times New Roman"/>
          <w:b/>
          <w:sz w:val="28"/>
          <w:szCs w:val="28"/>
        </w:rPr>
        <w:t>УДК</w:t>
      </w:r>
      <w:r w:rsidRPr="00802D35">
        <w:rPr>
          <w:rFonts w:ascii="Times New Roman" w:hAnsi="Times New Roman"/>
          <w:sz w:val="28"/>
          <w:szCs w:val="28"/>
        </w:rPr>
        <w:t xml:space="preserve"> </w:t>
      </w:r>
      <w:r w:rsidR="00CB5CC3" w:rsidRPr="00802D35">
        <w:rPr>
          <w:rFonts w:ascii="Times New Roman" w:hAnsi="Times New Roman"/>
          <w:b/>
          <w:sz w:val="28"/>
          <w:szCs w:val="28"/>
        </w:rPr>
        <w:t>336.717.8</w:t>
      </w:r>
      <w:r w:rsidRPr="00802D35">
        <w:rPr>
          <w:rFonts w:ascii="Times New Roman" w:hAnsi="Times New Roman"/>
          <w:sz w:val="28"/>
          <w:szCs w:val="28"/>
        </w:rPr>
        <w:t xml:space="preserve">                                                                           На правах рукописи</w:t>
      </w:r>
    </w:p>
    <w:p w:rsidR="00C46FE2" w:rsidRPr="00802D35" w:rsidRDefault="00C46FE2" w:rsidP="00C46FE2">
      <w:pPr>
        <w:widowControl w:val="0"/>
        <w:shd w:val="clear" w:color="auto" w:fill="FFFFFF"/>
        <w:spacing w:after="0" w:line="240" w:lineRule="auto"/>
        <w:ind w:right="182"/>
        <w:jc w:val="center"/>
        <w:rPr>
          <w:rFonts w:ascii="Times New Roman" w:hAnsi="Times New Roman"/>
          <w:b/>
          <w:color w:val="FF0000"/>
          <w:spacing w:val="7"/>
          <w:sz w:val="28"/>
          <w:szCs w:val="28"/>
        </w:rPr>
      </w:pPr>
    </w:p>
    <w:p w:rsidR="00C46FE2" w:rsidRPr="00802D35" w:rsidRDefault="00C46FE2" w:rsidP="00C46FE2">
      <w:pPr>
        <w:widowControl w:val="0"/>
        <w:shd w:val="clear" w:color="auto" w:fill="FFFFFF"/>
        <w:spacing w:after="0" w:line="240" w:lineRule="auto"/>
        <w:ind w:right="182"/>
        <w:jc w:val="center"/>
        <w:rPr>
          <w:rFonts w:ascii="Times New Roman" w:hAnsi="Times New Roman"/>
          <w:b/>
          <w:spacing w:val="7"/>
          <w:sz w:val="28"/>
          <w:szCs w:val="28"/>
        </w:rPr>
      </w:pPr>
    </w:p>
    <w:p w:rsidR="00C46FE2" w:rsidRPr="00802D35" w:rsidRDefault="00C46FE2" w:rsidP="00C46FE2">
      <w:pPr>
        <w:widowControl w:val="0"/>
        <w:shd w:val="clear" w:color="auto" w:fill="FFFFFF"/>
        <w:spacing w:after="0" w:line="240" w:lineRule="auto"/>
        <w:ind w:right="182"/>
        <w:jc w:val="center"/>
        <w:rPr>
          <w:rFonts w:ascii="Times New Roman" w:hAnsi="Times New Roman"/>
          <w:b/>
          <w:spacing w:val="7"/>
          <w:sz w:val="28"/>
          <w:szCs w:val="28"/>
        </w:rPr>
      </w:pPr>
    </w:p>
    <w:p w:rsidR="00C46FE2" w:rsidRPr="00802D35" w:rsidRDefault="00C46FE2" w:rsidP="00CB5CC3">
      <w:pPr>
        <w:widowControl w:val="0"/>
        <w:shd w:val="clear" w:color="auto" w:fill="FFFFFF"/>
        <w:spacing w:after="0" w:line="240" w:lineRule="auto"/>
        <w:ind w:right="-1"/>
        <w:jc w:val="center"/>
        <w:rPr>
          <w:rFonts w:ascii="Times New Roman" w:hAnsi="Times New Roman"/>
          <w:b/>
          <w:spacing w:val="7"/>
          <w:sz w:val="28"/>
          <w:szCs w:val="28"/>
        </w:rPr>
      </w:pPr>
      <w:r w:rsidRPr="00802D35">
        <w:rPr>
          <w:rFonts w:ascii="Times New Roman" w:hAnsi="Times New Roman"/>
          <w:b/>
          <w:spacing w:val="7"/>
          <w:sz w:val="28"/>
          <w:szCs w:val="28"/>
        </w:rPr>
        <w:t>Бакашбаев Азатбек Жаркынбек</w:t>
      </w:r>
      <w:r w:rsidR="000C2C64" w:rsidRPr="00802D35">
        <w:rPr>
          <w:rFonts w:ascii="Times New Roman" w:hAnsi="Times New Roman"/>
          <w:b/>
          <w:spacing w:val="7"/>
          <w:sz w:val="28"/>
          <w:szCs w:val="28"/>
        </w:rPr>
        <w:t>улы</w:t>
      </w:r>
    </w:p>
    <w:p w:rsidR="00C46FE2" w:rsidRPr="00802D35" w:rsidRDefault="00C46FE2" w:rsidP="00C46FE2">
      <w:pPr>
        <w:widowControl w:val="0"/>
        <w:shd w:val="clear" w:color="auto" w:fill="FFFFFF"/>
        <w:spacing w:after="0" w:line="240" w:lineRule="auto"/>
        <w:ind w:right="182"/>
        <w:jc w:val="center"/>
        <w:rPr>
          <w:rFonts w:ascii="Times New Roman" w:hAnsi="Times New Roman"/>
          <w:b/>
          <w:spacing w:val="7"/>
          <w:sz w:val="28"/>
          <w:szCs w:val="28"/>
        </w:rPr>
      </w:pPr>
    </w:p>
    <w:p w:rsidR="00C46FE2" w:rsidRPr="00802D35" w:rsidRDefault="00C46FE2" w:rsidP="00C46FE2">
      <w:pPr>
        <w:widowControl w:val="0"/>
        <w:shd w:val="clear" w:color="auto" w:fill="FFFFFF"/>
        <w:spacing w:after="0" w:line="240" w:lineRule="auto"/>
        <w:ind w:right="182"/>
        <w:jc w:val="center"/>
        <w:rPr>
          <w:rFonts w:ascii="Times New Roman" w:hAnsi="Times New Roman"/>
          <w:b/>
          <w:sz w:val="28"/>
          <w:szCs w:val="28"/>
        </w:rPr>
      </w:pPr>
    </w:p>
    <w:p w:rsidR="00C46FE2" w:rsidRPr="00802D35" w:rsidRDefault="00C46FE2" w:rsidP="00CB5CC3">
      <w:pPr>
        <w:widowControl w:val="0"/>
        <w:shd w:val="clear" w:color="auto" w:fill="FFFFFF"/>
        <w:spacing w:after="0" w:line="240" w:lineRule="auto"/>
        <w:ind w:right="-1"/>
        <w:jc w:val="center"/>
        <w:rPr>
          <w:rFonts w:ascii="Times New Roman" w:hAnsi="Times New Roman"/>
          <w:b/>
          <w:spacing w:val="7"/>
          <w:sz w:val="28"/>
          <w:szCs w:val="28"/>
        </w:rPr>
      </w:pPr>
      <w:r w:rsidRPr="00802D35">
        <w:rPr>
          <w:rFonts w:ascii="Times New Roman" w:hAnsi="Times New Roman"/>
          <w:b/>
          <w:sz w:val="28"/>
          <w:szCs w:val="28"/>
        </w:rPr>
        <w:t>Фондирование коммерческих банков: состояние, тенденции, проблемы и перспективы</w:t>
      </w:r>
    </w:p>
    <w:p w:rsidR="00C46FE2" w:rsidRPr="00802D35" w:rsidRDefault="00C46FE2" w:rsidP="00C46FE2">
      <w:pPr>
        <w:pStyle w:val="Default"/>
        <w:widowControl w:val="0"/>
        <w:rPr>
          <w:b/>
          <w:sz w:val="28"/>
          <w:szCs w:val="28"/>
        </w:rPr>
      </w:pPr>
    </w:p>
    <w:p w:rsidR="00C46FE2" w:rsidRPr="00802D35" w:rsidRDefault="00C46FE2" w:rsidP="00CB5CC3">
      <w:pPr>
        <w:widowControl w:val="0"/>
        <w:shd w:val="clear" w:color="auto" w:fill="FFFFFF"/>
        <w:tabs>
          <w:tab w:val="left" w:pos="0"/>
        </w:tabs>
        <w:spacing w:after="0" w:line="240" w:lineRule="auto"/>
        <w:ind w:left="43" w:hanging="43"/>
        <w:jc w:val="center"/>
        <w:rPr>
          <w:rFonts w:ascii="Times New Roman" w:hAnsi="Times New Roman"/>
          <w:sz w:val="28"/>
          <w:szCs w:val="28"/>
        </w:rPr>
      </w:pPr>
      <w:r w:rsidRPr="00802D35">
        <w:rPr>
          <w:rFonts w:ascii="Times New Roman" w:hAnsi="Times New Roman"/>
          <w:sz w:val="28"/>
          <w:szCs w:val="28"/>
        </w:rPr>
        <w:t xml:space="preserve">6D050900 – Финансы </w:t>
      </w:r>
    </w:p>
    <w:p w:rsidR="00C46FE2" w:rsidRPr="00802D35" w:rsidRDefault="00C46FE2" w:rsidP="00C46FE2">
      <w:pPr>
        <w:widowControl w:val="0"/>
        <w:shd w:val="clear" w:color="auto" w:fill="FFFFFF"/>
        <w:tabs>
          <w:tab w:val="left" w:pos="778"/>
        </w:tabs>
        <w:spacing w:after="0" w:line="240" w:lineRule="auto"/>
        <w:ind w:left="43" w:firstLine="384"/>
        <w:jc w:val="center"/>
        <w:rPr>
          <w:rFonts w:ascii="Times New Roman" w:hAnsi="Times New Roman"/>
          <w:sz w:val="28"/>
          <w:szCs w:val="28"/>
        </w:rPr>
      </w:pPr>
    </w:p>
    <w:p w:rsidR="00C46FE2" w:rsidRPr="00802D35" w:rsidRDefault="00C46FE2" w:rsidP="00C46FE2">
      <w:pPr>
        <w:widowControl w:val="0"/>
        <w:shd w:val="clear" w:color="auto" w:fill="FFFFFF"/>
        <w:spacing w:after="0" w:line="240" w:lineRule="auto"/>
        <w:jc w:val="center"/>
        <w:rPr>
          <w:rFonts w:ascii="Times New Roman" w:hAnsi="Times New Roman"/>
          <w:spacing w:val="2"/>
          <w:sz w:val="28"/>
          <w:szCs w:val="28"/>
        </w:rPr>
      </w:pPr>
    </w:p>
    <w:p w:rsidR="00C46FE2" w:rsidRPr="00802D35" w:rsidRDefault="00C46FE2" w:rsidP="00C46FE2">
      <w:pPr>
        <w:pStyle w:val="Default"/>
        <w:widowControl w:val="0"/>
      </w:pPr>
    </w:p>
    <w:p w:rsidR="00C46FE2" w:rsidRPr="00802D35" w:rsidRDefault="00C46FE2" w:rsidP="00C46FE2">
      <w:pPr>
        <w:pStyle w:val="Default"/>
        <w:widowControl w:val="0"/>
        <w:jc w:val="center"/>
        <w:rPr>
          <w:sz w:val="28"/>
          <w:szCs w:val="28"/>
        </w:rPr>
      </w:pPr>
      <w:r w:rsidRPr="00802D35">
        <w:rPr>
          <w:sz w:val="28"/>
          <w:szCs w:val="28"/>
        </w:rPr>
        <w:t>Диссертация на соискание ученой степени</w:t>
      </w:r>
    </w:p>
    <w:p w:rsidR="00C46FE2" w:rsidRPr="00802D35" w:rsidRDefault="00C46FE2" w:rsidP="00C46FE2">
      <w:pPr>
        <w:widowControl w:val="0"/>
        <w:shd w:val="clear" w:color="auto" w:fill="FFFFFF"/>
        <w:spacing w:after="0" w:line="240" w:lineRule="auto"/>
        <w:ind w:left="38"/>
        <w:jc w:val="center"/>
        <w:rPr>
          <w:rFonts w:ascii="Times New Roman" w:hAnsi="Times New Roman"/>
          <w:sz w:val="28"/>
          <w:szCs w:val="28"/>
        </w:rPr>
      </w:pPr>
      <w:r w:rsidRPr="00802D35">
        <w:rPr>
          <w:rFonts w:ascii="Times New Roman" w:hAnsi="Times New Roman"/>
          <w:sz w:val="28"/>
          <w:szCs w:val="28"/>
        </w:rPr>
        <w:t>доктора философии (PhD)</w:t>
      </w:r>
    </w:p>
    <w:p w:rsidR="00C46FE2" w:rsidRPr="00802D35" w:rsidRDefault="00C46FE2" w:rsidP="00C46FE2">
      <w:pPr>
        <w:widowControl w:val="0"/>
        <w:shd w:val="clear" w:color="auto" w:fill="FFFFFF"/>
        <w:spacing w:after="0" w:line="240" w:lineRule="auto"/>
        <w:jc w:val="right"/>
        <w:rPr>
          <w:rFonts w:ascii="Times New Roman" w:hAnsi="Times New Roman"/>
          <w:sz w:val="28"/>
          <w:szCs w:val="28"/>
        </w:rPr>
      </w:pPr>
    </w:p>
    <w:p w:rsidR="00C46FE2" w:rsidRPr="00802D35" w:rsidRDefault="00C46FE2" w:rsidP="00C46FE2">
      <w:pPr>
        <w:widowControl w:val="0"/>
        <w:shd w:val="clear" w:color="auto" w:fill="FFFFFF"/>
        <w:spacing w:after="0" w:line="240" w:lineRule="auto"/>
        <w:jc w:val="right"/>
        <w:rPr>
          <w:rFonts w:ascii="Times New Roman" w:hAnsi="Times New Roman"/>
          <w:sz w:val="28"/>
          <w:szCs w:val="28"/>
        </w:rPr>
      </w:pPr>
    </w:p>
    <w:p w:rsidR="00C46FE2" w:rsidRPr="00802D35" w:rsidRDefault="00C46FE2" w:rsidP="00C46FE2">
      <w:pPr>
        <w:widowControl w:val="0"/>
        <w:shd w:val="clear" w:color="auto" w:fill="FFFFFF"/>
        <w:spacing w:after="0" w:line="240" w:lineRule="auto"/>
        <w:ind w:left="38"/>
        <w:jc w:val="center"/>
        <w:rPr>
          <w:rFonts w:ascii="Times New Roman" w:hAnsi="Times New Roman"/>
          <w:sz w:val="28"/>
          <w:szCs w:val="28"/>
        </w:rPr>
      </w:pPr>
    </w:p>
    <w:p w:rsidR="00C46FE2" w:rsidRPr="00802D35" w:rsidRDefault="00C46FE2" w:rsidP="00C46FE2">
      <w:pPr>
        <w:widowControl w:val="0"/>
        <w:shd w:val="clear" w:color="auto" w:fill="FFFFFF"/>
        <w:tabs>
          <w:tab w:val="left" w:pos="7088"/>
        </w:tabs>
        <w:spacing w:after="0" w:line="240" w:lineRule="auto"/>
        <w:jc w:val="right"/>
        <w:rPr>
          <w:rFonts w:ascii="Times New Roman" w:hAnsi="Times New Roman"/>
          <w:sz w:val="28"/>
          <w:szCs w:val="28"/>
        </w:rPr>
      </w:pPr>
    </w:p>
    <w:p w:rsidR="00C46FE2" w:rsidRPr="00802D35" w:rsidRDefault="00C46FE2" w:rsidP="00C46FE2">
      <w:pPr>
        <w:widowControl w:val="0"/>
        <w:shd w:val="clear" w:color="auto" w:fill="FFFFFF"/>
        <w:tabs>
          <w:tab w:val="left" w:pos="7088"/>
        </w:tabs>
        <w:spacing w:after="0" w:line="240" w:lineRule="auto"/>
        <w:jc w:val="right"/>
        <w:rPr>
          <w:rFonts w:ascii="Times New Roman" w:hAnsi="Times New Roman"/>
          <w:sz w:val="28"/>
          <w:szCs w:val="28"/>
        </w:rPr>
      </w:pPr>
    </w:p>
    <w:p w:rsidR="00C46FE2" w:rsidRPr="00802D35" w:rsidRDefault="00C46FE2" w:rsidP="00C46FE2">
      <w:pPr>
        <w:widowControl w:val="0"/>
        <w:shd w:val="clear" w:color="auto" w:fill="FFFFFF"/>
        <w:tabs>
          <w:tab w:val="left" w:pos="7088"/>
        </w:tabs>
        <w:spacing w:after="0" w:line="240" w:lineRule="auto"/>
        <w:jc w:val="right"/>
        <w:rPr>
          <w:rFonts w:ascii="Times New Roman" w:hAnsi="Times New Roman"/>
          <w:sz w:val="28"/>
          <w:szCs w:val="28"/>
        </w:rPr>
      </w:pPr>
    </w:p>
    <w:p w:rsidR="00C46FE2" w:rsidRPr="00802D35" w:rsidRDefault="00C46FE2" w:rsidP="00C46FE2">
      <w:pPr>
        <w:pStyle w:val="Default"/>
        <w:widowControl w:val="0"/>
      </w:pPr>
    </w:p>
    <w:p w:rsidR="00C46FE2" w:rsidRPr="00802D35" w:rsidRDefault="00C46FE2" w:rsidP="00C46FE2">
      <w:pPr>
        <w:pStyle w:val="Default"/>
        <w:widowControl w:val="0"/>
        <w:jc w:val="right"/>
        <w:rPr>
          <w:sz w:val="28"/>
          <w:szCs w:val="28"/>
        </w:rPr>
      </w:pPr>
      <w:r w:rsidRPr="00802D35">
        <w:t xml:space="preserve"> </w:t>
      </w:r>
      <w:r w:rsidRPr="00802D35">
        <w:rPr>
          <w:sz w:val="28"/>
          <w:szCs w:val="28"/>
        </w:rPr>
        <w:t xml:space="preserve">Научные консультанты </w:t>
      </w:r>
    </w:p>
    <w:p w:rsidR="00C46FE2" w:rsidRPr="00802D35" w:rsidRDefault="00C46FE2" w:rsidP="00C46FE2">
      <w:pPr>
        <w:pStyle w:val="Default"/>
        <w:widowControl w:val="0"/>
        <w:jc w:val="right"/>
        <w:rPr>
          <w:sz w:val="28"/>
          <w:szCs w:val="28"/>
        </w:rPr>
      </w:pPr>
      <w:r w:rsidRPr="00802D35">
        <w:rPr>
          <w:sz w:val="28"/>
          <w:szCs w:val="28"/>
        </w:rPr>
        <w:t xml:space="preserve">к.э.н., PhD Нургалиева А.М. </w:t>
      </w:r>
    </w:p>
    <w:p w:rsidR="00C46FE2" w:rsidRPr="00802D35" w:rsidRDefault="00C46FE2" w:rsidP="00C46FE2">
      <w:pPr>
        <w:pStyle w:val="Default"/>
        <w:widowControl w:val="0"/>
        <w:jc w:val="right"/>
        <w:rPr>
          <w:sz w:val="28"/>
          <w:szCs w:val="28"/>
        </w:rPr>
      </w:pPr>
      <w:r w:rsidRPr="00802D35">
        <w:rPr>
          <w:sz w:val="28"/>
          <w:szCs w:val="28"/>
        </w:rPr>
        <w:t>PhD  Петр Хайек</w:t>
      </w:r>
    </w:p>
    <w:p w:rsidR="00C46FE2" w:rsidRPr="00802D35" w:rsidRDefault="00C46FE2" w:rsidP="00C46FE2">
      <w:pPr>
        <w:pStyle w:val="Default"/>
        <w:widowControl w:val="0"/>
        <w:jc w:val="center"/>
        <w:rPr>
          <w:sz w:val="28"/>
          <w:szCs w:val="28"/>
        </w:rPr>
      </w:pPr>
    </w:p>
    <w:p w:rsidR="00C46FE2" w:rsidRPr="00802D35" w:rsidRDefault="00C46FE2" w:rsidP="00C46FE2">
      <w:pPr>
        <w:pStyle w:val="Default"/>
        <w:widowControl w:val="0"/>
        <w:jc w:val="center"/>
        <w:rPr>
          <w:sz w:val="28"/>
          <w:szCs w:val="28"/>
        </w:rPr>
      </w:pPr>
    </w:p>
    <w:p w:rsidR="00603572" w:rsidRPr="00802D35" w:rsidRDefault="00603572" w:rsidP="00603572">
      <w:pPr>
        <w:widowControl w:val="0"/>
        <w:shd w:val="clear" w:color="auto" w:fill="FFFFFF"/>
        <w:spacing w:after="0" w:line="240" w:lineRule="auto"/>
        <w:ind w:right="182"/>
        <w:rPr>
          <w:rFonts w:ascii="Times New Roman" w:hAnsi="Times New Roman" w:cs="Times New Roman"/>
          <w:sz w:val="28"/>
          <w:szCs w:val="28"/>
        </w:rPr>
      </w:pPr>
    </w:p>
    <w:p w:rsidR="00603572" w:rsidRPr="00802D35" w:rsidRDefault="00603572" w:rsidP="00603572">
      <w:pPr>
        <w:widowControl w:val="0"/>
        <w:shd w:val="clear" w:color="auto" w:fill="FFFFFF"/>
        <w:spacing w:after="0" w:line="240" w:lineRule="auto"/>
        <w:ind w:right="182"/>
        <w:rPr>
          <w:rFonts w:ascii="Times New Roman" w:hAnsi="Times New Roman" w:cs="Times New Roman"/>
          <w:sz w:val="28"/>
          <w:szCs w:val="28"/>
        </w:rPr>
      </w:pPr>
    </w:p>
    <w:p w:rsidR="00603572" w:rsidRPr="00802D35" w:rsidRDefault="00603572" w:rsidP="00603572">
      <w:pPr>
        <w:widowControl w:val="0"/>
        <w:shd w:val="clear" w:color="auto" w:fill="FFFFFF"/>
        <w:spacing w:after="0" w:line="240" w:lineRule="auto"/>
        <w:jc w:val="right"/>
        <w:rPr>
          <w:rFonts w:ascii="Times New Roman" w:hAnsi="Times New Roman" w:cs="Times New Roman"/>
          <w:sz w:val="28"/>
          <w:szCs w:val="28"/>
        </w:rPr>
      </w:pPr>
    </w:p>
    <w:p w:rsidR="00603572" w:rsidRPr="00802D35" w:rsidRDefault="00603572" w:rsidP="00603572">
      <w:pPr>
        <w:widowControl w:val="0"/>
        <w:shd w:val="clear" w:color="auto" w:fill="FFFFFF"/>
        <w:spacing w:after="0" w:line="240" w:lineRule="auto"/>
        <w:jc w:val="right"/>
        <w:rPr>
          <w:rFonts w:ascii="Times New Roman" w:hAnsi="Times New Roman" w:cs="Times New Roman"/>
          <w:sz w:val="28"/>
          <w:szCs w:val="28"/>
        </w:rPr>
      </w:pPr>
    </w:p>
    <w:p w:rsidR="00603572" w:rsidRPr="00802D35" w:rsidRDefault="00603572" w:rsidP="00603572">
      <w:pPr>
        <w:widowControl w:val="0"/>
        <w:shd w:val="clear" w:color="auto" w:fill="FFFFFF"/>
        <w:spacing w:after="0" w:line="240" w:lineRule="auto"/>
        <w:ind w:left="38"/>
        <w:jc w:val="center"/>
        <w:rPr>
          <w:rFonts w:ascii="Times New Roman" w:hAnsi="Times New Roman" w:cs="Times New Roman"/>
          <w:sz w:val="28"/>
          <w:szCs w:val="28"/>
        </w:rPr>
      </w:pPr>
    </w:p>
    <w:p w:rsidR="00603572" w:rsidRPr="00802D35" w:rsidRDefault="00603572" w:rsidP="00603572">
      <w:pPr>
        <w:widowControl w:val="0"/>
        <w:shd w:val="clear" w:color="auto" w:fill="FFFFFF"/>
        <w:tabs>
          <w:tab w:val="left" w:pos="7088"/>
        </w:tabs>
        <w:spacing w:after="0" w:line="240" w:lineRule="auto"/>
        <w:jc w:val="right"/>
        <w:rPr>
          <w:rFonts w:ascii="Times New Roman" w:hAnsi="Times New Roman" w:cs="Times New Roman"/>
          <w:sz w:val="28"/>
          <w:szCs w:val="28"/>
        </w:rPr>
      </w:pPr>
    </w:p>
    <w:p w:rsidR="00603572" w:rsidRPr="00802D35" w:rsidRDefault="00603572" w:rsidP="00603572">
      <w:pPr>
        <w:widowControl w:val="0"/>
        <w:shd w:val="clear" w:color="auto" w:fill="FFFFFF"/>
        <w:tabs>
          <w:tab w:val="left" w:pos="7088"/>
        </w:tabs>
        <w:spacing w:after="0" w:line="240" w:lineRule="auto"/>
        <w:jc w:val="right"/>
        <w:rPr>
          <w:rFonts w:ascii="Times New Roman" w:hAnsi="Times New Roman" w:cs="Times New Roman"/>
          <w:sz w:val="28"/>
          <w:szCs w:val="28"/>
        </w:rPr>
      </w:pPr>
    </w:p>
    <w:p w:rsidR="00603572" w:rsidRPr="00802D35" w:rsidRDefault="00603572" w:rsidP="00603572">
      <w:pPr>
        <w:widowControl w:val="0"/>
        <w:shd w:val="clear" w:color="auto" w:fill="FFFFFF"/>
        <w:tabs>
          <w:tab w:val="left" w:pos="7088"/>
        </w:tabs>
        <w:spacing w:after="0" w:line="240" w:lineRule="auto"/>
        <w:jc w:val="right"/>
        <w:rPr>
          <w:rFonts w:ascii="Times New Roman" w:hAnsi="Times New Roman" w:cs="Times New Roman"/>
          <w:sz w:val="28"/>
          <w:szCs w:val="28"/>
        </w:rPr>
      </w:pPr>
    </w:p>
    <w:p w:rsidR="00603572" w:rsidRPr="00802D35" w:rsidRDefault="00603572" w:rsidP="00603572">
      <w:pPr>
        <w:pStyle w:val="Default"/>
        <w:widowControl w:val="0"/>
      </w:pPr>
    </w:p>
    <w:p w:rsidR="00603572" w:rsidRPr="00802D35" w:rsidRDefault="005368DA" w:rsidP="00603572">
      <w:pPr>
        <w:widowControl w:val="0"/>
        <w:spacing w:after="0" w:line="240" w:lineRule="auto"/>
        <w:rPr>
          <w:rFonts w:ascii="Times New Roman" w:hAnsi="Times New Roman" w:cs="Times New Roman"/>
          <w:b/>
          <w:sz w:val="28"/>
          <w:szCs w:val="28"/>
        </w:rPr>
      </w:pPr>
      <w:r>
        <w:rPr>
          <w:noProof/>
          <w:sz w:val="28"/>
          <w:szCs w:val="28"/>
          <w:lang w:eastAsia="ru-RU"/>
        </w:rPr>
        <mc:AlternateContent>
          <mc:Choice Requires="wps">
            <w:drawing>
              <wp:anchor distT="0" distB="0" distL="114300" distR="114300" simplePos="0" relativeHeight="251807744" behindDoc="0" locked="0" layoutInCell="1" allowOverlap="1">
                <wp:simplePos x="0" y="0"/>
                <wp:positionH relativeFrom="column">
                  <wp:posOffset>1810385</wp:posOffset>
                </wp:positionH>
                <wp:positionV relativeFrom="paragraph">
                  <wp:posOffset>1270</wp:posOffset>
                </wp:positionV>
                <wp:extent cx="2447290" cy="823595"/>
                <wp:effectExtent l="0" t="0" r="9525" b="5715"/>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823595"/>
                        </a:xfrm>
                        <a:prstGeom prst="rect">
                          <a:avLst/>
                        </a:prstGeom>
                        <a:solidFill>
                          <a:srgbClr val="FFFFFF"/>
                        </a:solidFill>
                        <a:ln w="9525">
                          <a:noFill/>
                          <a:miter lim="800000"/>
                          <a:headEnd/>
                          <a:tailEnd/>
                        </a:ln>
                      </wps:spPr>
                      <wps:txbx>
                        <w:txbxContent>
                          <w:p w:rsidR="000C2C64" w:rsidRPr="00156E07" w:rsidRDefault="000C2C64" w:rsidP="00603572">
                            <w:pPr>
                              <w:pStyle w:val="Default"/>
                              <w:widowControl w:val="0"/>
                              <w:jc w:val="center"/>
                              <w:rPr>
                                <w:sz w:val="28"/>
                                <w:szCs w:val="28"/>
                              </w:rPr>
                            </w:pPr>
                            <w:r w:rsidRPr="00156E07">
                              <w:rPr>
                                <w:sz w:val="28"/>
                                <w:szCs w:val="28"/>
                              </w:rPr>
                              <w:t>Республика Казахстан</w:t>
                            </w:r>
                          </w:p>
                          <w:p w:rsidR="000C2C64" w:rsidRPr="00156E07" w:rsidRDefault="000C2C64" w:rsidP="00603572">
                            <w:pPr>
                              <w:widowControl w:val="0"/>
                              <w:shd w:val="clear" w:color="auto" w:fill="FFFFFF"/>
                              <w:spacing w:after="0" w:line="240" w:lineRule="auto"/>
                              <w:ind w:left="38"/>
                              <w:jc w:val="center"/>
                              <w:rPr>
                                <w:rFonts w:ascii="Times New Roman" w:hAnsi="Times New Roman" w:cs="Times New Roman"/>
                                <w:sz w:val="28"/>
                                <w:szCs w:val="28"/>
                              </w:rPr>
                            </w:pPr>
                            <w:r w:rsidRPr="00156E07">
                              <w:rPr>
                                <w:rFonts w:ascii="Times New Roman" w:hAnsi="Times New Roman" w:cs="Times New Roman"/>
                                <w:sz w:val="28"/>
                                <w:szCs w:val="28"/>
                              </w:rPr>
                              <w:t>Алматы, 20</w:t>
                            </w:r>
                            <w:r>
                              <w:rPr>
                                <w:rFonts w:ascii="Times New Roman" w:hAnsi="Times New Roman" w:cs="Times New Roman"/>
                                <w:sz w:val="28"/>
                                <w:szCs w:val="28"/>
                              </w:rPr>
                              <w:t>21</w:t>
                            </w:r>
                          </w:p>
                          <w:p w:rsidR="000C2C64" w:rsidRDefault="000C2C64" w:rsidP="0060357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42.55pt;margin-top:.1pt;width:192.7pt;height:64.85pt;z-index:251807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" stroked="f">
                <v:textbox style="mso-fit-shape-to-text:t">
                  <w:txbxContent>
                    <w:p w:rsidR="000C2C64" w:rsidRPr="00156E07" w:rsidRDefault="000C2C64" w:rsidP="00603572">
                      <w:pPr>
                        <w:pStyle w:val="Default"/>
                        <w:widowControl w:val="0"/>
                        <w:jc w:val="center"/>
                        <w:rPr>
                          <w:sz w:val="28"/>
                          <w:szCs w:val="28"/>
                        </w:rPr>
                      </w:pPr>
                      <w:r w:rsidRPr="00156E07">
                        <w:rPr>
                          <w:sz w:val="28"/>
                          <w:szCs w:val="28"/>
                        </w:rPr>
                        <w:t>Республика Казахстан</w:t>
                      </w:r>
                    </w:p>
                    <w:p w:rsidR="000C2C64" w:rsidRPr="00156E07" w:rsidRDefault="000C2C64" w:rsidP="00603572">
                      <w:pPr>
                        <w:widowControl w:val="0"/>
                        <w:shd w:val="clear" w:color="auto" w:fill="FFFFFF"/>
                        <w:spacing w:after="0" w:line="240" w:lineRule="auto"/>
                        <w:ind w:left="38"/>
                        <w:jc w:val="center"/>
                        <w:rPr>
                          <w:rFonts w:ascii="Times New Roman" w:hAnsi="Times New Roman" w:cs="Times New Roman"/>
                          <w:sz w:val="28"/>
                          <w:szCs w:val="28"/>
                        </w:rPr>
                      </w:pPr>
                      <w:r w:rsidRPr="00156E07">
                        <w:rPr>
                          <w:rFonts w:ascii="Times New Roman" w:hAnsi="Times New Roman" w:cs="Times New Roman"/>
                          <w:sz w:val="28"/>
                          <w:szCs w:val="28"/>
                        </w:rPr>
                        <w:t>Алматы, 20</w:t>
                      </w:r>
                      <w:r>
                        <w:rPr>
                          <w:rFonts w:ascii="Times New Roman" w:hAnsi="Times New Roman" w:cs="Times New Roman"/>
                          <w:sz w:val="28"/>
                          <w:szCs w:val="28"/>
                        </w:rPr>
                        <w:t>21</w:t>
                      </w:r>
                    </w:p>
                    <w:p w:rsidR="000C2C64" w:rsidRDefault="000C2C64" w:rsidP="00603572"/>
                  </w:txbxContent>
                </v:textbox>
              </v:shape>
            </w:pict>
          </mc:Fallback>
        </mc:AlternateContent>
      </w:r>
    </w:p>
    <w:p w:rsidR="00603572" w:rsidRPr="00802D35" w:rsidRDefault="00603572" w:rsidP="00603572">
      <w:pPr>
        <w:widowControl w:val="0"/>
        <w:spacing w:after="0" w:line="240" w:lineRule="auto"/>
        <w:rPr>
          <w:rFonts w:ascii="Times New Roman" w:hAnsi="Times New Roman" w:cs="Times New Roman"/>
          <w:b/>
          <w:sz w:val="28"/>
          <w:szCs w:val="28"/>
        </w:rPr>
      </w:pPr>
    </w:p>
    <w:p w:rsidR="00502E9D" w:rsidRPr="00802D35" w:rsidRDefault="00603572">
      <w:pPr>
        <w:rPr>
          <w:rFonts w:ascii="Times New Roman" w:hAnsi="Times New Roman" w:cs="Times New Roman"/>
          <w:b/>
          <w:sz w:val="28"/>
          <w:szCs w:val="28"/>
        </w:rPr>
      </w:pPr>
      <w:r w:rsidRPr="00802D35">
        <w:rPr>
          <w:rFonts w:ascii="Times New Roman" w:hAnsi="Times New Roman" w:cs="Times New Roman"/>
          <w:b/>
          <w:sz w:val="28"/>
          <w:szCs w:val="28"/>
        </w:rPr>
        <w:lastRenderedPageBreak/>
        <w:t xml:space="preserve">                                </w:t>
      </w:r>
    </w:p>
    <w:p w:rsidR="00603572" w:rsidRPr="00802D35" w:rsidRDefault="00603572" w:rsidP="00502E9D">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Содержание</w:t>
      </w:r>
    </w:p>
    <w:p w:rsidR="00603572" w:rsidRPr="00802D35" w:rsidRDefault="00603572" w:rsidP="00603572">
      <w:pPr>
        <w:widowControl w:val="0"/>
        <w:spacing w:after="0" w:line="240" w:lineRule="auto"/>
        <w:jc w:val="center"/>
        <w:rPr>
          <w:rFonts w:ascii="Times New Roman" w:hAnsi="Times New Roman" w:cs="Times New Roman"/>
          <w:sz w:val="28"/>
          <w:szCs w:val="28"/>
        </w:rPr>
      </w:pPr>
    </w:p>
    <w:tbl>
      <w:tblPr>
        <w:tblW w:w="0" w:type="auto"/>
        <w:tblLook w:val="04A0" w:firstRow="1" w:lastRow="0" w:firstColumn="1" w:lastColumn="0" w:noHBand="0" w:noVBand="1"/>
      </w:tblPr>
      <w:tblGrid>
        <w:gridCol w:w="8330"/>
        <w:gridCol w:w="1241"/>
      </w:tblGrid>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b/>
                <w:sz w:val="28"/>
                <w:szCs w:val="28"/>
              </w:rPr>
            </w:pPr>
            <w:r w:rsidRPr="00802D35">
              <w:rPr>
                <w:rFonts w:ascii="Times New Roman" w:hAnsi="Times New Roman" w:cs="Times New Roman"/>
                <w:b/>
                <w:sz w:val="28"/>
                <w:szCs w:val="28"/>
              </w:rPr>
              <w:t>НОРМАТИВНЫЕ ССЫЛКИ</w:t>
            </w:r>
          </w:p>
        </w:tc>
        <w:tc>
          <w:tcPr>
            <w:tcW w:w="1241" w:type="dxa"/>
          </w:tcPr>
          <w:p w:rsidR="00393F44" w:rsidRPr="00802D35" w:rsidRDefault="0032339D" w:rsidP="001C031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393F44" w:rsidRPr="00802D35">
              <w:rPr>
                <w:rFonts w:ascii="Times New Roman" w:hAnsi="Times New Roman" w:cs="Times New Roman"/>
                <w:b/>
                <w:sz w:val="28"/>
                <w:szCs w:val="28"/>
              </w:rPr>
              <w:t>3</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b/>
                <w:sz w:val="28"/>
                <w:szCs w:val="28"/>
              </w:rPr>
            </w:pPr>
            <w:r w:rsidRPr="00802D35">
              <w:rPr>
                <w:rFonts w:ascii="Times New Roman" w:hAnsi="Times New Roman" w:cs="Times New Roman"/>
                <w:b/>
                <w:sz w:val="28"/>
                <w:szCs w:val="28"/>
              </w:rPr>
              <w:t>ОПРЕДЕЛЕНИЯ</w:t>
            </w:r>
          </w:p>
        </w:tc>
        <w:tc>
          <w:tcPr>
            <w:tcW w:w="1241" w:type="dxa"/>
          </w:tcPr>
          <w:p w:rsidR="00393F44" w:rsidRPr="00802D35" w:rsidRDefault="0032339D" w:rsidP="001C031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393F44" w:rsidRPr="00802D35">
              <w:rPr>
                <w:rFonts w:ascii="Times New Roman" w:hAnsi="Times New Roman" w:cs="Times New Roman"/>
                <w:b/>
                <w:sz w:val="28"/>
                <w:szCs w:val="28"/>
              </w:rPr>
              <w:t>4</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b/>
                <w:sz w:val="28"/>
                <w:szCs w:val="28"/>
              </w:rPr>
            </w:pPr>
            <w:r w:rsidRPr="00802D35">
              <w:rPr>
                <w:rFonts w:ascii="Times New Roman" w:hAnsi="Times New Roman" w:cs="Times New Roman"/>
                <w:b/>
                <w:sz w:val="28"/>
                <w:szCs w:val="28"/>
              </w:rPr>
              <w:t>ОБОЗНАЧЕНИЯ И СОКРАЩЕНИЯ</w:t>
            </w:r>
          </w:p>
        </w:tc>
        <w:tc>
          <w:tcPr>
            <w:tcW w:w="1241" w:type="dxa"/>
          </w:tcPr>
          <w:p w:rsidR="00393F44" w:rsidRPr="00802D35" w:rsidRDefault="0032339D" w:rsidP="001C031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393F44" w:rsidRPr="00802D35">
              <w:rPr>
                <w:rFonts w:ascii="Times New Roman" w:hAnsi="Times New Roman" w:cs="Times New Roman"/>
                <w:b/>
                <w:sz w:val="28"/>
                <w:szCs w:val="28"/>
              </w:rPr>
              <w:t>5</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b/>
                <w:sz w:val="28"/>
                <w:szCs w:val="28"/>
              </w:rPr>
            </w:pPr>
            <w:r w:rsidRPr="00802D35">
              <w:rPr>
                <w:rFonts w:ascii="Times New Roman" w:hAnsi="Times New Roman" w:cs="Times New Roman"/>
                <w:b/>
                <w:sz w:val="28"/>
                <w:szCs w:val="28"/>
              </w:rPr>
              <w:t>ВВЕДЕНИЕ</w:t>
            </w:r>
          </w:p>
          <w:p w:rsidR="00393F44" w:rsidRPr="00802D35" w:rsidRDefault="00393F44" w:rsidP="00603572">
            <w:pPr>
              <w:widowControl w:val="0"/>
              <w:spacing w:after="0" w:line="240" w:lineRule="auto"/>
              <w:jc w:val="both"/>
              <w:rPr>
                <w:rFonts w:ascii="Times New Roman" w:hAnsi="Times New Roman" w:cs="Times New Roman"/>
                <w:b/>
                <w:sz w:val="28"/>
                <w:szCs w:val="28"/>
              </w:rPr>
            </w:pPr>
          </w:p>
        </w:tc>
        <w:tc>
          <w:tcPr>
            <w:tcW w:w="1241" w:type="dxa"/>
          </w:tcPr>
          <w:p w:rsidR="00393F44" w:rsidRPr="00802D35" w:rsidRDefault="0032339D" w:rsidP="001C031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393F44" w:rsidRPr="00802D35">
              <w:rPr>
                <w:rFonts w:ascii="Times New Roman" w:hAnsi="Times New Roman" w:cs="Times New Roman"/>
                <w:b/>
                <w:sz w:val="28"/>
                <w:szCs w:val="28"/>
              </w:rPr>
              <w:t>6</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b/>
                <w:caps/>
                <w:sz w:val="28"/>
                <w:szCs w:val="28"/>
              </w:rPr>
            </w:pPr>
            <w:r w:rsidRPr="00802D35">
              <w:rPr>
                <w:rFonts w:ascii="Times New Roman" w:hAnsi="Times New Roman" w:cs="Times New Roman"/>
                <w:b/>
                <w:caps/>
                <w:sz w:val="28"/>
                <w:szCs w:val="28"/>
              </w:rPr>
              <w:t xml:space="preserve">1 трансформация КОНЦЕПТУАЛЬНО-МЕТОДОЛОГИЧЕСКИх подходов к фондированию В БАНКАХ </w:t>
            </w:r>
          </w:p>
        </w:tc>
        <w:tc>
          <w:tcPr>
            <w:tcW w:w="1241" w:type="dxa"/>
          </w:tcPr>
          <w:p w:rsidR="00393F44" w:rsidRPr="00802D35" w:rsidRDefault="0032339D" w:rsidP="001C031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393F44" w:rsidRPr="00802D35">
              <w:rPr>
                <w:rFonts w:ascii="Times New Roman" w:hAnsi="Times New Roman" w:cs="Times New Roman"/>
                <w:b/>
                <w:sz w:val="28"/>
                <w:szCs w:val="28"/>
              </w:rPr>
              <w:t>12</w:t>
            </w:r>
          </w:p>
        </w:tc>
      </w:tr>
      <w:tr w:rsidR="00393F44" w:rsidRPr="00802D35" w:rsidTr="00393F44">
        <w:tc>
          <w:tcPr>
            <w:tcW w:w="8330" w:type="dxa"/>
          </w:tcPr>
          <w:p w:rsidR="00393F44" w:rsidRPr="00802D35" w:rsidRDefault="00393F44"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1.1 Идентификация сущности фондирования банковской деятельности</w:t>
            </w:r>
          </w:p>
        </w:tc>
        <w:tc>
          <w:tcPr>
            <w:tcW w:w="1241" w:type="dxa"/>
          </w:tcPr>
          <w:p w:rsidR="00393F44" w:rsidRPr="00802D35" w:rsidRDefault="0032339D" w:rsidP="0032339D">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12</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1.2 Фондирование как драйвер конкурентоустойчивости банков второго уровня</w:t>
            </w:r>
          </w:p>
        </w:tc>
        <w:tc>
          <w:tcPr>
            <w:tcW w:w="1241" w:type="dxa"/>
          </w:tcPr>
          <w:p w:rsidR="00393F44" w:rsidRPr="00802D35" w:rsidRDefault="0032339D" w:rsidP="001C031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20</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1.3 Диалектическое структурное взаимодействие различных инструментов банковского фондирования</w:t>
            </w:r>
          </w:p>
        </w:tc>
        <w:tc>
          <w:tcPr>
            <w:tcW w:w="1241" w:type="dxa"/>
          </w:tcPr>
          <w:p w:rsidR="00393F44" w:rsidRPr="00802D35" w:rsidRDefault="0032339D" w:rsidP="001C031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36</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Выводы по 1 разделу</w:t>
            </w:r>
          </w:p>
        </w:tc>
        <w:tc>
          <w:tcPr>
            <w:tcW w:w="1241" w:type="dxa"/>
          </w:tcPr>
          <w:p w:rsidR="00393F44" w:rsidRPr="00802D35" w:rsidRDefault="0032339D" w:rsidP="001C031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47</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b/>
                <w:sz w:val="28"/>
                <w:szCs w:val="28"/>
              </w:rPr>
            </w:pPr>
          </w:p>
          <w:p w:rsidR="00393F44" w:rsidRPr="00802D35" w:rsidRDefault="00393F44" w:rsidP="00603572">
            <w:pPr>
              <w:widowControl w:val="0"/>
              <w:spacing w:after="0" w:line="240" w:lineRule="auto"/>
              <w:jc w:val="both"/>
              <w:rPr>
                <w:rFonts w:ascii="Times New Roman" w:hAnsi="Times New Roman" w:cs="Times New Roman"/>
                <w:caps/>
                <w:sz w:val="28"/>
                <w:szCs w:val="28"/>
              </w:rPr>
            </w:pPr>
            <w:r w:rsidRPr="00802D35">
              <w:rPr>
                <w:rFonts w:ascii="Times New Roman" w:hAnsi="Times New Roman" w:cs="Times New Roman"/>
                <w:b/>
                <w:sz w:val="28"/>
                <w:szCs w:val="28"/>
              </w:rPr>
              <w:t xml:space="preserve">2 </w:t>
            </w:r>
            <w:r w:rsidRPr="00802D35">
              <w:rPr>
                <w:rFonts w:ascii="Times New Roman" w:hAnsi="Times New Roman" w:cs="Times New Roman"/>
                <w:b/>
                <w:caps/>
                <w:sz w:val="28"/>
                <w:szCs w:val="28"/>
              </w:rPr>
              <w:t>квалиметрия организации фондирования деятельности БАНКов</w:t>
            </w:r>
            <w:r w:rsidRPr="00802D35">
              <w:rPr>
                <w:rFonts w:ascii="Times New Roman" w:hAnsi="Times New Roman" w:cs="Times New Roman"/>
                <w:b/>
                <w:sz w:val="28"/>
                <w:szCs w:val="28"/>
              </w:rPr>
              <w:t xml:space="preserve"> ВТОРОГО УРОВНЯ РЕСПУБЛИКИ КАЗАХСТАН</w:t>
            </w:r>
          </w:p>
        </w:tc>
        <w:tc>
          <w:tcPr>
            <w:tcW w:w="1241" w:type="dxa"/>
          </w:tcPr>
          <w:p w:rsidR="00393F44" w:rsidRPr="00802D35" w:rsidRDefault="00393F44" w:rsidP="001C0319">
            <w:pPr>
              <w:widowControl w:val="0"/>
              <w:spacing w:after="0" w:line="240" w:lineRule="auto"/>
              <w:jc w:val="center"/>
              <w:rPr>
                <w:rFonts w:ascii="Times New Roman" w:hAnsi="Times New Roman" w:cs="Times New Roman"/>
                <w:b/>
                <w:sz w:val="28"/>
                <w:szCs w:val="28"/>
              </w:rPr>
            </w:pPr>
          </w:p>
          <w:p w:rsidR="008C0E8A" w:rsidRPr="00802D35" w:rsidRDefault="0032339D" w:rsidP="001C031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8C0E8A" w:rsidRPr="00802D35">
              <w:rPr>
                <w:rFonts w:ascii="Times New Roman" w:hAnsi="Times New Roman" w:cs="Times New Roman"/>
                <w:b/>
                <w:sz w:val="28"/>
                <w:szCs w:val="28"/>
              </w:rPr>
              <w:t>49</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2.1 Имплементационная оценка источников банковского фондирования</w:t>
            </w:r>
          </w:p>
        </w:tc>
        <w:tc>
          <w:tcPr>
            <w:tcW w:w="1241" w:type="dxa"/>
          </w:tcPr>
          <w:p w:rsidR="00393F44" w:rsidRPr="00802D35" w:rsidRDefault="0032339D" w:rsidP="001C031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49</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2.2 Оценка влияния детерминантов фондирования банков на экономический рост страны</w:t>
            </w:r>
          </w:p>
        </w:tc>
        <w:tc>
          <w:tcPr>
            <w:tcW w:w="1241" w:type="dxa"/>
          </w:tcPr>
          <w:p w:rsidR="00393F44" w:rsidRPr="00802D35" w:rsidRDefault="0032339D" w:rsidP="001C031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61</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2.3 Оценка влияния эндогенных и экзогенных факторов на фондирование банков второго уровня</w:t>
            </w:r>
          </w:p>
        </w:tc>
        <w:tc>
          <w:tcPr>
            <w:tcW w:w="1241" w:type="dxa"/>
          </w:tcPr>
          <w:p w:rsidR="00393F44" w:rsidRPr="00802D35" w:rsidRDefault="0032339D" w:rsidP="001C031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72</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Выводы по 2 разделу</w:t>
            </w:r>
          </w:p>
        </w:tc>
        <w:tc>
          <w:tcPr>
            <w:tcW w:w="1241" w:type="dxa"/>
          </w:tcPr>
          <w:p w:rsidR="00393F44" w:rsidRPr="00802D35" w:rsidRDefault="0032339D" w:rsidP="006249D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9</w:t>
            </w:r>
            <w:r w:rsidR="006249D9" w:rsidRPr="00802D35">
              <w:rPr>
                <w:rFonts w:ascii="Times New Roman" w:hAnsi="Times New Roman" w:cs="Times New Roman"/>
                <w:sz w:val="28"/>
                <w:szCs w:val="28"/>
              </w:rPr>
              <w:t>2</w:t>
            </w:r>
          </w:p>
        </w:tc>
      </w:tr>
      <w:tr w:rsidR="00393F44" w:rsidRPr="00802D35" w:rsidTr="00393F44">
        <w:tc>
          <w:tcPr>
            <w:tcW w:w="8330" w:type="dxa"/>
          </w:tcPr>
          <w:p w:rsidR="00393F44" w:rsidRPr="00802D35" w:rsidRDefault="00393F44" w:rsidP="00603572">
            <w:pPr>
              <w:widowControl w:val="0"/>
              <w:spacing w:after="0" w:line="240" w:lineRule="auto"/>
              <w:rPr>
                <w:rFonts w:ascii="Times New Roman" w:hAnsi="Times New Roman" w:cs="Times New Roman"/>
                <w:b/>
                <w:caps/>
                <w:sz w:val="28"/>
                <w:szCs w:val="28"/>
              </w:rPr>
            </w:pPr>
          </w:p>
          <w:p w:rsidR="00393F44" w:rsidRPr="00802D35" w:rsidRDefault="00045670" w:rsidP="00045670">
            <w:pPr>
              <w:spacing w:after="0" w:line="240" w:lineRule="auto"/>
              <w:rPr>
                <w:rFonts w:ascii="Times New Roman" w:hAnsi="Times New Roman" w:cs="Times New Roman"/>
                <w:b/>
                <w:caps/>
                <w:sz w:val="28"/>
                <w:szCs w:val="28"/>
              </w:rPr>
            </w:pPr>
            <w:r w:rsidRPr="00802D35">
              <w:rPr>
                <w:rFonts w:ascii="Times New Roman" w:hAnsi="Times New Roman" w:cs="Times New Roman"/>
                <w:b/>
                <w:caps/>
                <w:sz w:val="28"/>
                <w:szCs w:val="28"/>
              </w:rPr>
              <w:t>3 совершенствование фондирования в банках второго уровня Республики Казахстан</w:t>
            </w:r>
          </w:p>
        </w:tc>
        <w:tc>
          <w:tcPr>
            <w:tcW w:w="1241" w:type="dxa"/>
          </w:tcPr>
          <w:p w:rsidR="00393F44" w:rsidRPr="00802D35" w:rsidRDefault="00393F44" w:rsidP="001C0319">
            <w:pPr>
              <w:widowControl w:val="0"/>
              <w:spacing w:after="0" w:line="240" w:lineRule="auto"/>
              <w:jc w:val="center"/>
              <w:rPr>
                <w:rFonts w:ascii="Times New Roman" w:hAnsi="Times New Roman" w:cs="Times New Roman"/>
                <w:b/>
                <w:sz w:val="28"/>
                <w:szCs w:val="28"/>
              </w:rPr>
            </w:pPr>
          </w:p>
          <w:p w:rsidR="006249D9" w:rsidRPr="00802D35" w:rsidRDefault="0032339D" w:rsidP="006249D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6249D9" w:rsidRPr="00802D35">
              <w:rPr>
                <w:rFonts w:ascii="Times New Roman" w:hAnsi="Times New Roman" w:cs="Times New Roman"/>
                <w:b/>
                <w:sz w:val="28"/>
                <w:szCs w:val="28"/>
              </w:rPr>
              <w:t>94</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 xml:space="preserve">3.1 </w:t>
            </w:r>
            <w:r w:rsidR="00045670" w:rsidRPr="00802D35">
              <w:rPr>
                <w:rFonts w:ascii="Times New Roman" w:hAnsi="Times New Roman" w:cs="Times New Roman"/>
                <w:sz w:val="28"/>
                <w:szCs w:val="28"/>
              </w:rPr>
              <w:t>Развитие мониторинга</w:t>
            </w:r>
            <w:r w:rsidR="00045670" w:rsidRPr="00802D35">
              <w:rPr>
                <w:rFonts w:ascii="Times New Roman" w:hAnsi="Times New Roman" w:cs="Times New Roman"/>
                <w:bCs/>
                <w:sz w:val="28"/>
                <w:szCs w:val="28"/>
                <w:shd w:val="clear" w:color="auto" w:fill="FFFFFF"/>
              </w:rPr>
              <w:t xml:space="preserve"> фондирования в </w:t>
            </w:r>
            <w:r w:rsidR="00045670" w:rsidRPr="00802D35">
              <w:rPr>
                <w:rFonts w:ascii="Times New Roman" w:hAnsi="Times New Roman" w:cs="Times New Roman"/>
                <w:sz w:val="28"/>
                <w:szCs w:val="28"/>
              </w:rPr>
              <w:t>банках второго уровня</w:t>
            </w:r>
          </w:p>
        </w:tc>
        <w:tc>
          <w:tcPr>
            <w:tcW w:w="1241" w:type="dxa"/>
          </w:tcPr>
          <w:p w:rsidR="00393F44" w:rsidRPr="00802D35" w:rsidRDefault="0032339D" w:rsidP="006249D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9</w:t>
            </w:r>
            <w:r w:rsidR="006249D9" w:rsidRPr="00802D35">
              <w:rPr>
                <w:rFonts w:ascii="Times New Roman" w:hAnsi="Times New Roman" w:cs="Times New Roman"/>
                <w:sz w:val="28"/>
                <w:szCs w:val="28"/>
              </w:rPr>
              <w:t>4</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3.2 Оптимизация фондирования банковской деятельности</w:t>
            </w:r>
          </w:p>
        </w:tc>
        <w:tc>
          <w:tcPr>
            <w:tcW w:w="1241" w:type="dxa"/>
          </w:tcPr>
          <w:p w:rsidR="00393F44" w:rsidRPr="00802D35" w:rsidRDefault="0032339D" w:rsidP="006249D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10</w:t>
            </w:r>
            <w:r w:rsidR="006249D9" w:rsidRPr="00802D35">
              <w:rPr>
                <w:rFonts w:ascii="Times New Roman" w:hAnsi="Times New Roman" w:cs="Times New Roman"/>
                <w:sz w:val="28"/>
                <w:szCs w:val="28"/>
              </w:rPr>
              <w:t>4</w:t>
            </w:r>
          </w:p>
        </w:tc>
      </w:tr>
      <w:tr w:rsidR="00393F44" w:rsidRPr="00802D35" w:rsidTr="00393F44">
        <w:tc>
          <w:tcPr>
            <w:tcW w:w="8330" w:type="dxa"/>
          </w:tcPr>
          <w:p w:rsidR="00393F44" w:rsidRPr="00802D35" w:rsidRDefault="00393F44" w:rsidP="00045670">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 xml:space="preserve">3.3 </w:t>
            </w:r>
            <w:r w:rsidR="00045670" w:rsidRPr="00802D35">
              <w:rPr>
                <w:rFonts w:ascii="Times New Roman" w:hAnsi="Times New Roman" w:cs="Times New Roman"/>
                <w:sz w:val="28"/>
                <w:szCs w:val="28"/>
                <w:shd w:val="clear" w:color="auto" w:fill="FFFFFF"/>
              </w:rPr>
              <w:t>Рекомендации по применению методик оценки и оптимизации фондирования</w:t>
            </w:r>
          </w:p>
        </w:tc>
        <w:tc>
          <w:tcPr>
            <w:tcW w:w="1241" w:type="dxa"/>
          </w:tcPr>
          <w:p w:rsidR="00393F44" w:rsidRPr="00802D35" w:rsidRDefault="0032339D" w:rsidP="0032339D">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1</w:t>
            </w:r>
            <w:r w:rsidR="006249D9" w:rsidRPr="00802D35">
              <w:rPr>
                <w:rFonts w:ascii="Times New Roman" w:hAnsi="Times New Roman" w:cs="Times New Roman"/>
                <w:sz w:val="28"/>
                <w:szCs w:val="28"/>
              </w:rPr>
              <w:t>2</w:t>
            </w:r>
            <w:r w:rsidRPr="00802D35">
              <w:rPr>
                <w:rFonts w:ascii="Times New Roman" w:hAnsi="Times New Roman" w:cs="Times New Roman"/>
                <w:sz w:val="28"/>
                <w:szCs w:val="28"/>
              </w:rPr>
              <w:t>1</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Выводы по  3 разделу</w:t>
            </w:r>
          </w:p>
          <w:p w:rsidR="00393F44" w:rsidRPr="00802D35" w:rsidRDefault="00393F44" w:rsidP="00603572">
            <w:pPr>
              <w:widowControl w:val="0"/>
              <w:spacing w:after="0" w:line="240" w:lineRule="auto"/>
              <w:jc w:val="both"/>
              <w:rPr>
                <w:rFonts w:ascii="Times New Roman" w:hAnsi="Times New Roman" w:cs="Times New Roman"/>
                <w:sz w:val="28"/>
                <w:szCs w:val="28"/>
              </w:rPr>
            </w:pPr>
          </w:p>
        </w:tc>
        <w:tc>
          <w:tcPr>
            <w:tcW w:w="1241" w:type="dxa"/>
          </w:tcPr>
          <w:p w:rsidR="00393F44" w:rsidRPr="00802D35" w:rsidRDefault="0032339D" w:rsidP="006249D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        </w:t>
            </w:r>
            <w:r w:rsidR="00393F44" w:rsidRPr="00802D35">
              <w:rPr>
                <w:rFonts w:ascii="Times New Roman" w:hAnsi="Times New Roman" w:cs="Times New Roman"/>
                <w:sz w:val="28"/>
                <w:szCs w:val="28"/>
              </w:rPr>
              <w:t>12</w:t>
            </w:r>
            <w:r w:rsidR="006249D9" w:rsidRPr="00802D35">
              <w:rPr>
                <w:rFonts w:ascii="Times New Roman" w:hAnsi="Times New Roman" w:cs="Times New Roman"/>
                <w:sz w:val="28"/>
                <w:szCs w:val="28"/>
              </w:rPr>
              <w:t>8</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b/>
                <w:sz w:val="28"/>
                <w:szCs w:val="28"/>
              </w:rPr>
            </w:pPr>
            <w:r w:rsidRPr="00802D35">
              <w:rPr>
                <w:rFonts w:ascii="Times New Roman" w:hAnsi="Times New Roman" w:cs="Times New Roman"/>
                <w:b/>
                <w:sz w:val="28"/>
                <w:szCs w:val="28"/>
              </w:rPr>
              <w:t>ЗАКЛЮЧЕНИЕ</w:t>
            </w:r>
          </w:p>
          <w:p w:rsidR="00393F44" w:rsidRPr="00802D35" w:rsidRDefault="00393F44" w:rsidP="00603572">
            <w:pPr>
              <w:widowControl w:val="0"/>
              <w:spacing w:after="0" w:line="240" w:lineRule="auto"/>
              <w:jc w:val="both"/>
              <w:rPr>
                <w:rFonts w:ascii="Times New Roman" w:hAnsi="Times New Roman" w:cs="Times New Roman"/>
                <w:b/>
                <w:sz w:val="28"/>
                <w:szCs w:val="28"/>
              </w:rPr>
            </w:pPr>
          </w:p>
        </w:tc>
        <w:tc>
          <w:tcPr>
            <w:tcW w:w="1241" w:type="dxa"/>
          </w:tcPr>
          <w:p w:rsidR="00393F44" w:rsidRPr="00802D35" w:rsidRDefault="0032339D" w:rsidP="006249D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393F44" w:rsidRPr="00802D35">
              <w:rPr>
                <w:rFonts w:ascii="Times New Roman" w:hAnsi="Times New Roman" w:cs="Times New Roman"/>
                <w:b/>
                <w:sz w:val="28"/>
                <w:szCs w:val="28"/>
              </w:rPr>
              <w:t>1</w:t>
            </w:r>
            <w:r w:rsidR="006249D9" w:rsidRPr="00802D35">
              <w:rPr>
                <w:rFonts w:ascii="Times New Roman" w:hAnsi="Times New Roman" w:cs="Times New Roman"/>
                <w:b/>
                <w:sz w:val="28"/>
                <w:szCs w:val="28"/>
              </w:rPr>
              <w:t>30</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b/>
                <w:sz w:val="28"/>
                <w:szCs w:val="28"/>
              </w:rPr>
            </w:pPr>
            <w:r w:rsidRPr="00802D35">
              <w:rPr>
                <w:rFonts w:ascii="Times New Roman" w:hAnsi="Times New Roman" w:cs="Times New Roman"/>
                <w:b/>
                <w:sz w:val="28"/>
                <w:szCs w:val="28"/>
              </w:rPr>
              <w:t>СПИСОК ИСПОЛЬЗОВАННЫХ ИСТОЧНИКОВ</w:t>
            </w:r>
          </w:p>
          <w:p w:rsidR="00393F44" w:rsidRPr="00802D35" w:rsidRDefault="00393F44" w:rsidP="00603572">
            <w:pPr>
              <w:widowControl w:val="0"/>
              <w:spacing w:after="0" w:line="240" w:lineRule="auto"/>
              <w:jc w:val="both"/>
              <w:rPr>
                <w:rFonts w:ascii="Times New Roman" w:hAnsi="Times New Roman" w:cs="Times New Roman"/>
                <w:b/>
                <w:sz w:val="28"/>
                <w:szCs w:val="28"/>
              </w:rPr>
            </w:pPr>
          </w:p>
        </w:tc>
        <w:tc>
          <w:tcPr>
            <w:tcW w:w="1241" w:type="dxa"/>
          </w:tcPr>
          <w:p w:rsidR="00393F44" w:rsidRPr="00802D35" w:rsidRDefault="0032339D" w:rsidP="006249D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393F44" w:rsidRPr="00802D35">
              <w:rPr>
                <w:rFonts w:ascii="Times New Roman" w:hAnsi="Times New Roman" w:cs="Times New Roman"/>
                <w:b/>
                <w:sz w:val="28"/>
                <w:szCs w:val="28"/>
              </w:rPr>
              <w:t>13</w:t>
            </w:r>
            <w:r w:rsidR="006249D9" w:rsidRPr="00802D35">
              <w:rPr>
                <w:rFonts w:ascii="Times New Roman" w:hAnsi="Times New Roman" w:cs="Times New Roman"/>
                <w:b/>
                <w:sz w:val="28"/>
                <w:szCs w:val="28"/>
              </w:rPr>
              <w:t>5</w:t>
            </w:r>
          </w:p>
        </w:tc>
      </w:tr>
      <w:tr w:rsidR="00393F44" w:rsidRPr="00802D35" w:rsidTr="00393F44">
        <w:tc>
          <w:tcPr>
            <w:tcW w:w="8330" w:type="dxa"/>
          </w:tcPr>
          <w:p w:rsidR="00393F44" w:rsidRPr="00802D35" w:rsidRDefault="00393F44" w:rsidP="00603572">
            <w:pPr>
              <w:widowControl w:val="0"/>
              <w:spacing w:after="0" w:line="240" w:lineRule="auto"/>
              <w:jc w:val="both"/>
              <w:rPr>
                <w:rFonts w:ascii="Times New Roman" w:hAnsi="Times New Roman" w:cs="Times New Roman"/>
                <w:b/>
                <w:sz w:val="28"/>
                <w:szCs w:val="28"/>
              </w:rPr>
            </w:pPr>
            <w:r w:rsidRPr="00802D35">
              <w:rPr>
                <w:rFonts w:ascii="Times New Roman" w:hAnsi="Times New Roman" w:cs="Times New Roman"/>
                <w:b/>
                <w:sz w:val="28"/>
                <w:szCs w:val="28"/>
              </w:rPr>
              <w:t>ПРИЛОЖЕНИЯ</w:t>
            </w:r>
          </w:p>
        </w:tc>
        <w:tc>
          <w:tcPr>
            <w:tcW w:w="1241" w:type="dxa"/>
          </w:tcPr>
          <w:p w:rsidR="00393F44" w:rsidRPr="00802D35" w:rsidRDefault="0032339D" w:rsidP="006249D9">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t xml:space="preserve">        </w:t>
            </w:r>
            <w:r w:rsidR="00393F44" w:rsidRPr="00802D35">
              <w:rPr>
                <w:rFonts w:ascii="Times New Roman" w:hAnsi="Times New Roman" w:cs="Times New Roman"/>
                <w:b/>
                <w:sz w:val="28"/>
                <w:szCs w:val="28"/>
              </w:rPr>
              <w:t>14</w:t>
            </w:r>
            <w:r w:rsidR="006249D9" w:rsidRPr="00802D35">
              <w:rPr>
                <w:rFonts w:ascii="Times New Roman" w:hAnsi="Times New Roman" w:cs="Times New Roman"/>
                <w:b/>
                <w:sz w:val="28"/>
                <w:szCs w:val="28"/>
              </w:rPr>
              <w:t>4</w:t>
            </w:r>
          </w:p>
        </w:tc>
      </w:tr>
    </w:tbl>
    <w:p w:rsidR="00603572" w:rsidRPr="00802D35" w:rsidRDefault="00603572" w:rsidP="00603572">
      <w:pPr>
        <w:widowControl w:val="0"/>
      </w:pPr>
    </w:p>
    <w:p w:rsidR="00603572" w:rsidRPr="00802D35" w:rsidRDefault="00603572" w:rsidP="00603572">
      <w:pPr>
        <w:widowControl w:val="0"/>
        <w:spacing w:after="0" w:line="240" w:lineRule="auto"/>
        <w:ind w:firstLine="567"/>
        <w:jc w:val="center"/>
        <w:rPr>
          <w:rFonts w:ascii="Times New Roman" w:hAnsi="Times New Roman" w:cs="Times New Roman"/>
          <w:b/>
          <w:sz w:val="28"/>
          <w:szCs w:val="28"/>
        </w:rPr>
      </w:pPr>
      <w:r w:rsidRPr="00802D35">
        <w:rPr>
          <w:rFonts w:ascii="Times New Roman" w:hAnsi="Times New Roman" w:cs="Times New Roman"/>
          <w:b/>
          <w:sz w:val="28"/>
          <w:szCs w:val="28"/>
        </w:rPr>
        <w:lastRenderedPageBreak/>
        <w:t>НОРМАТИВНЫЕ ССЫЛКИ</w:t>
      </w:r>
    </w:p>
    <w:p w:rsidR="00603572" w:rsidRPr="00802D35" w:rsidRDefault="00603572" w:rsidP="00603572">
      <w:pPr>
        <w:widowControl w:val="0"/>
        <w:spacing w:after="0" w:line="240" w:lineRule="auto"/>
        <w:ind w:firstLine="567"/>
        <w:jc w:val="center"/>
        <w:rPr>
          <w:rFonts w:ascii="Times New Roman" w:hAnsi="Times New Roman" w:cs="Times New Roman"/>
          <w:b/>
          <w:sz w:val="28"/>
          <w:szCs w:val="28"/>
        </w:rPr>
      </w:pPr>
    </w:p>
    <w:p w:rsidR="00603572" w:rsidRPr="00802D35" w:rsidRDefault="00603572" w:rsidP="00603572">
      <w:pPr>
        <w:pStyle w:val="af3"/>
        <w:widowControl w:val="0"/>
        <w:tabs>
          <w:tab w:val="left" w:pos="567"/>
        </w:tabs>
        <w:ind w:firstLine="567"/>
        <w:jc w:val="both"/>
        <w:rPr>
          <w:rFonts w:ascii="Times New Roman" w:hAnsi="Times New Roman"/>
        </w:rPr>
      </w:pPr>
      <w:r w:rsidRPr="00802D35">
        <w:rPr>
          <w:rFonts w:ascii="Times New Roman" w:hAnsi="Times New Roman"/>
          <w:szCs w:val="28"/>
          <w:shd w:val="clear" w:color="auto" w:fill="FFFFFF"/>
        </w:rPr>
        <w:tab/>
      </w:r>
      <w:r w:rsidRPr="00802D35">
        <w:rPr>
          <w:rFonts w:ascii="Times New Roman" w:hAnsi="Times New Roman"/>
        </w:rPr>
        <w:t>В настоящей диссертации использованы ссылки на следующие нормативно-законодательные акты и стандарты:</w:t>
      </w:r>
    </w:p>
    <w:p w:rsidR="00603572" w:rsidRPr="00802D35" w:rsidRDefault="00603572" w:rsidP="00C46FE2">
      <w:pPr>
        <w:pStyle w:val="a3"/>
        <w:widowControl w:val="0"/>
        <w:numPr>
          <w:ilvl w:val="0"/>
          <w:numId w:val="10"/>
        </w:numPr>
        <w:shd w:val="clear" w:color="auto" w:fill="FFFFFF"/>
        <w:tabs>
          <w:tab w:val="left" w:pos="567"/>
          <w:tab w:val="left" w:pos="1134"/>
          <w:tab w:val="left" w:pos="1418"/>
        </w:tabs>
        <w:spacing w:after="0" w:line="240" w:lineRule="auto"/>
        <w:ind w:left="0" w:firstLine="709"/>
        <w:jc w:val="both"/>
        <w:outlineLvl w:val="0"/>
        <w:rPr>
          <w:rStyle w:val="currentdocdiv"/>
          <w:rFonts w:ascii="Times New Roman" w:hAnsi="Times New Roman" w:cs="Times New Roman"/>
          <w:bCs/>
          <w:color w:val="000000"/>
          <w:sz w:val="28"/>
          <w:szCs w:val="28"/>
        </w:rPr>
      </w:pPr>
      <w:r w:rsidRPr="00802D35">
        <w:rPr>
          <w:rStyle w:val="currentdocdiv"/>
          <w:rFonts w:ascii="Times New Roman" w:hAnsi="Times New Roman" w:cs="Times New Roman"/>
          <w:color w:val="000000"/>
          <w:sz w:val="28"/>
          <w:szCs w:val="28"/>
        </w:rPr>
        <w:t>Закон Республики Казахстан от 31 августа 1995 года № 2444 «О банках и банковской деятельности в Республике Казахстан» (с изменениями и дополнениями по состоянию на 03.07.2020 г.)</w:t>
      </w:r>
    </w:p>
    <w:p w:rsidR="00603572" w:rsidRPr="00802D35" w:rsidRDefault="00603572" w:rsidP="00C46FE2">
      <w:pPr>
        <w:pStyle w:val="a3"/>
        <w:widowControl w:val="0"/>
        <w:numPr>
          <w:ilvl w:val="0"/>
          <w:numId w:val="10"/>
        </w:numPr>
        <w:shd w:val="clear" w:color="auto" w:fill="FFFFFF"/>
        <w:tabs>
          <w:tab w:val="left" w:pos="567"/>
          <w:tab w:val="left" w:pos="1134"/>
          <w:tab w:val="left" w:pos="1418"/>
        </w:tabs>
        <w:spacing w:after="0" w:line="240" w:lineRule="auto"/>
        <w:ind w:left="0" w:firstLine="709"/>
        <w:jc w:val="both"/>
        <w:outlineLvl w:val="0"/>
        <w:rPr>
          <w:rStyle w:val="currentdocdiv"/>
          <w:rFonts w:ascii="Times New Roman" w:hAnsi="Times New Roman" w:cs="Times New Roman"/>
          <w:bCs/>
          <w:color w:val="000000"/>
          <w:sz w:val="28"/>
          <w:szCs w:val="28"/>
        </w:rPr>
      </w:pPr>
      <w:r w:rsidRPr="00802D35">
        <w:rPr>
          <w:rStyle w:val="currentdocdiv"/>
          <w:rFonts w:ascii="Times New Roman" w:hAnsi="Times New Roman" w:cs="Times New Roman"/>
          <w:color w:val="000000"/>
          <w:sz w:val="28"/>
          <w:szCs w:val="28"/>
        </w:rPr>
        <w:t>Закон Республики Казахстан от 7 июля 2006 года № 169-III «Об обязательном гарантировании депозитов, размещенных в банках второго уровня Республики Казахстан» (с изменениями и дополнениями по состоянию на 01.01.2020 г.)</w:t>
      </w:r>
    </w:p>
    <w:p w:rsidR="00603572" w:rsidRPr="00802D35" w:rsidRDefault="00603572" w:rsidP="00C46FE2">
      <w:pPr>
        <w:pStyle w:val="a3"/>
        <w:widowControl w:val="0"/>
        <w:numPr>
          <w:ilvl w:val="0"/>
          <w:numId w:val="10"/>
        </w:numPr>
        <w:shd w:val="clear" w:color="auto" w:fill="FFFFFF"/>
        <w:tabs>
          <w:tab w:val="left" w:pos="567"/>
          <w:tab w:val="left" w:pos="1134"/>
          <w:tab w:val="left" w:pos="1418"/>
        </w:tabs>
        <w:spacing w:after="0" w:line="240" w:lineRule="auto"/>
        <w:ind w:left="0" w:firstLine="709"/>
        <w:jc w:val="both"/>
        <w:outlineLvl w:val="0"/>
        <w:rPr>
          <w:rFonts w:ascii="Times New Roman" w:hAnsi="Times New Roman" w:cs="Times New Roman"/>
          <w:color w:val="000000"/>
          <w:sz w:val="28"/>
          <w:szCs w:val="28"/>
        </w:rPr>
      </w:pPr>
      <w:r w:rsidRPr="00802D35">
        <w:rPr>
          <w:rFonts w:ascii="Times New Roman" w:hAnsi="Times New Roman" w:cs="Times New Roman"/>
          <w:color w:val="000000"/>
          <w:sz w:val="28"/>
          <w:szCs w:val="28"/>
        </w:rPr>
        <w:t>Постановление Правления Национального Банка Республики Казахстан от 13 сентября 2017 года № 170. Зарегистрировано в Министерстве юстиции Республики Казахстан 12 октября 2017 года № 15886. Об установлении нормативных значений и методик расчетов пруденциальных нормативов и иных обязательных к соблюдению норм и лимитов, размера капитала банка и Правил расчета и лимитов открытой валютной позиции (с изменениями и дополнениями от 30.10.2020 г.)</w:t>
      </w:r>
    </w:p>
    <w:p w:rsidR="00603572" w:rsidRPr="00802D35" w:rsidRDefault="00603572" w:rsidP="00C46FE2">
      <w:pPr>
        <w:pStyle w:val="a3"/>
        <w:widowControl w:val="0"/>
        <w:numPr>
          <w:ilvl w:val="0"/>
          <w:numId w:val="10"/>
        </w:numPr>
        <w:tabs>
          <w:tab w:val="left" w:pos="1134"/>
          <w:tab w:val="left" w:pos="1418"/>
        </w:tabs>
        <w:spacing w:after="0" w:line="240" w:lineRule="auto"/>
        <w:ind w:left="0" w:firstLine="709"/>
        <w:jc w:val="both"/>
        <w:rPr>
          <w:rFonts w:ascii="Times New Roman" w:hAnsi="Times New Roman" w:cs="Times New Roman"/>
          <w:sz w:val="28"/>
          <w:szCs w:val="28"/>
          <w:lang w:val="en-US"/>
        </w:rPr>
      </w:pPr>
      <w:r w:rsidRPr="00802D35">
        <w:rPr>
          <w:rFonts w:ascii="Times New Roman" w:hAnsi="Times New Roman" w:cs="Times New Roman"/>
          <w:sz w:val="28"/>
          <w:szCs w:val="28"/>
          <w:lang w:val="en-US"/>
        </w:rPr>
        <w:t>Basel III: A global regulatory framework for more resilient banks and banking systems/ Basel Committee on Banking Supervision December 2010 (rev June 2011) ISBN web: 92-9197-859-0</w:t>
      </w:r>
    </w:p>
    <w:p w:rsidR="00603572" w:rsidRPr="00802D35" w:rsidRDefault="00603572" w:rsidP="00C46FE2">
      <w:pPr>
        <w:pStyle w:val="a3"/>
        <w:widowControl w:val="0"/>
        <w:numPr>
          <w:ilvl w:val="0"/>
          <w:numId w:val="10"/>
        </w:numPr>
        <w:tabs>
          <w:tab w:val="left" w:pos="1134"/>
          <w:tab w:val="left" w:pos="1418"/>
        </w:tabs>
        <w:spacing w:after="0" w:line="240" w:lineRule="auto"/>
        <w:ind w:left="0" w:firstLine="709"/>
        <w:jc w:val="both"/>
        <w:rPr>
          <w:rStyle w:val="currentdocdiv"/>
          <w:rFonts w:ascii="Times New Roman" w:hAnsi="Times New Roman" w:cs="Times New Roman"/>
          <w:sz w:val="28"/>
          <w:szCs w:val="28"/>
        </w:rPr>
      </w:pPr>
      <w:r w:rsidRPr="00802D35">
        <w:rPr>
          <w:rStyle w:val="currentdocdiv"/>
          <w:rFonts w:ascii="Times New Roman" w:hAnsi="Times New Roman" w:cs="Times New Roman"/>
          <w:sz w:val="28"/>
          <w:szCs w:val="28"/>
        </w:rPr>
        <w:t>Закон Республики Казахстан от 30 марта 1995 года № 2155 «О Национальном Банке Республики Казахстан» (с изменениями и дополнениями по состоянию на 02.01.2021 г.)</w:t>
      </w:r>
    </w:p>
    <w:p w:rsidR="00603572" w:rsidRPr="00802D35" w:rsidRDefault="00603572" w:rsidP="00C46FE2">
      <w:pPr>
        <w:pStyle w:val="a3"/>
        <w:widowControl w:val="0"/>
        <w:numPr>
          <w:ilvl w:val="0"/>
          <w:numId w:val="10"/>
        </w:numPr>
        <w:tabs>
          <w:tab w:val="left" w:pos="1134"/>
          <w:tab w:val="left" w:pos="1418"/>
        </w:tabs>
        <w:spacing w:after="0" w:line="240" w:lineRule="auto"/>
        <w:ind w:left="0" w:firstLine="709"/>
        <w:jc w:val="both"/>
        <w:rPr>
          <w:rFonts w:ascii="Times New Roman" w:hAnsi="Times New Roman" w:cs="Times New Roman"/>
          <w:sz w:val="28"/>
          <w:szCs w:val="28"/>
        </w:rPr>
      </w:pPr>
      <w:r w:rsidRPr="00802D35">
        <w:rPr>
          <w:rFonts w:ascii="Times New Roman" w:hAnsi="Times New Roman" w:cs="Times New Roman"/>
          <w:sz w:val="28"/>
          <w:szCs w:val="28"/>
        </w:rPr>
        <w:t>Правила о займах последней инстанции, предоставляемых Национальным Банком Республики Казахстан/ Утверждены совместным постановлением Правления Агентства Республики Казахстан по регулированию и развитию финансового рынка от 5 мая 2020 года № 56 и Правления Национального Банка Республики Казахстан от 5 мая 2020</w:t>
      </w:r>
    </w:p>
    <w:p w:rsidR="00603572" w:rsidRPr="00802D35" w:rsidRDefault="00603572" w:rsidP="00C46FE2">
      <w:pPr>
        <w:pStyle w:val="a3"/>
        <w:widowControl w:val="0"/>
        <w:numPr>
          <w:ilvl w:val="0"/>
          <w:numId w:val="10"/>
        </w:numPr>
        <w:tabs>
          <w:tab w:val="left" w:pos="1134"/>
          <w:tab w:val="left" w:pos="1418"/>
        </w:tabs>
        <w:spacing w:after="0" w:line="240" w:lineRule="auto"/>
        <w:ind w:left="0" w:firstLine="709"/>
        <w:jc w:val="both"/>
        <w:rPr>
          <w:rFonts w:ascii="Times New Roman" w:hAnsi="Times New Roman" w:cs="Times New Roman"/>
          <w:sz w:val="28"/>
          <w:szCs w:val="28"/>
        </w:rPr>
      </w:pPr>
      <w:r w:rsidRPr="00802D35">
        <w:rPr>
          <w:rFonts w:ascii="Times New Roman" w:hAnsi="Times New Roman" w:cs="Times New Roman"/>
          <w:sz w:val="28"/>
          <w:szCs w:val="28"/>
        </w:rPr>
        <w:t>Правила осуществления операций репо /Утверждены решением Биржевого совета АО «Казахстанская фондовая биржа» (протокол заседания от 29 февраля 2012 года № 4) с изменениями и дополнениями от 24 сентября 2019 года</w:t>
      </w:r>
    </w:p>
    <w:p w:rsidR="00603572" w:rsidRPr="00802D35" w:rsidRDefault="00603572" w:rsidP="00C46FE2">
      <w:pPr>
        <w:pStyle w:val="a3"/>
        <w:widowControl w:val="0"/>
        <w:numPr>
          <w:ilvl w:val="0"/>
          <w:numId w:val="10"/>
        </w:numPr>
        <w:tabs>
          <w:tab w:val="left" w:pos="1134"/>
          <w:tab w:val="left" w:pos="1418"/>
        </w:tabs>
        <w:spacing w:after="0" w:line="240" w:lineRule="auto"/>
        <w:ind w:left="0" w:firstLine="709"/>
        <w:jc w:val="both"/>
        <w:rPr>
          <w:rFonts w:ascii="Times New Roman" w:hAnsi="Times New Roman" w:cs="Times New Roman"/>
          <w:sz w:val="28"/>
          <w:szCs w:val="28"/>
        </w:rPr>
      </w:pPr>
      <w:r w:rsidRPr="00802D35">
        <w:rPr>
          <w:rFonts w:ascii="Times New Roman" w:hAnsi="Times New Roman" w:cs="Times New Roman"/>
          <w:color w:val="000000"/>
          <w:sz w:val="28"/>
          <w:szCs w:val="28"/>
        </w:rPr>
        <w:t>Постановление Правления НБРК от 31.12.19 г. № 267 "О внесении изменений и дополнений в некоторые постановления Правления Национального Банка Республики Казахстан по вопросам ведения бухгалтерского учета"</w:t>
      </w:r>
    </w:p>
    <w:p w:rsidR="00603572" w:rsidRPr="00802D35" w:rsidRDefault="00603572" w:rsidP="00C46FE2">
      <w:pPr>
        <w:pStyle w:val="a3"/>
        <w:widowControl w:val="0"/>
        <w:numPr>
          <w:ilvl w:val="0"/>
          <w:numId w:val="10"/>
        </w:numPr>
        <w:tabs>
          <w:tab w:val="left" w:pos="1134"/>
          <w:tab w:val="left" w:pos="1418"/>
        </w:tabs>
        <w:spacing w:after="0" w:line="240" w:lineRule="auto"/>
        <w:ind w:left="0" w:firstLine="709"/>
        <w:jc w:val="both"/>
        <w:rPr>
          <w:rFonts w:ascii="Times New Roman" w:hAnsi="Times New Roman" w:cs="Times New Roman"/>
          <w:sz w:val="28"/>
          <w:szCs w:val="28"/>
        </w:rPr>
      </w:pPr>
      <w:r w:rsidRPr="00802D35">
        <w:rPr>
          <w:rStyle w:val="s1"/>
          <w:rFonts w:ascii="Times New Roman" w:hAnsi="Times New Roman" w:cs="Times New Roman"/>
          <w:bCs/>
          <w:sz w:val="28"/>
          <w:szCs w:val="28"/>
        </w:rPr>
        <w:t>Программа повышения финансовой устойчивости банковского сектора Республики Казахстан/</w:t>
      </w:r>
      <w:r w:rsidRPr="00802D35">
        <w:rPr>
          <w:rStyle w:val="s1"/>
          <w:rFonts w:ascii="Times New Roman" w:hAnsi="Times New Roman" w:cs="Times New Roman"/>
          <w:sz w:val="28"/>
          <w:szCs w:val="28"/>
        </w:rPr>
        <w:t xml:space="preserve"> </w:t>
      </w:r>
      <w:r w:rsidRPr="00802D35">
        <w:rPr>
          <w:rStyle w:val="s0"/>
          <w:rFonts w:ascii="Times New Roman" w:hAnsi="Times New Roman" w:cs="Times New Roman"/>
          <w:sz w:val="28"/>
          <w:szCs w:val="28"/>
        </w:rPr>
        <w:t xml:space="preserve">Одобрено </w:t>
      </w:r>
      <w:r w:rsidRPr="00802D35">
        <w:rPr>
          <w:rStyle w:val="s2"/>
          <w:rFonts w:ascii="Times New Roman" w:hAnsi="Times New Roman" w:cs="Times New Roman"/>
          <w:sz w:val="28"/>
          <w:szCs w:val="28"/>
        </w:rPr>
        <w:t>Постановлением</w:t>
      </w:r>
      <w:r w:rsidRPr="00802D35">
        <w:rPr>
          <w:rStyle w:val="s2"/>
          <w:rFonts w:ascii="Times New Roman" w:hAnsi="Times New Roman" w:cs="Times New Roman"/>
          <w:sz w:val="28"/>
          <w:szCs w:val="28"/>
          <w:u w:val="single"/>
        </w:rPr>
        <w:t xml:space="preserve"> </w:t>
      </w:r>
      <w:r w:rsidRPr="00802D35">
        <w:rPr>
          <w:rStyle w:val="s0"/>
          <w:rFonts w:ascii="Times New Roman" w:hAnsi="Times New Roman" w:cs="Times New Roman"/>
          <w:sz w:val="28"/>
          <w:szCs w:val="28"/>
        </w:rPr>
        <w:t>Правления Национального Банка Республики Казахстан № 129 от 30 июня 2017 года</w:t>
      </w:r>
    </w:p>
    <w:p w:rsidR="00603572" w:rsidRPr="00802D35" w:rsidRDefault="00603572" w:rsidP="00C46FE2">
      <w:pPr>
        <w:widowControl w:val="0"/>
        <w:tabs>
          <w:tab w:val="left" w:pos="1134"/>
          <w:tab w:val="left" w:pos="1418"/>
        </w:tabs>
        <w:spacing w:after="0" w:line="240" w:lineRule="auto"/>
        <w:ind w:firstLine="709"/>
        <w:jc w:val="both"/>
        <w:rPr>
          <w:rFonts w:ascii="Times New Roman" w:hAnsi="Times New Roman" w:cs="Times New Roman"/>
          <w:b/>
          <w:sz w:val="28"/>
          <w:szCs w:val="28"/>
        </w:rPr>
      </w:pPr>
    </w:p>
    <w:p w:rsidR="00603572" w:rsidRPr="00802D35" w:rsidRDefault="00603572" w:rsidP="00C46FE2">
      <w:pPr>
        <w:widowControl w:val="0"/>
        <w:tabs>
          <w:tab w:val="left" w:pos="1134"/>
          <w:tab w:val="left" w:pos="1418"/>
        </w:tabs>
        <w:spacing w:after="0" w:line="240" w:lineRule="auto"/>
        <w:ind w:firstLine="709"/>
        <w:jc w:val="both"/>
        <w:rPr>
          <w:rFonts w:ascii="Times New Roman" w:hAnsi="Times New Roman" w:cs="Times New Roman"/>
          <w:b/>
          <w:sz w:val="28"/>
          <w:szCs w:val="28"/>
        </w:rPr>
      </w:pPr>
    </w:p>
    <w:p w:rsidR="00603572" w:rsidRPr="00802D35" w:rsidRDefault="00603572" w:rsidP="00603572">
      <w:pPr>
        <w:widowControl w:val="0"/>
        <w:spacing w:after="0" w:line="240" w:lineRule="auto"/>
        <w:ind w:firstLine="567"/>
        <w:jc w:val="both"/>
        <w:rPr>
          <w:rFonts w:ascii="Times New Roman" w:hAnsi="Times New Roman" w:cs="Times New Roman"/>
          <w:b/>
          <w:sz w:val="28"/>
          <w:szCs w:val="28"/>
        </w:rPr>
      </w:pPr>
    </w:p>
    <w:p w:rsidR="00603572" w:rsidRPr="00802D35" w:rsidRDefault="00603572" w:rsidP="00603572">
      <w:pPr>
        <w:widowControl w:val="0"/>
        <w:spacing w:after="0" w:line="240" w:lineRule="auto"/>
        <w:ind w:firstLine="567"/>
        <w:jc w:val="both"/>
        <w:rPr>
          <w:rFonts w:ascii="Times New Roman" w:hAnsi="Times New Roman" w:cs="Times New Roman"/>
          <w:b/>
          <w:sz w:val="28"/>
          <w:szCs w:val="28"/>
        </w:rPr>
      </w:pPr>
    </w:p>
    <w:p w:rsidR="00603572" w:rsidRPr="00802D35" w:rsidRDefault="00603572" w:rsidP="00603572">
      <w:pPr>
        <w:pStyle w:val="a3"/>
        <w:widowControl w:val="0"/>
        <w:shd w:val="clear" w:color="auto" w:fill="FFFFFF"/>
        <w:tabs>
          <w:tab w:val="left" w:pos="1134"/>
          <w:tab w:val="left" w:pos="1276"/>
        </w:tabs>
        <w:spacing w:after="0" w:line="240" w:lineRule="auto"/>
        <w:ind w:left="567"/>
        <w:contextualSpacing w:val="0"/>
        <w:jc w:val="center"/>
        <w:rPr>
          <w:rFonts w:ascii="Times New Roman" w:eastAsia="Times New Roman" w:hAnsi="Times New Roman" w:cs="Times New Roman"/>
          <w:b/>
          <w:kern w:val="36"/>
          <w:sz w:val="28"/>
          <w:szCs w:val="28"/>
          <w:lang w:eastAsia="ru-RU"/>
        </w:rPr>
      </w:pPr>
      <w:r w:rsidRPr="00802D35">
        <w:rPr>
          <w:rFonts w:ascii="Times New Roman" w:eastAsia="Times New Roman" w:hAnsi="Times New Roman" w:cs="Times New Roman"/>
          <w:b/>
          <w:kern w:val="36"/>
          <w:sz w:val="28"/>
          <w:szCs w:val="28"/>
          <w:lang w:eastAsia="ru-RU"/>
        </w:rPr>
        <w:lastRenderedPageBreak/>
        <w:t>ОПРЕДЕЛЕНИЯ</w:t>
      </w:r>
    </w:p>
    <w:p w:rsidR="00603572" w:rsidRPr="00802D35" w:rsidRDefault="00603572" w:rsidP="00603572">
      <w:pPr>
        <w:pStyle w:val="a3"/>
        <w:widowControl w:val="0"/>
        <w:shd w:val="clear" w:color="auto" w:fill="FFFFFF"/>
        <w:tabs>
          <w:tab w:val="left" w:pos="1134"/>
          <w:tab w:val="left" w:pos="1276"/>
        </w:tabs>
        <w:spacing w:after="0" w:line="240" w:lineRule="auto"/>
        <w:ind w:left="567"/>
        <w:contextualSpacing w:val="0"/>
        <w:jc w:val="both"/>
        <w:rPr>
          <w:rFonts w:ascii="Times New Roman" w:hAnsi="Times New Roman" w:cs="Times New Roman"/>
          <w:sz w:val="28"/>
          <w:szCs w:val="28"/>
        </w:rPr>
      </w:pP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Фондирование банковской деятельности представляет собой континуальный, целенаправленный и контролируемый процесс формирования фонда финансовых ресурсов с наименьшей стоимостью и трансформации их в средства финансирования доходных активных операций в пределах имеющихся ресурсов банка/</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Конкурентоустойчивость банка  - это не только как способность работать и выживать в конкурентной среде, но и как способность предлагать такие продукты и услуги (или даже создавать на них спрос), которые нацелят банк на достижение эффективных финансовых результатов, несмотря на трудности и ограничения, обусловленные характером изменчивости финансового рынка страны.</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Стоимость фондирования для банка - это цена, которую он должен заплатить, чтобы возместить свои обязательства.</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Предельная стоимость фондирования - это стоимость дополнительной единицы фондирования и ее вклад в средневзвешенную стоимость фондирования банка в целом.</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Стоимость запаса фондирования - это цена привлеченных ресурсов банка, которые в течение определенного времени не были распределены в активы.</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Риск ликвидности - это риск того, что актив не может быть конвертирован в денежные средства только в короткие сроки при условии существенного снижения его цены.</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Источники фондирования</w:t>
      </w:r>
      <w:r w:rsidRPr="00802D35">
        <w:rPr>
          <w:rFonts w:ascii="Times New Roman" w:hAnsi="Times New Roman" w:cs="Times New Roman"/>
          <w:i/>
          <w:sz w:val="28"/>
          <w:szCs w:val="28"/>
        </w:rPr>
        <w:t xml:space="preserve"> - </w:t>
      </w:r>
      <w:r w:rsidRPr="00802D35">
        <w:rPr>
          <w:rFonts w:ascii="Times New Roman" w:hAnsi="Times New Roman" w:cs="Times New Roman"/>
          <w:sz w:val="28"/>
          <w:szCs w:val="28"/>
        </w:rPr>
        <w:t xml:space="preserve">это ресурсы, основа их происхождения, то есть, откуда берутся те или иные ресурсы для финансирования деятельности банков. </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Инструменты фондирования</w:t>
      </w:r>
      <w:r w:rsidRPr="00802D35">
        <w:rPr>
          <w:rFonts w:ascii="Times New Roman" w:hAnsi="Times New Roman" w:cs="Times New Roman"/>
          <w:i/>
          <w:sz w:val="28"/>
          <w:szCs w:val="28"/>
        </w:rPr>
        <w:t xml:space="preserve"> </w:t>
      </w:r>
      <w:r w:rsidRPr="00802D35">
        <w:rPr>
          <w:rFonts w:ascii="Times New Roman" w:hAnsi="Times New Roman" w:cs="Times New Roman"/>
          <w:sz w:val="28"/>
          <w:szCs w:val="28"/>
        </w:rPr>
        <w:t>- это совокупность способов и методов обеспечения деятельности банка соответствующими ресурсами.</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Внутреннее фондирование - процесс привлечения свободных денежных ресурсов компаний и физических лиц на рынке Казахстана.</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Внешнее фондирование для банков - вся совокупность свободных средств, доступных для привлечения на рынке Казахстана, то есть это то самое внутреннее фондирование при рассмотрении на макроуровне.</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Срочное фондирование – обеспечение ресурсами на заранее определенный срок.</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Розничное фондирование - различные типы вкладов, которые население и небольшие компании хранят в банке.</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Оптовое фондирование – вклады финансовых институтов в банках второго уровня.</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Сделки репо - операции по продаже ценных бумаг банком с условием обязательного их выкупа через заранее оговоренный определенный срок.</w:t>
      </w: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center"/>
        <w:rPr>
          <w:rFonts w:ascii="Times New Roman" w:hAnsi="Times New Roman" w:cs="Times New Roman"/>
          <w:b/>
          <w:sz w:val="28"/>
          <w:szCs w:val="28"/>
        </w:rPr>
      </w:pPr>
    </w:p>
    <w:p w:rsidR="00603572" w:rsidRPr="00802D35" w:rsidRDefault="00603572" w:rsidP="00603572">
      <w:pPr>
        <w:pStyle w:val="a3"/>
        <w:widowControl w:val="0"/>
        <w:shd w:val="clear" w:color="auto" w:fill="FFFFFF"/>
        <w:tabs>
          <w:tab w:val="left" w:pos="1134"/>
          <w:tab w:val="left" w:pos="1276"/>
        </w:tabs>
        <w:spacing w:after="0" w:line="240" w:lineRule="auto"/>
        <w:ind w:left="0" w:firstLine="567"/>
        <w:contextualSpacing w:val="0"/>
        <w:jc w:val="center"/>
        <w:rPr>
          <w:rFonts w:ascii="Times New Roman" w:hAnsi="Times New Roman" w:cs="Times New Roman"/>
          <w:b/>
          <w:sz w:val="28"/>
          <w:szCs w:val="28"/>
        </w:rPr>
      </w:pPr>
      <w:r w:rsidRPr="00802D35">
        <w:rPr>
          <w:rFonts w:ascii="Times New Roman" w:hAnsi="Times New Roman" w:cs="Times New Roman"/>
          <w:b/>
          <w:sz w:val="28"/>
          <w:szCs w:val="28"/>
        </w:rPr>
        <w:lastRenderedPageBreak/>
        <w:t>ОБОЗНАЧЕНИЯ И СОКРАЩЕНИЯ</w:t>
      </w:r>
    </w:p>
    <w:p w:rsidR="00603572" w:rsidRPr="00802D35" w:rsidRDefault="00603572" w:rsidP="00603572">
      <w:pPr>
        <w:widowControl w:val="0"/>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2093"/>
        <w:gridCol w:w="7761"/>
      </w:tblGrid>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БВУ</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Банки второго уровня</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НБРК</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Национальный банк Республики Казахстан</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СОГД</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Система обязательного гарантирования депозитов</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bCs/>
                <w:sz w:val="28"/>
                <w:szCs w:val="28"/>
                <w:shd w:val="clear" w:color="auto" w:fill="FFFFFF"/>
                <w:lang w:eastAsia="ru-RU"/>
              </w:rPr>
              <w:t>ДАМУ</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Фонд развития предпринимательства Республики Казахстан</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WACC</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Средневзвешенная стоимость капитала</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IPO</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Первичное публичное размещение акций</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NSFR</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Коэффициент нетто стабильного фондирования</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k -1</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Коэффициент достаточности основного капитала</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k -2</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Коэффициент достаточности собственного капитала</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k1-2</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Коэффициент достаточности капитала первого уровня</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k-7</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Коэффициент обязательств перед нерезидентами РК</w:t>
            </w:r>
          </w:p>
        </w:tc>
      </w:tr>
      <w:tr w:rsidR="00603572" w:rsidRPr="00802D35" w:rsidTr="00603572">
        <w:tc>
          <w:tcPr>
            <w:tcW w:w="2093" w:type="dxa"/>
          </w:tcPr>
          <w:p w:rsidR="00603572" w:rsidRPr="00802D35" w:rsidRDefault="00603572" w:rsidP="00603572">
            <w:pPr>
              <w:widowControl w:val="0"/>
              <w:spacing w:after="0" w:line="240" w:lineRule="auto"/>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СВ</w:t>
            </w:r>
          </w:p>
        </w:tc>
        <w:tc>
          <w:tcPr>
            <w:tcW w:w="7761" w:type="dxa"/>
          </w:tcPr>
          <w:p w:rsidR="00603572" w:rsidRPr="00802D35" w:rsidRDefault="00603572" w:rsidP="00603572">
            <w:pPr>
              <w:widowControl w:val="0"/>
              <w:spacing w:after="0" w:line="240" w:lineRule="auto"/>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Срочные вклады</w:t>
            </w:r>
          </w:p>
        </w:tc>
      </w:tr>
      <w:tr w:rsidR="00603572" w:rsidRPr="00802D35" w:rsidTr="00603572">
        <w:tc>
          <w:tcPr>
            <w:tcW w:w="2093" w:type="dxa"/>
          </w:tcPr>
          <w:p w:rsidR="00603572" w:rsidRPr="00802D35" w:rsidRDefault="00603572" w:rsidP="00603572">
            <w:pPr>
              <w:widowControl w:val="0"/>
              <w:spacing w:after="0" w:line="240" w:lineRule="auto"/>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РВ</w:t>
            </w:r>
          </w:p>
        </w:tc>
        <w:tc>
          <w:tcPr>
            <w:tcW w:w="7761" w:type="dxa"/>
          </w:tcPr>
          <w:p w:rsidR="00603572" w:rsidRPr="00802D35" w:rsidRDefault="00603572" w:rsidP="00603572">
            <w:pPr>
              <w:widowControl w:val="0"/>
              <w:spacing w:after="0" w:line="240" w:lineRule="auto"/>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Розничные вклады</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MBS</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Секьюритизация ипотечных кредитов для создания ценных бумаг, обеспеченных ипотекой</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РЕПО</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Операции по продаже ценных бумаг банком с условием обязательного их выкупа</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ВВП</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Валовый внутренний продукт</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МНК</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Метод наименьших квадратов</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bCs/>
                <w:sz w:val="28"/>
                <w:szCs w:val="28"/>
              </w:rPr>
              <w:t>MANOVA</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shd w:val="clear" w:color="auto" w:fill="FFFFFF"/>
              </w:rPr>
              <w:t>Многофакторный дисперсионный анализ</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heme="minorEastAsia" w:hAnsi="Times New Roman" w:cs="Times New Roman"/>
                <w:color w:val="000000" w:themeColor="dark1"/>
                <w:sz w:val="28"/>
                <w:szCs w:val="28"/>
              </w:rPr>
              <w:t>SS</w:t>
            </w:r>
            <w:r w:rsidRPr="00802D35">
              <w:rPr>
                <w:rFonts w:ascii="Times New Roman" w:eastAsiaTheme="minorEastAsia" w:hAnsi="Times New Roman" w:cs="Times New Roman"/>
                <w:color w:val="000000" w:themeColor="dark1"/>
                <w:sz w:val="28"/>
                <w:szCs w:val="28"/>
                <w:vertAlign w:val="subscript"/>
              </w:rPr>
              <w:t>T</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heme="minorEastAsia" w:hAnsi="Times New Roman" w:cs="Times New Roman"/>
                <w:color w:val="000000" w:themeColor="dark1"/>
                <w:sz w:val="28"/>
                <w:szCs w:val="28"/>
              </w:rPr>
              <w:t>Сумма квадратов отклонений значений переменных в совокупности</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color w:val="000000"/>
                <w:sz w:val="28"/>
                <w:szCs w:val="28"/>
              </w:rPr>
              <w:t>SS</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color w:val="000000"/>
                <w:sz w:val="28"/>
                <w:szCs w:val="28"/>
              </w:rPr>
              <w:t>Сумма квадратов отклонений</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color w:val="000000"/>
                <w:sz w:val="28"/>
                <w:szCs w:val="28"/>
              </w:rPr>
              <w:t>MS</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color w:val="000000"/>
                <w:sz w:val="28"/>
                <w:szCs w:val="28"/>
              </w:rPr>
              <w:t xml:space="preserve">Средняя квадратов отклонений </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Style w:val="af"/>
                <w:rFonts w:ascii="Times New Roman" w:hAnsi="Times New Roman" w:cs="Times New Roman"/>
                <w:b w:val="0"/>
                <w:sz w:val="28"/>
                <w:szCs w:val="28"/>
              </w:rPr>
              <w:t>AIC</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Style w:val="af"/>
                <w:rFonts w:ascii="Times New Roman" w:hAnsi="Times New Roman" w:cs="Times New Roman"/>
                <w:b w:val="0"/>
                <w:sz w:val="28"/>
                <w:szCs w:val="28"/>
              </w:rPr>
              <w:t>Информационный критерий Акаике</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МСБ</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Малый и средний бизнес</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БРК</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Банк Развития Казахстана</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МФЦА</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Международный финансовый центр Алматы</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VIF</w:t>
            </w:r>
          </w:p>
        </w:tc>
        <w:tc>
          <w:tcPr>
            <w:tcW w:w="7761" w:type="dxa"/>
          </w:tcPr>
          <w:p w:rsidR="00603572" w:rsidRPr="00802D35" w:rsidRDefault="00603572" w:rsidP="00603572">
            <w:pPr>
              <w:widowControl w:val="0"/>
              <w:spacing w:after="0" w:line="240" w:lineRule="auto"/>
              <w:rPr>
                <w:rFonts w:ascii="Times New Roman" w:hAnsi="Times New Roman" w:cs="Times New Roman"/>
                <w:i/>
                <w:sz w:val="28"/>
                <w:szCs w:val="28"/>
              </w:rPr>
            </w:pPr>
            <w:r w:rsidRPr="00802D35">
              <w:rPr>
                <w:rStyle w:val="HTML"/>
                <w:rFonts w:ascii="Times New Roman" w:hAnsi="Times New Roman" w:cs="Times New Roman"/>
                <w:i w:val="0"/>
                <w:sz w:val="28"/>
                <w:szCs w:val="28"/>
                <w:shd w:val="clear" w:color="auto" w:fill="FFFFFF"/>
              </w:rPr>
              <w:t>Коэффициент увеличения регрессии</w:t>
            </w:r>
          </w:p>
        </w:tc>
      </w:tr>
      <w:tr w:rsidR="00603572" w:rsidRPr="00802D35" w:rsidTr="00603572">
        <w:tc>
          <w:tcPr>
            <w:tcW w:w="2093" w:type="dxa"/>
          </w:tcPr>
          <w:p w:rsidR="00603572" w:rsidRPr="00802D35" w:rsidRDefault="00603572" w:rsidP="00603572">
            <w:pPr>
              <w:widowControl w:val="0"/>
              <w:spacing w:after="0" w:line="240" w:lineRule="auto"/>
              <w:rPr>
                <w:rFonts w:ascii="Times New Roman" w:eastAsia="Times New Roman" w:hAnsi="Times New Roman" w:cs="Times New Roman"/>
                <w:sz w:val="28"/>
                <w:szCs w:val="28"/>
                <w:lang w:eastAsia="ru-RU"/>
              </w:rPr>
            </w:pPr>
            <w:r w:rsidRPr="00802D35">
              <w:rPr>
                <w:rFonts w:ascii="Times New Roman" w:hAnsi="Times New Roman" w:cs="Times New Roman"/>
                <w:sz w:val="28"/>
                <w:szCs w:val="28"/>
                <w:shd w:val="clear" w:color="auto" w:fill="FFFFFF"/>
              </w:rPr>
              <w:t>HHI</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shd w:val="clear" w:color="auto" w:fill="FFFFFF"/>
              </w:rPr>
              <w:t xml:space="preserve">Индекс </w:t>
            </w:r>
            <w:r w:rsidR="00CB5CC3" w:rsidRPr="00802D35">
              <w:rPr>
                <w:rFonts w:ascii="Times New Roman" w:hAnsi="Times New Roman" w:cs="Times New Roman"/>
                <w:sz w:val="28"/>
                <w:szCs w:val="28"/>
                <w:shd w:val="clear" w:color="auto" w:fill="FFFFFF"/>
              </w:rPr>
              <w:t>Херфиндаля-</w:t>
            </w:r>
            <w:r w:rsidRPr="00802D35">
              <w:rPr>
                <w:rFonts w:ascii="Times New Roman" w:hAnsi="Times New Roman" w:cs="Times New Roman"/>
                <w:sz w:val="28"/>
                <w:szCs w:val="28"/>
                <w:shd w:val="clear" w:color="auto" w:fill="FFFFFF"/>
              </w:rPr>
              <w:t>Хиршмана</w:t>
            </w:r>
          </w:p>
        </w:tc>
      </w:tr>
      <w:tr w:rsidR="00603572" w:rsidRPr="00802D35" w:rsidTr="00603572">
        <w:tc>
          <w:tcPr>
            <w:tcW w:w="2093"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МФО</w:t>
            </w:r>
          </w:p>
        </w:tc>
        <w:tc>
          <w:tcPr>
            <w:tcW w:w="7761" w:type="dxa"/>
          </w:tcPr>
          <w:p w:rsidR="00603572" w:rsidRPr="00802D35" w:rsidRDefault="00603572" w:rsidP="00603572">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Международная финансовая организация</w:t>
            </w:r>
          </w:p>
        </w:tc>
      </w:tr>
    </w:tbl>
    <w:p w:rsidR="00603572" w:rsidRPr="00802D35" w:rsidRDefault="00603572" w:rsidP="00603572">
      <w:pPr>
        <w:widowControl w:val="0"/>
        <w:spacing w:after="0" w:line="240" w:lineRule="auto"/>
        <w:rPr>
          <w:rFonts w:ascii="Times New Roman" w:hAnsi="Times New Roman" w:cs="Times New Roman"/>
          <w:sz w:val="28"/>
          <w:szCs w:val="28"/>
        </w:rPr>
      </w:pPr>
    </w:p>
    <w:p w:rsidR="00603572" w:rsidRPr="00802D35" w:rsidRDefault="00603572" w:rsidP="00603572">
      <w:pPr>
        <w:widowControl w:val="0"/>
      </w:pPr>
    </w:p>
    <w:p w:rsidR="00603572" w:rsidRPr="00802D35" w:rsidRDefault="00603572" w:rsidP="00603572">
      <w:pPr>
        <w:widowControl w:val="0"/>
      </w:pPr>
    </w:p>
    <w:p w:rsidR="00603572" w:rsidRPr="00802D35" w:rsidRDefault="00603572" w:rsidP="00603572">
      <w:pPr>
        <w:widowControl w:val="0"/>
      </w:pPr>
    </w:p>
    <w:p w:rsidR="00603572" w:rsidRPr="00802D35" w:rsidRDefault="00603572" w:rsidP="00603572">
      <w:pPr>
        <w:widowControl w:val="0"/>
      </w:pPr>
    </w:p>
    <w:p w:rsidR="00603572" w:rsidRPr="00802D35" w:rsidRDefault="00603572" w:rsidP="00603572">
      <w:pPr>
        <w:widowControl w:val="0"/>
      </w:pPr>
    </w:p>
    <w:p w:rsidR="00603572" w:rsidRPr="00802D35" w:rsidRDefault="00603572" w:rsidP="00603572">
      <w:pPr>
        <w:widowControl w:val="0"/>
      </w:pPr>
    </w:p>
    <w:p w:rsidR="00C21A73" w:rsidRPr="00802D35" w:rsidRDefault="00C21A73">
      <w:pPr>
        <w:rPr>
          <w:rFonts w:ascii="Times New Roman" w:hAnsi="Times New Roman" w:cs="Times New Roman"/>
          <w:b/>
          <w:sz w:val="28"/>
          <w:szCs w:val="28"/>
        </w:rPr>
      </w:pPr>
      <w:r w:rsidRPr="00802D35">
        <w:rPr>
          <w:rFonts w:ascii="Times New Roman" w:hAnsi="Times New Roman" w:cs="Times New Roman"/>
          <w:b/>
          <w:sz w:val="28"/>
          <w:szCs w:val="28"/>
        </w:rPr>
        <w:br w:type="page"/>
      </w:r>
    </w:p>
    <w:p w:rsidR="00603572" w:rsidRPr="00802D35" w:rsidRDefault="00603572" w:rsidP="00F3665C">
      <w:pPr>
        <w:widowControl w:val="0"/>
        <w:tabs>
          <w:tab w:val="left" w:pos="6624"/>
        </w:tabs>
        <w:jc w:val="center"/>
        <w:rPr>
          <w:rFonts w:ascii="Times New Roman" w:hAnsi="Times New Roman" w:cs="Times New Roman"/>
          <w:b/>
          <w:sz w:val="28"/>
          <w:szCs w:val="28"/>
        </w:rPr>
      </w:pPr>
      <w:r w:rsidRPr="00802D35">
        <w:rPr>
          <w:rFonts w:ascii="Times New Roman" w:hAnsi="Times New Roman" w:cs="Times New Roman"/>
          <w:b/>
          <w:sz w:val="28"/>
          <w:szCs w:val="28"/>
        </w:rPr>
        <w:lastRenderedPageBreak/>
        <w:t>ВВЕДЕНИЕ</w:t>
      </w:r>
    </w:p>
    <w:p w:rsidR="00603572" w:rsidRPr="00802D35" w:rsidRDefault="00603572" w:rsidP="00603572">
      <w:pPr>
        <w:widowControl w:val="0"/>
        <w:spacing w:after="0" w:line="240" w:lineRule="auto"/>
        <w:ind w:firstLine="567"/>
        <w:jc w:val="both"/>
        <w:rPr>
          <w:rFonts w:ascii="Times New Roman" w:hAnsi="Times New Roman" w:cs="Times New Roman"/>
          <w:b/>
          <w:caps/>
          <w:sz w:val="28"/>
          <w:szCs w:val="28"/>
        </w:rPr>
      </w:pP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b/>
          <w:sz w:val="28"/>
          <w:szCs w:val="28"/>
        </w:rPr>
        <w:t>Актуальность темы исследования</w:t>
      </w:r>
      <w:r w:rsidRPr="00802D35">
        <w:rPr>
          <w:rFonts w:ascii="Times New Roman" w:hAnsi="Times New Roman" w:cs="Times New Roman"/>
          <w:sz w:val="28"/>
          <w:szCs w:val="28"/>
        </w:rPr>
        <w:t xml:space="preserve">. Как известно, выбор источников, применение инструментов фондирования, создание сбалансированности поступления ресурсов и их качественного распределения составляют ключ к успеху банковского бизнеса. Учитывая тот факт, что банковский сектор является основополагающим в развитии экономики любого государства, несложно идентифицировать влияние деятельности банков второго уровня на степень экономического развития страны. </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Одновременно, рассматривая влияние банковского сектора на развитие экономики, нельзя исключить факторы воздействия на эффективность деятельности банков второго уровня. Детерминанты финансирования банков существенно отличаются от структуры в нефинансовых организациях. Поскольку деятельность банков зиждется преимущественно на привлеченных ресурсах, то они оказывают значительное влияние на финансовую стабильность и экономический рост, в связи с чем подлежать обязательному и строгому регулированию. Учитывая тот факт, что банки в значительной степени финансируются за счет депозитов, которые покрываются схемами гарантий, банки всегда должны иметь м</w:t>
      </w:r>
      <w:r w:rsidR="00754D72" w:rsidRPr="00802D35">
        <w:rPr>
          <w:rFonts w:ascii="Times New Roman" w:hAnsi="Times New Roman" w:cs="Times New Roman"/>
          <w:sz w:val="28"/>
          <w:szCs w:val="28"/>
          <w:lang w:val="kk-KZ"/>
        </w:rPr>
        <w:t xml:space="preserve">аксимальные </w:t>
      </w:r>
      <w:r w:rsidRPr="00802D35">
        <w:rPr>
          <w:rFonts w:ascii="Times New Roman" w:hAnsi="Times New Roman" w:cs="Times New Roman"/>
          <w:sz w:val="28"/>
          <w:szCs w:val="28"/>
        </w:rPr>
        <w:t>суммы ликвидных активов для покрытия убытков и снижения рисков ответственности по текущим обязательствам.</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результате возникают вопросы влияния пруденциального регулирования  на стоимость фондирования для банков, поскольку прямой эффект от сокращения </w:t>
      </w:r>
      <w:r w:rsidR="00754D72" w:rsidRPr="00802D35">
        <w:rPr>
          <w:rFonts w:ascii="Times New Roman" w:hAnsi="Times New Roman" w:cs="Times New Roman"/>
          <w:sz w:val="28"/>
          <w:szCs w:val="28"/>
          <w:lang w:val="kk-KZ"/>
        </w:rPr>
        <w:t xml:space="preserve">прямой </w:t>
      </w:r>
      <w:r w:rsidRPr="00802D35">
        <w:rPr>
          <w:rFonts w:ascii="Times New Roman" w:hAnsi="Times New Roman" w:cs="Times New Roman"/>
          <w:sz w:val="28"/>
          <w:szCs w:val="28"/>
        </w:rPr>
        <w:t xml:space="preserve">поддержки государственного сектора, по крайней мере, частично компенсируется снижением принятия банками рисков. Хотя переход к пересмотренной нормативно-правовой базе может ограничить кредитование в краткосрочной перспективе, ожидается, что он повысит экономическое благосостояние в среднесрочной и долгосрочной перспективе, поскольку сдерживаются негативные внешние эффекты, связанные с системными кризисами. </w:t>
      </w:r>
    </w:p>
    <w:p w:rsidR="006C66D5" w:rsidRPr="00802D35" w:rsidRDefault="006C66D5" w:rsidP="006C66D5">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послании «Стратегии «Казахстан – 2050»: Новый политический курс состоявшегося государства» отмечено, что  «банки выполняя свои предназначение должны обеспечивать потребность реального сектора экономики необходимыми кредитными ресурсами. </w:t>
      </w:r>
      <w:r w:rsidRPr="00802D35">
        <w:rPr>
          <w:rFonts w:ascii="Times New Roman" w:eastAsia="Times New Roman" w:hAnsi="Times New Roman" w:cs="Times New Roman"/>
          <w:sz w:val="28"/>
          <w:szCs w:val="28"/>
        </w:rPr>
        <w:t>Для этого Национальному банку и Правительству при координации Администрации Президента необходимо разработать концептуально </w:t>
      </w:r>
      <w:r w:rsidRPr="00802D35">
        <w:rPr>
          <w:rFonts w:ascii="Times New Roman" w:eastAsia="Times New Roman" w:hAnsi="Times New Roman" w:cs="Times New Roman"/>
          <w:bCs/>
          <w:sz w:val="28"/>
          <w:szCs w:val="28"/>
        </w:rPr>
        <w:t>новую систему денежно</w:t>
      </w:r>
      <w:r w:rsidRPr="00802D35">
        <w:rPr>
          <w:rFonts w:ascii="Times New Roman" w:eastAsia="Times New Roman" w:hAnsi="Times New Roman" w:cs="Times New Roman"/>
          <w:b/>
          <w:bCs/>
          <w:sz w:val="28"/>
          <w:szCs w:val="28"/>
        </w:rPr>
        <w:t>-</w:t>
      </w:r>
      <w:r w:rsidRPr="00802D35">
        <w:rPr>
          <w:rFonts w:ascii="Times New Roman" w:eastAsia="Times New Roman" w:hAnsi="Times New Roman" w:cs="Times New Roman"/>
          <w:bCs/>
          <w:sz w:val="28"/>
          <w:szCs w:val="28"/>
        </w:rPr>
        <w:t>кредитной</w:t>
      </w:r>
      <w:r w:rsidRPr="00802D35">
        <w:rPr>
          <w:rFonts w:ascii="Times New Roman" w:eastAsia="Times New Roman" w:hAnsi="Times New Roman" w:cs="Times New Roman"/>
          <w:b/>
          <w:bCs/>
          <w:sz w:val="28"/>
          <w:szCs w:val="28"/>
        </w:rPr>
        <w:t xml:space="preserve"> </w:t>
      </w:r>
      <w:r w:rsidRPr="00802D35">
        <w:rPr>
          <w:rFonts w:ascii="Times New Roman" w:eastAsia="Times New Roman" w:hAnsi="Times New Roman" w:cs="Times New Roman"/>
          <w:bCs/>
          <w:sz w:val="28"/>
          <w:szCs w:val="28"/>
        </w:rPr>
        <w:t xml:space="preserve">политики, </w:t>
      </w:r>
      <w:r w:rsidRPr="00802D35">
        <w:rPr>
          <w:rFonts w:ascii="Times New Roman" w:eastAsia="Times New Roman" w:hAnsi="Times New Roman" w:cs="Times New Roman"/>
          <w:sz w:val="28"/>
          <w:szCs w:val="28"/>
        </w:rPr>
        <w:t>направленную на обеспечение экономики необходимыми денежными ресурсами»</w:t>
      </w:r>
      <w:r w:rsidR="000B0564" w:rsidRPr="00802D35">
        <w:rPr>
          <w:rFonts w:ascii="Times New Roman" w:eastAsia="Times New Roman" w:hAnsi="Times New Roman" w:cs="Times New Roman"/>
          <w:sz w:val="28"/>
          <w:szCs w:val="28"/>
        </w:rPr>
        <w:t xml:space="preserve"> [1]</w:t>
      </w:r>
      <w:r w:rsidRPr="00802D35">
        <w:rPr>
          <w:rFonts w:ascii="Times New Roman" w:eastAsia="Times New Roman" w:hAnsi="Times New Roman" w:cs="Times New Roman"/>
          <w:sz w:val="28"/>
          <w:szCs w:val="28"/>
        </w:rPr>
        <w:t>.</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Во время кризиса и в результате вспышки пандемии Covid-19 изменились не только общие уровни фондирования банков, но и их структура.</w:t>
      </w:r>
      <w:r w:rsidRPr="00802D35">
        <w:t xml:space="preserve"> </w:t>
      </w:r>
      <w:r w:rsidRPr="00802D35">
        <w:rPr>
          <w:rFonts w:ascii="Times New Roman" w:hAnsi="Times New Roman" w:cs="Times New Roman"/>
          <w:sz w:val="28"/>
          <w:szCs w:val="28"/>
        </w:rPr>
        <w:t xml:space="preserve">Усилилось осознание банками значимости фондирования и необходимости совершенствования политики по его организации и мониторингу. Исследование проблем банковского фондирования в Республике Казахстан демонстрируют отсутствие как теоретического аппарата, позволяющего сформировать </w:t>
      </w:r>
      <w:r w:rsidRPr="00802D35">
        <w:rPr>
          <w:rFonts w:ascii="Times New Roman" w:hAnsi="Times New Roman" w:cs="Times New Roman"/>
          <w:sz w:val="28"/>
          <w:szCs w:val="28"/>
        </w:rPr>
        <w:lastRenderedPageBreak/>
        <w:t>концептуальный подход к организации фондирования в банках второго уровня, так и практических подходов к оценке ее эффективности и реализации качественного распределения фондированных средств.</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настоящее время БВУ Казахстана не уделяют должного внимания управлению фондированием и тем более необходимости оценки его качества с целью выявления текущих проблем. Оценка качества фондирования базируется лишь на выполнении пары пруденциальных нормативов регулятора, отражающих лишь общее состояние дел, но никак не демонстрирующего структурные, элементные и распределительные проблемы фондирования отдельного банка. Аналогичным образом, отечественные банки не считают нужным оптимизировать процессы фондирования, связанные как со стоимостью, запасами фондирования, так и качеством его распределения.</w:t>
      </w:r>
    </w:p>
    <w:p w:rsidR="00603572" w:rsidRPr="00802D35" w:rsidRDefault="00603572" w:rsidP="00603572">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hAnsi="Times New Roman" w:cs="Times New Roman"/>
          <w:sz w:val="28"/>
          <w:szCs w:val="28"/>
        </w:rPr>
        <w:t xml:space="preserve">Потребность в решении вышеуказанных проблем создает необходимость в проведении теоретических и практических направлений исследования по формированию концептуального подхода к содержанию фондирования в банках с учетом особенностей их деятельности и разработке практических рекомендаций по оценке эффективности фондирования и методов его совершенствования в банках второго уровня Казахстана. Дискуссионность теоретических вопросов в сфере фондирования и финансирования, источников и инструментов фондирования банков, недостаточность методологических разработок в эффективном распределении ресурсов фондирования, непроработанность некоторых направлений организации процесса фондирования в банках обосновывают актуальность темы исследования. </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b/>
          <w:sz w:val="28"/>
          <w:szCs w:val="28"/>
        </w:rPr>
        <w:t xml:space="preserve">Степень научной разработанности проблемы. </w:t>
      </w:r>
      <w:r w:rsidRPr="00802D35">
        <w:rPr>
          <w:rFonts w:ascii="Times New Roman" w:hAnsi="Times New Roman" w:cs="Times New Roman"/>
          <w:sz w:val="28"/>
          <w:szCs w:val="28"/>
        </w:rPr>
        <w:t>Основоположниками концепций финансирования являются Р.Мертон, Г.Марковиц, Дж.Вильямс, И.Фишер и др.</w:t>
      </w:r>
      <w:r w:rsidRPr="00802D35">
        <w:rPr>
          <w:rFonts w:ascii="Times New Roman" w:hAnsi="Times New Roman" w:cs="Times New Roman"/>
          <w:b/>
          <w:sz w:val="28"/>
          <w:szCs w:val="28"/>
        </w:rPr>
        <w:t xml:space="preserve"> </w:t>
      </w:r>
      <w:r w:rsidRPr="00802D35">
        <w:rPr>
          <w:rFonts w:ascii="Times New Roman" w:hAnsi="Times New Roman" w:cs="Times New Roman"/>
          <w:sz w:val="28"/>
          <w:szCs w:val="28"/>
        </w:rPr>
        <w:t>Проблемы фондирования, наиболее сильно проявившиеся в период мирового финансового кризиса и с началом пандемии Covid-19, повысили интерес к организации и качеству фондирования банков второго уровня. Во всех работах отмечается роль и высокая значимость фондирования для эффективности деятельности банков. К исследованиям такого рода можно отнести работы таких зарубежных авторов, как Р.Брейли, С.Майерс, Э. Беу, А.Магдалена и др., р</w:t>
      </w:r>
      <w:r w:rsidRPr="00802D35">
        <w:rPr>
          <w:rStyle w:val="af"/>
          <w:rFonts w:ascii="Times New Roman" w:hAnsi="Times New Roman" w:cs="Times New Roman"/>
          <w:b w:val="0"/>
          <w:sz w:val="28"/>
          <w:szCs w:val="28"/>
          <w:bdr w:val="none" w:sz="0" w:space="0" w:color="auto" w:frame="1"/>
        </w:rPr>
        <w:t>оссийских ученых таких как  И.Т.Балабанов, О.И.Лаврушин, И.А.Бланк, Л.Г.Красавина и др. Непосредственно вопросы фондирования банков рассмотрены в трудах таких авторов как</w:t>
      </w:r>
      <w:r w:rsidRPr="00802D35">
        <w:rPr>
          <w:rStyle w:val="af"/>
          <w:rFonts w:ascii="Times New Roman" w:hAnsi="Times New Roman" w:cs="Times New Roman"/>
          <w:sz w:val="28"/>
          <w:szCs w:val="28"/>
          <w:bdr w:val="none" w:sz="0" w:space="0" w:color="auto" w:frame="1"/>
        </w:rPr>
        <w:t xml:space="preserve"> </w:t>
      </w:r>
      <w:r w:rsidRPr="00802D35">
        <w:rPr>
          <w:rFonts w:ascii="Times New Roman" w:hAnsi="Times New Roman" w:cs="Times New Roman"/>
          <w:sz w:val="28"/>
          <w:szCs w:val="28"/>
        </w:rPr>
        <w:t xml:space="preserve">А.В. Каштанов, К.А.Суровнева, Т.П.Носова, А.П.Шляпин, И.И.Можанова, Ю.Пинягин и др. </w:t>
      </w:r>
    </w:p>
    <w:p w:rsidR="00603572" w:rsidRPr="00802D35" w:rsidRDefault="00603572" w:rsidP="00603572">
      <w:pPr>
        <w:widowControl w:val="0"/>
        <w:spacing w:after="0" w:line="240" w:lineRule="auto"/>
        <w:ind w:firstLine="567"/>
        <w:jc w:val="both"/>
        <w:rPr>
          <w:rStyle w:val="af"/>
          <w:rFonts w:ascii="Times New Roman" w:hAnsi="Times New Roman" w:cs="Times New Roman"/>
          <w:sz w:val="28"/>
          <w:szCs w:val="28"/>
          <w:bdr w:val="none" w:sz="0" w:space="0" w:color="auto" w:frame="1"/>
        </w:rPr>
      </w:pPr>
      <w:r w:rsidRPr="00802D35">
        <w:rPr>
          <w:rFonts w:ascii="Times New Roman" w:hAnsi="Times New Roman" w:cs="Times New Roman"/>
          <w:sz w:val="28"/>
          <w:szCs w:val="28"/>
        </w:rPr>
        <w:t>Среди казахстанских ученых, проводивших исследования в сфере банковского дела, можно выделить Г.С.Сейткасимова, Н.Н.Хамитова, У.М.Искакова, С.А.Святова и др. Непосредственно вопросы фондирования банков рассмотрены в трудах таких авторов как Жоламанова М.Т., Кадырова А.Н., Хамитова Д.А., К.Ж. Садвокасова, Г.С. Кодашева и др.</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Вместе с тем, основная часть исследований освещает множество вопросов, связанных с фондированием банков, однако, четких определений данного понятия не представляет, за исключением нескольких работ, большей степенью рассматривающих понятие фондирования в целом, а не банковского как </w:t>
      </w:r>
      <w:r w:rsidRPr="00802D35">
        <w:rPr>
          <w:rFonts w:ascii="Times New Roman" w:hAnsi="Times New Roman" w:cs="Times New Roman"/>
          <w:sz w:val="28"/>
          <w:szCs w:val="28"/>
        </w:rPr>
        <w:lastRenderedPageBreak/>
        <w:t xml:space="preserve">такового. </w:t>
      </w:r>
      <w:r w:rsidRPr="00802D35">
        <w:rPr>
          <w:rFonts w:ascii="Times New Roman" w:hAnsi="Times New Roman" w:cs="Times New Roman"/>
          <w:sz w:val="28"/>
          <w:szCs w:val="28"/>
          <w:shd w:val="clear" w:color="auto" w:fill="FFFFFF"/>
        </w:rPr>
        <w:t>Изучение различных подходов к понятию фондирования банков выявило также наличие неточностей и расхождений в понятиях «финансирование» и «фондирование» банковской деятельности. Имеющиеся в мировой и отечественной экономической литературе определения относительно их сущности и содержания не отражают различий</w:t>
      </w:r>
      <w:r w:rsidRPr="00802D35">
        <w:rPr>
          <w:rFonts w:ascii="Times New Roman" w:hAnsi="Times New Roman" w:cs="Times New Roman"/>
          <w:sz w:val="28"/>
          <w:szCs w:val="28"/>
        </w:rPr>
        <w:t xml:space="preserve"> между ними и квалифицируют их как идентичные понятия. Также, в экономической литературе нет четких подходов к понятиям источников и инструментов фондирования банков. Эти понятия аналогичным образом идентифицируются авторами, что создает неточности и неясности в некоторых вопросах процесса фондирования деятельности банков.</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большинство вопросов, касающиеся теоретических аспектов фондирования банков, принципов его организации, методов совершенствования фондирования в банках Казахстана так и остаются дискуссионными и требуют приоритетного исследования.</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b/>
          <w:sz w:val="28"/>
          <w:szCs w:val="28"/>
        </w:rPr>
        <w:t>Цели и задачи исследования.</w:t>
      </w:r>
      <w:r w:rsidRPr="00802D35">
        <w:rPr>
          <w:rFonts w:ascii="Times New Roman" w:hAnsi="Times New Roman" w:cs="Times New Roman"/>
          <w:sz w:val="28"/>
          <w:szCs w:val="28"/>
        </w:rPr>
        <w:t xml:space="preserve"> </w:t>
      </w:r>
      <w:r w:rsidRPr="00802D35">
        <w:rPr>
          <w:rFonts w:ascii="Times New Roman" w:hAnsi="Times New Roman" w:cs="Times New Roman"/>
          <w:b/>
          <w:sz w:val="28"/>
          <w:szCs w:val="28"/>
        </w:rPr>
        <w:t>Целью</w:t>
      </w:r>
      <w:r w:rsidRPr="00802D35">
        <w:rPr>
          <w:rFonts w:ascii="Times New Roman" w:hAnsi="Times New Roman" w:cs="Times New Roman"/>
          <w:sz w:val="28"/>
          <w:szCs w:val="28"/>
        </w:rPr>
        <w:t xml:space="preserve"> данного исследования является разработка теоретических и научно-практических предложений по совершенствованию системы фондирования в банках второго уровня Республики Казахстан.</w:t>
      </w:r>
    </w:p>
    <w:p w:rsidR="00603572" w:rsidRPr="00802D35" w:rsidRDefault="00603572" w:rsidP="00603572">
      <w:pPr>
        <w:pStyle w:val="a7"/>
        <w:widowControl w:val="0"/>
        <w:spacing w:before="0" w:beforeAutospacing="0" w:after="0" w:afterAutospacing="0"/>
        <w:ind w:firstLine="567"/>
        <w:jc w:val="both"/>
        <w:rPr>
          <w:sz w:val="28"/>
          <w:szCs w:val="28"/>
        </w:rPr>
      </w:pPr>
      <w:r w:rsidRPr="00802D35">
        <w:rPr>
          <w:sz w:val="28"/>
          <w:szCs w:val="28"/>
        </w:rPr>
        <w:t xml:space="preserve">Исходя из указанной цели </w:t>
      </w:r>
      <w:r w:rsidRPr="00802D35">
        <w:rPr>
          <w:b/>
          <w:sz w:val="28"/>
          <w:szCs w:val="28"/>
        </w:rPr>
        <w:t>задачами</w:t>
      </w:r>
      <w:r w:rsidRPr="00802D35">
        <w:rPr>
          <w:sz w:val="28"/>
          <w:szCs w:val="28"/>
        </w:rPr>
        <w:t xml:space="preserve"> диссертационного исследования являются: </w:t>
      </w:r>
    </w:p>
    <w:p w:rsidR="00603572" w:rsidRPr="00802D35" w:rsidRDefault="00603572" w:rsidP="00203A4B">
      <w:pPr>
        <w:pStyle w:val="a7"/>
        <w:widowControl w:val="0"/>
        <w:numPr>
          <w:ilvl w:val="0"/>
          <w:numId w:val="8"/>
        </w:numPr>
        <w:tabs>
          <w:tab w:val="left" w:pos="851"/>
        </w:tabs>
        <w:spacing w:before="0" w:beforeAutospacing="0" w:after="0" w:afterAutospacing="0"/>
        <w:ind w:left="0" w:firstLine="567"/>
        <w:jc w:val="both"/>
        <w:rPr>
          <w:sz w:val="28"/>
          <w:szCs w:val="28"/>
        </w:rPr>
      </w:pPr>
      <w:r w:rsidRPr="00802D35">
        <w:rPr>
          <w:sz w:val="28"/>
          <w:szCs w:val="28"/>
        </w:rPr>
        <w:t>систематизация и обобщение теоретических подходов к содержанию понятия фондирования в банках второго уровня;</w:t>
      </w:r>
    </w:p>
    <w:p w:rsidR="00603572" w:rsidRPr="00802D35" w:rsidRDefault="00603572" w:rsidP="00203A4B">
      <w:pPr>
        <w:pStyle w:val="a7"/>
        <w:widowControl w:val="0"/>
        <w:numPr>
          <w:ilvl w:val="0"/>
          <w:numId w:val="8"/>
        </w:numPr>
        <w:tabs>
          <w:tab w:val="left" w:pos="851"/>
        </w:tabs>
        <w:spacing w:before="0" w:beforeAutospacing="0" w:after="0" w:afterAutospacing="0"/>
        <w:ind w:left="0" w:firstLine="567"/>
        <w:jc w:val="both"/>
        <w:rPr>
          <w:sz w:val="28"/>
          <w:szCs w:val="28"/>
        </w:rPr>
      </w:pPr>
      <w:r w:rsidRPr="00802D35">
        <w:rPr>
          <w:sz w:val="28"/>
          <w:szCs w:val="28"/>
        </w:rPr>
        <w:t>проведение анализа фондирования отечественных банков второго уровня с целью оценки влияния детерминантов фондирования деятельности банков второго уровня Казахстана на экономический рост страны и влияния факторов внешнего и внутреннего уровня на фондирование банков;</w:t>
      </w:r>
    </w:p>
    <w:p w:rsidR="00603572" w:rsidRPr="00802D35" w:rsidRDefault="00603572" w:rsidP="00203A4B">
      <w:pPr>
        <w:pStyle w:val="a7"/>
        <w:widowControl w:val="0"/>
        <w:numPr>
          <w:ilvl w:val="0"/>
          <w:numId w:val="8"/>
        </w:numPr>
        <w:tabs>
          <w:tab w:val="left" w:pos="851"/>
        </w:tabs>
        <w:spacing w:before="0" w:beforeAutospacing="0" w:after="0" w:afterAutospacing="0"/>
        <w:ind w:left="0" w:firstLine="567"/>
        <w:jc w:val="both"/>
        <w:rPr>
          <w:sz w:val="28"/>
          <w:szCs w:val="28"/>
        </w:rPr>
      </w:pPr>
      <w:r w:rsidRPr="00802D35">
        <w:rPr>
          <w:sz w:val="28"/>
          <w:szCs w:val="28"/>
        </w:rPr>
        <w:t>формирование рекомендационной оценки степени фондирования банков второго уровня Республики Казахстан;</w:t>
      </w:r>
    </w:p>
    <w:p w:rsidR="00603572" w:rsidRPr="00802D35" w:rsidRDefault="00603572" w:rsidP="00203A4B">
      <w:pPr>
        <w:pStyle w:val="a7"/>
        <w:widowControl w:val="0"/>
        <w:numPr>
          <w:ilvl w:val="0"/>
          <w:numId w:val="8"/>
        </w:numPr>
        <w:tabs>
          <w:tab w:val="left" w:pos="851"/>
        </w:tabs>
        <w:spacing w:before="0" w:beforeAutospacing="0" w:after="0" w:afterAutospacing="0"/>
        <w:ind w:left="0" w:firstLine="567"/>
        <w:jc w:val="both"/>
        <w:rPr>
          <w:sz w:val="28"/>
          <w:szCs w:val="28"/>
        </w:rPr>
      </w:pPr>
      <w:r w:rsidRPr="00802D35">
        <w:rPr>
          <w:sz w:val="28"/>
          <w:szCs w:val="28"/>
        </w:rPr>
        <w:t>разработка методики оценки качества фондирования деятельности казахстанских банков;</w:t>
      </w:r>
    </w:p>
    <w:p w:rsidR="00603572" w:rsidRPr="00802D35" w:rsidRDefault="00603572" w:rsidP="00203A4B">
      <w:pPr>
        <w:pStyle w:val="a7"/>
        <w:widowControl w:val="0"/>
        <w:numPr>
          <w:ilvl w:val="0"/>
          <w:numId w:val="8"/>
        </w:numPr>
        <w:tabs>
          <w:tab w:val="left" w:pos="851"/>
        </w:tabs>
        <w:spacing w:before="0" w:beforeAutospacing="0" w:after="0" w:afterAutospacing="0"/>
        <w:ind w:left="0" w:firstLine="567"/>
        <w:jc w:val="both"/>
        <w:rPr>
          <w:sz w:val="28"/>
          <w:szCs w:val="28"/>
        </w:rPr>
      </w:pPr>
      <w:r w:rsidRPr="00802D35">
        <w:rPr>
          <w:sz w:val="28"/>
          <w:szCs w:val="28"/>
        </w:rPr>
        <w:t>предложение моделей по совершенствованию фондирования банков второго уровня Республики Казахстан.</w:t>
      </w:r>
    </w:p>
    <w:p w:rsidR="00603572" w:rsidRPr="00802D35" w:rsidRDefault="00603572" w:rsidP="00603572">
      <w:pPr>
        <w:pStyle w:val="a7"/>
        <w:widowControl w:val="0"/>
        <w:spacing w:before="0" w:beforeAutospacing="0" w:after="0" w:afterAutospacing="0"/>
        <w:ind w:firstLine="567"/>
        <w:jc w:val="both"/>
        <w:rPr>
          <w:sz w:val="28"/>
          <w:szCs w:val="28"/>
        </w:rPr>
      </w:pPr>
      <w:r w:rsidRPr="00802D35">
        <w:rPr>
          <w:b/>
          <w:sz w:val="28"/>
          <w:szCs w:val="28"/>
        </w:rPr>
        <w:t>Объект исследования</w:t>
      </w:r>
      <w:r w:rsidRPr="00802D35">
        <w:rPr>
          <w:sz w:val="28"/>
          <w:szCs w:val="28"/>
        </w:rPr>
        <w:t xml:space="preserve"> - система фондирования деятельности банков второго уровня Республики Казахстан.</w:t>
      </w:r>
    </w:p>
    <w:p w:rsidR="00603572" w:rsidRPr="00802D35" w:rsidRDefault="00603572" w:rsidP="00603572">
      <w:pPr>
        <w:pStyle w:val="a7"/>
        <w:widowControl w:val="0"/>
        <w:spacing w:before="0" w:beforeAutospacing="0" w:after="0" w:afterAutospacing="0"/>
        <w:ind w:firstLine="567"/>
        <w:jc w:val="both"/>
        <w:rPr>
          <w:sz w:val="28"/>
          <w:szCs w:val="28"/>
        </w:rPr>
      </w:pPr>
      <w:r w:rsidRPr="00802D35">
        <w:rPr>
          <w:b/>
          <w:sz w:val="28"/>
          <w:szCs w:val="28"/>
        </w:rPr>
        <w:t xml:space="preserve">Предмет исследования </w:t>
      </w:r>
      <w:r w:rsidRPr="00802D35">
        <w:rPr>
          <w:sz w:val="28"/>
          <w:szCs w:val="28"/>
        </w:rPr>
        <w:t>обозначен совокупностью теоретических, методологических и организационных отношений, связанных с процессом фондирования деятельности банков второго уровня Республики Казахстан.</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b/>
          <w:sz w:val="28"/>
          <w:szCs w:val="28"/>
        </w:rPr>
        <w:t xml:space="preserve">Теоретико-методологическую </w:t>
      </w:r>
      <w:r w:rsidRPr="00802D35">
        <w:rPr>
          <w:rFonts w:ascii="Times New Roman" w:hAnsi="Times New Roman" w:cs="Times New Roman"/>
          <w:sz w:val="28"/>
          <w:szCs w:val="28"/>
        </w:rPr>
        <w:t>базу</w:t>
      </w:r>
      <w:r w:rsidRPr="00802D35">
        <w:rPr>
          <w:rFonts w:ascii="Times New Roman" w:hAnsi="Times New Roman" w:cs="Times New Roman"/>
          <w:b/>
          <w:sz w:val="28"/>
          <w:szCs w:val="28"/>
        </w:rPr>
        <w:t xml:space="preserve"> </w:t>
      </w:r>
      <w:r w:rsidRPr="00802D35">
        <w:rPr>
          <w:rFonts w:ascii="Times New Roman" w:hAnsi="Times New Roman" w:cs="Times New Roman"/>
          <w:sz w:val="28"/>
          <w:szCs w:val="28"/>
        </w:rPr>
        <w:t>исследования</w:t>
      </w:r>
      <w:r w:rsidRPr="00802D35">
        <w:rPr>
          <w:rFonts w:ascii="Times New Roman" w:hAnsi="Times New Roman" w:cs="Times New Roman"/>
          <w:b/>
          <w:sz w:val="28"/>
          <w:szCs w:val="28"/>
        </w:rPr>
        <w:t xml:space="preserve"> </w:t>
      </w:r>
      <w:r w:rsidRPr="00802D35">
        <w:rPr>
          <w:rFonts w:ascii="Times New Roman" w:hAnsi="Times New Roman" w:cs="Times New Roman"/>
          <w:sz w:val="28"/>
          <w:szCs w:val="28"/>
        </w:rPr>
        <w:t xml:space="preserve">образуют научные труды зарубежных и казахстанских авторов, посвященные вопросам и проблемам организации и повышения эффективности фондирования деятельности банков второго уровня. </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Методология исследования базируется на системном подходе к анализу элементов и совершенствованию фондирования банков, статистическом и эконометрическом моделировании политики фондирования, направленном на </w:t>
      </w:r>
      <w:r w:rsidRPr="00802D35">
        <w:rPr>
          <w:rFonts w:ascii="Times New Roman" w:hAnsi="Times New Roman" w:cs="Times New Roman"/>
          <w:sz w:val="28"/>
          <w:szCs w:val="28"/>
        </w:rPr>
        <w:lastRenderedPageBreak/>
        <w:t>оптимизацию структуры и распределения средств фондирования с целью достижения максимального эффекта результатов деятельности банка.</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При написании работы были применены обобщение и логическое умозаключение при формировании теоретического аппарата фондирования деятельности банков, сравнительного анализа, табличного и графического методов представления материалов при проведении оценки развития банковского сектора в Казахстане, структуры, плотности и качества фондирования отечественных банков второго уровня, методы линейного и динамического программирования, а также теории игр и исследования операций при моделировании оптимизации фондирования в банках Казахстана.</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color w:val="000000"/>
          <w:sz w:val="28"/>
          <w:szCs w:val="28"/>
        </w:rPr>
        <w:t xml:space="preserve">Эмпирическая база исследования основывается на </w:t>
      </w:r>
      <w:r w:rsidRPr="00802D35">
        <w:rPr>
          <w:rFonts w:ascii="Times New Roman" w:hAnsi="Times New Roman" w:cs="Times New Roman"/>
          <w:sz w:val="28"/>
          <w:szCs w:val="28"/>
        </w:rPr>
        <w:t>нормативных и законодательных актах Республики Казахстан</w:t>
      </w:r>
      <w:r w:rsidRPr="00802D35">
        <w:rPr>
          <w:rFonts w:ascii="Times New Roman" w:hAnsi="Times New Roman" w:cs="Times New Roman"/>
          <w:color w:val="000000"/>
          <w:sz w:val="28"/>
          <w:szCs w:val="28"/>
        </w:rPr>
        <w:t xml:space="preserve"> в сфере банковской деятельности, статистические данные </w:t>
      </w:r>
      <w:r w:rsidRPr="00802D35">
        <w:rPr>
          <w:rFonts w:ascii="Times New Roman" w:hAnsi="Times New Roman" w:cs="Times New Roman"/>
          <w:sz w:val="28"/>
          <w:szCs w:val="28"/>
        </w:rPr>
        <w:t xml:space="preserve">Национального банка Республики Казахстан, Министерства финансов Республики Казахстан, казахстанских банков второго уровня: </w:t>
      </w:r>
      <w:r w:rsidRPr="00802D35">
        <w:rPr>
          <w:rStyle w:val="HTML"/>
          <w:rFonts w:ascii="Times New Roman" w:hAnsi="Times New Roman" w:cs="Times New Roman"/>
          <w:i w:val="0"/>
          <w:sz w:val="28"/>
          <w:szCs w:val="28"/>
          <w:shd w:val="clear" w:color="auto" w:fill="FFFFFF"/>
        </w:rPr>
        <w:t>АО Halyk Bank, АО АТФБанк, АО</w:t>
      </w:r>
      <w:r w:rsidRPr="00802D35">
        <w:rPr>
          <w:rStyle w:val="HTML"/>
          <w:rFonts w:ascii="Times New Roman" w:hAnsi="Times New Roman" w:cs="Times New Roman"/>
          <w:sz w:val="28"/>
          <w:szCs w:val="28"/>
          <w:shd w:val="clear" w:color="auto" w:fill="FFFFFF"/>
        </w:rPr>
        <w:t xml:space="preserve"> </w:t>
      </w:r>
      <w:r w:rsidRPr="00802D35">
        <w:rPr>
          <w:rFonts w:ascii="Times New Roman" w:hAnsi="Times New Roman" w:cs="Times New Roman"/>
          <w:color w:val="000000"/>
          <w:sz w:val="28"/>
          <w:szCs w:val="28"/>
          <w:shd w:val="clear" w:color="auto" w:fill="FFFFFF"/>
        </w:rPr>
        <w:t>Kaspi bank</w:t>
      </w:r>
      <w:r w:rsidRPr="00802D35">
        <w:rPr>
          <w:rFonts w:ascii="Times New Roman" w:hAnsi="Times New Roman" w:cs="Times New Roman"/>
          <w:sz w:val="28"/>
          <w:szCs w:val="28"/>
        </w:rPr>
        <w:t xml:space="preserve"> и др.</w:t>
      </w:r>
    </w:p>
    <w:p w:rsidR="00603572" w:rsidRPr="00802D35" w:rsidRDefault="00603572" w:rsidP="00603572">
      <w:pPr>
        <w:widowControl w:val="0"/>
        <w:tabs>
          <w:tab w:val="left" w:pos="567"/>
          <w:tab w:val="left" w:pos="851"/>
          <w:tab w:val="left" w:pos="5840"/>
        </w:tabs>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Наиболее значимые результаты исследования, обладающие </w:t>
      </w:r>
      <w:r w:rsidRPr="00802D35">
        <w:rPr>
          <w:rFonts w:ascii="Times New Roman" w:hAnsi="Times New Roman" w:cs="Times New Roman"/>
          <w:b/>
          <w:sz w:val="28"/>
          <w:szCs w:val="28"/>
        </w:rPr>
        <w:t xml:space="preserve">научной новизной, </w:t>
      </w:r>
      <w:r w:rsidRPr="00802D35">
        <w:rPr>
          <w:rFonts w:ascii="Times New Roman" w:hAnsi="Times New Roman" w:cs="Times New Roman"/>
          <w:sz w:val="28"/>
          <w:szCs w:val="28"/>
        </w:rPr>
        <w:t xml:space="preserve">заключаются в следующем: </w:t>
      </w:r>
    </w:p>
    <w:p w:rsidR="00603572" w:rsidRPr="00802D35" w:rsidRDefault="00603572" w:rsidP="00203A4B">
      <w:pPr>
        <w:pStyle w:val="a3"/>
        <w:widowControl w:val="0"/>
        <w:numPr>
          <w:ilvl w:val="0"/>
          <w:numId w:val="9"/>
        </w:numPr>
        <w:tabs>
          <w:tab w:val="left" w:pos="567"/>
          <w:tab w:val="left" w:pos="993"/>
          <w:tab w:val="left" w:pos="5840"/>
        </w:tabs>
        <w:autoSpaceDE w:val="0"/>
        <w:autoSpaceDN w:val="0"/>
        <w:adjustRightInd w:val="0"/>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на основе обобщения теоретических подходов как  зарубежных, так и казахстанских авторов к содержанию, принципов, цели и особенностей фондирования деятельности банков определены и уточнены различия фондирования от финансирования банков, а также источников и инструментов фондирования, представлено авторское определение фондирования банков, введены понятия предельной стоимости и запасов фондирования, что позволило в значительной степени систематизировать и конкретизировать сущность, принципы, элементы и особенности организации фондирования в банках второго уровня;</w:t>
      </w:r>
    </w:p>
    <w:p w:rsidR="00603572" w:rsidRPr="00802D35" w:rsidRDefault="00603572" w:rsidP="00203A4B">
      <w:pPr>
        <w:pStyle w:val="a3"/>
        <w:widowControl w:val="0"/>
        <w:numPr>
          <w:ilvl w:val="0"/>
          <w:numId w:val="9"/>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акцентирование значимости фондирования в деятельности банков второго уровня в Казахстане и роли банковского сектора в экономическом развитии государства позволило провести анализ перекрестного влияния источников фондирования банков на экономический рост страны и факторов макро и микроуровня на объемы фондирования, что предоставило возможность выявить детерминантные аспекты организации фондирования деятельности банков второго уровня Казахстана;</w:t>
      </w:r>
    </w:p>
    <w:p w:rsidR="00603572" w:rsidRPr="00802D35" w:rsidRDefault="00603572" w:rsidP="00203A4B">
      <w:pPr>
        <w:pStyle w:val="a3"/>
        <w:widowControl w:val="0"/>
        <w:numPr>
          <w:ilvl w:val="0"/>
          <w:numId w:val="9"/>
        </w:numPr>
        <w:tabs>
          <w:tab w:val="left" w:pos="567"/>
          <w:tab w:val="left" w:pos="993"/>
          <w:tab w:val="left" w:pos="5840"/>
        </w:tabs>
        <w:autoSpaceDE w:val="0"/>
        <w:autoSpaceDN w:val="0"/>
        <w:adjustRightInd w:val="0"/>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результаты анализа структуры фондирования казахстанских банков и факторов, оказывающих влияние на портфель банковского фондирования, позволили предложить применение индекса </w:t>
      </w:r>
      <w:r w:rsidRPr="00802D35">
        <w:rPr>
          <w:rFonts w:ascii="Times New Roman" w:hAnsi="Times New Roman" w:cs="Times New Roman"/>
          <w:sz w:val="28"/>
          <w:szCs w:val="28"/>
          <w:shd w:val="clear" w:color="auto" w:fill="FFFFFF"/>
        </w:rPr>
        <w:t>Херфиндаля- Хиршмана, смодифицированного автором под особенности деятельности банков, для оценки плотности фондирования, позволяющей банкам определить проблемные точки в организации фондирования</w:t>
      </w:r>
      <w:r w:rsidRPr="00802D35">
        <w:rPr>
          <w:rFonts w:ascii="Times New Roman" w:hAnsi="Times New Roman" w:cs="Times New Roman"/>
          <w:sz w:val="28"/>
          <w:szCs w:val="28"/>
        </w:rPr>
        <w:t>;</w:t>
      </w:r>
    </w:p>
    <w:p w:rsidR="00603572" w:rsidRPr="00802D35" w:rsidRDefault="00603572" w:rsidP="00203A4B">
      <w:pPr>
        <w:pStyle w:val="a3"/>
        <w:widowControl w:val="0"/>
        <w:numPr>
          <w:ilvl w:val="0"/>
          <w:numId w:val="9"/>
        </w:numPr>
        <w:tabs>
          <w:tab w:val="left" w:pos="993"/>
          <w:tab w:val="left" w:pos="5840"/>
        </w:tabs>
        <w:autoSpaceDE w:val="0"/>
        <w:autoSpaceDN w:val="0"/>
        <w:adjustRightInd w:val="0"/>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выявление проблем, связанных с организацией процесса фондирования в банках второго уровня Казахстана предоставило возможность разработать методику оценки качества фондирования посредством интегрированного показателя индекса, что позволило осуществлять оценку эффективности системы фондирования в банках второго уровня Республики Казахстан;</w:t>
      </w:r>
    </w:p>
    <w:p w:rsidR="00603572" w:rsidRPr="00802D35" w:rsidRDefault="00603572" w:rsidP="00203A4B">
      <w:pPr>
        <w:pStyle w:val="a3"/>
        <w:widowControl w:val="0"/>
        <w:numPr>
          <w:ilvl w:val="0"/>
          <w:numId w:val="9"/>
        </w:numPr>
        <w:tabs>
          <w:tab w:val="left" w:pos="993"/>
          <w:tab w:val="left" w:pos="5840"/>
        </w:tabs>
        <w:autoSpaceDE w:val="0"/>
        <w:autoSpaceDN w:val="0"/>
        <w:adjustRightInd w:val="0"/>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применение методов линейного и динамического программирования для совершенствования организации фондирования в банках предоставило возможность смоделировать стратегию фондирования с целью оптимизации финансовых результатов и стоимости фондирования в казахстанских банках второго уровня.</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b/>
          <w:sz w:val="28"/>
          <w:szCs w:val="28"/>
        </w:rPr>
        <w:t xml:space="preserve">Основные положения, выносимые на защиту. </w:t>
      </w:r>
      <w:r w:rsidRPr="00802D35">
        <w:rPr>
          <w:rFonts w:ascii="Times New Roman" w:hAnsi="Times New Roman" w:cs="Times New Roman"/>
          <w:sz w:val="28"/>
          <w:szCs w:val="28"/>
        </w:rPr>
        <w:t xml:space="preserve">На основании полученных результатов исследования, на защиту выносятся следующие положения: </w:t>
      </w:r>
    </w:p>
    <w:p w:rsidR="00603572" w:rsidRPr="00802D35" w:rsidRDefault="00603572" w:rsidP="00203A4B">
      <w:pPr>
        <w:pStyle w:val="a7"/>
        <w:widowControl w:val="0"/>
        <w:numPr>
          <w:ilvl w:val="0"/>
          <w:numId w:val="7"/>
        </w:numPr>
        <w:tabs>
          <w:tab w:val="left" w:pos="851"/>
        </w:tabs>
        <w:spacing w:before="0" w:beforeAutospacing="0" w:after="0" w:afterAutospacing="0"/>
        <w:ind w:left="0" w:firstLine="567"/>
        <w:jc w:val="both"/>
        <w:rPr>
          <w:sz w:val="28"/>
          <w:szCs w:val="28"/>
        </w:rPr>
      </w:pPr>
      <w:r w:rsidRPr="00802D35">
        <w:rPr>
          <w:sz w:val="28"/>
          <w:szCs w:val="28"/>
        </w:rPr>
        <w:t>авторская трактовка понятия фондирования банковской деятельности, представляющего собой континуальный, целенаправленный и контролируемый процесс формирования фонда финансовых ресурсов с наименьшей стоимостью и трансформации их в средства финансирования доходных активных операций в пределах имеющихся ресурсов банка;</w:t>
      </w:r>
    </w:p>
    <w:p w:rsidR="00603572" w:rsidRPr="00802D35" w:rsidRDefault="00603572" w:rsidP="00203A4B">
      <w:pPr>
        <w:pStyle w:val="a7"/>
        <w:widowControl w:val="0"/>
        <w:numPr>
          <w:ilvl w:val="0"/>
          <w:numId w:val="7"/>
        </w:numPr>
        <w:tabs>
          <w:tab w:val="left" w:pos="851"/>
        </w:tabs>
        <w:spacing w:before="0" w:beforeAutospacing="0" w:after="0" w:afterAutospacing="0"/>
        <w:ind w:left="0" w:firstLine="567"/>
        <w:jc w:val="both"/>
        <w:rPr>
          <w:sz w:val="28"/>
          <w:szCs w:val="28"/>
        </w:rPr>
      </w:pPr>
      <w:r w:rsidRPr="00802D35">
        <w:rPr>
          <w:sz w:val="28"/>
          <w:szCs w:val="28"/>
        </w:rPr>
        <w:t xml:space="preserve">результаты проведенного анализа взаимовлияния структуры фондирования банков на уровень развития экономики страны и факторов макро и микросреды на детерминанты банковского фондирования посредством ридж-регрессии, </w:t>
      </w:r>
      <w:r w:rsidRPr="00802D35">
        <w:rPr>
          <w:bCs/>
          <w:sz w:val="28"/>
          <w:szCs w:val="28"/>
        </w:rPr>
        <w:t>MANOVA и ANOVA моделей анализа</w:t>
      </w:r>
      <w:r w:rsidRPr="00802D35">
        <w:rPr>
          <w:sz w:val="28"/>
          <w:szCs w:val="28"/>
        </w:rPr>
        <w:t>;</w:t>
      </w:r>
    </w:p>
    <w:p w:rsidR="00603572" w:rsidRPr="00802D35" w:rsidRDefault="00603572" w:rsidP="00203A4B">
      <w:pPr>
        <w:pStyle w:val="a7"/>
        <w:widowControl w:val="0"/>
        <w:numPr>
          <w:ilvl w:val="0"/>
          <w:numId w:val="7"/>
        </w:numPr>
        <w:tabs>
          <w:tab w:val="left" w:pos="851"/>
        </w:tabs>
        <w:spacing w:before="0" w:beforeAutospacing="0" w:after="0" w:afterAutospacing="0"/>
        <w:ind w:left="0" w:firstLine="567"/>
        <w:jc w:val="both"/>
        <w:rPr>
          <w:sz w:val="28"/>
          <w:szCs w:val="28"/>
        </w:rPr>
      </w:pPr>
      <w:r w:rsidRPr="00802D35">
        <w:rPr>
          <w:sz w:val="28"/>
          <w:szCs w:val="28"/>
        </w:rPr>
        <w:t xml:space="preserve">предложенная автором методика оценки плотности фондирования деятельности банков второго уровня Республики Казахстан, основанная на модификации индекса </w:t>
      </w:r>
      <w:r w:rsidR="00CB5CC3" w:rsidRPr="00802D35">
        <w:rPr>
          <w:sz w:val="28"/>
          <w:szCs w:val="28"/>
          <w:shd w:val="clear" w:color="auto" w:fill="FFFFFF"/>
        </w:rPr>
        <w:t>Херфиндаля-</w:t>
      </w:r>
      <w:r w:rsidRPr="00802D35">
        <w:rPr>
          <w:sz w:val="28"/>
          <w:szCs w:val="28"/>
          <w:shd w:val="clear" w:color="auto" w:fill="FFFFFF"/>
        </w:rPr>
        <w:t>Хиршмана и рекомендаций автора об учете в оценке динамики объемов фондирования и среднего значения плотности фондирования по банковскому сектору в целом</w:t>
      </w:r>
      <w:r w:rsidRPr="00802D35">
        <w:rPr>
          <w:sz w:val="28"/>
          <w:szCs w:val="28"/>
        </w:rPr>
        <w:t>;</w:t>
      </w:r>
    </w:p>
    <w:p w:rsidR="00603572" w:rsidRPr="00802D35" w:rsidRDefault="00603572" w:rsidP="00203A4B">
      <w:pPr>
        <w:pStyle w:val="a7"/>
        <w:widowControl w:val="0"/>
        <w:numPr>
          <w:ilvl w:val="0"/>
          <w:numId w:val="7"/>
        </w:numPr>
        <w:tabs>
          <w:tab w:val="left" w:pos="851"/>
        </w:tabs>
        <w:spacing w:before="0" w:beforeAutospacing="0" w:after="0" w:afterAutospacing="0"/>
        <w:ind w:left="0" w:firstLine="567"/>
        <w:jc w:val="both"/>
        <w:rPr>
          <w:sz w:val="28"/>
          <w:szCs w:val="28"/>
        </w:rPr>
      </w:pPr>
      <w:r w:rsidRPr="00802D35">
        <w:rPr>
          <w:sz w:val="28"/>
          <w:szCs w:val="28"/>
        </w:rPr>
        <w:t>авторский подход к оценке эффективности фондирования в банках второго уровня, основанный на индексе качества, базирующегося на 8 показателях, отражающих, по мнению автора, отдельные качественные аспекты организации банковского фондирования в Казахстане;</w:t>
      </w:r>
    </w:p>
    <w:p w:rsidR="00603572" w:rsidRPr="00802D35" w:rsidRDefault="00603572" w:rsidP="00203A4B">
      <w:pPr>
        <w:pStyle w:val="a7"/>
        <w:widowControl w:val="0"/>
        <w:numPr>
          <w:ilvl w:val="0"/>
          <w:numId w:val="7"/>
        </w:numPr>
        <w:tabs>
          <w:tab w:val="left" w:pos="851"/>
        </w:tabs>
        <w:spacing w:before="0" w:beforeAutospacing="0" w:after="0" w:afterAutospacing="0"/>
        <w:ind w:left="0" w:firstLine="567"/>
        <w:jc w:val="both"/>
        <w:rPr>
          <w:sz w:val="28"/>
          <w:szCs w:val="28"/>
        </w:rPr>
      </w:pPr>
      <w:r w:rsidRPr="00802D35">
        <w:rPr>
          <w:sz w:val="28"/>
          <w:szCs w:val="28"/>
        </w:rPr>
        <w:t>предложения автора по совершенствованию процесса фондирования в банках второго уровня, основанные на применении статистического и эконометрического моделирования, позволяющие оптимизировать распределение фондирования в казахстанских банках.</w:t>
      </w:r>
    </w:p>
    <w:p w:rsidR="00603572" w:rsidRPr="00802D35" w:rsidRDefault="00603572" w:rsidP="00603572">
      <w:pPr>
        <w:pStyle w:val="a7"/>
        <w:widowControl w:val="0"/>
        <w:spacing w:before="0" w:beforeAutospacing="0" w:after="0" w:afterAutospacing="0"/>
        <w:ind w:firstLine="567"/>
        <w:jc w:val="both"/>
        <w:rPr>
          <w:sz w:val="28"/>
          <w:szCs w:val="28"/>
        </w:rPr>
      </w:pPr>
      <w:r w:rsidRPr="00802D35">
        <w:rPr>
          <w:b/>
          <w:sz w:val="28"/>
          <w:szCs w:val="28"/>
        </w:rPr>
        <w:t>Теоретическая и практическая значимость.</w:t>
      </w:r>
      <w:r w:rsidRPr="00802D35">
        <w:rPr>
          <w:sz w:val="28"/>
          <w:szCs w:val="28"/>
        </w:rPr>
        <w:t xml:space="preserve"> Теоретическая значимость исследования заключается в обобщении и систематизации теоретических подходов к сущности и содержанию понятия фондирования банков, конкретизации и выделении особенностей понятий финансирования и фондирования, источников и инструментов фондирования, предельной стоимости и запасов фондирования. Представленные результаты отражают концептуальный подход автора и могут быть использованы университетами при разработке учебных программ. </w:t>
      </w:r>
    </w:p>
    <w:p w:rsidR="00603572" w:rsidRPr="00802D35" w:rsidRDefault="00603572" w:rsidP="00603572">
      <w:pPr>
        <w:pStyle w:val="a7"/>
        <w:widowControl w:val="0"/>
        <w:spacing w:before="0" w:beforeAutospacing="0" w:after="0" w:afterAutospacing="0"/>
        <w:ind w:firstLine="567"/>
        <w:jc w:val="both"/>
        <w:rPr>
          <w:sz w:val="28"/>
          <w:szCs w:val="28"/>
        </w:rPr>
      </w:pPr>
      <w:r w:rsidRPr="00802D35">
        <w:rPr>
          <w:b/>
          <w:sz w:val="28"/>
          <w:szCs w:val="28"/>
        </w:rPr>
        <w:t>Практическая значимость исследования</w:t>
      </w:r>
      <w:r w:rsidRPr="00802D35">
        <w:rPr>
          <w:sz w:val="28"/>
          <w:szCs w:val="28"/>
        </w:rPr>
        <w:t xml:space="preserve"> заключается в  возможности практического использования наиболее важных результатов работы в деятельности банков второго уровня Республики Казахстан по организации и проведению политики фондирования.</w:t>
      </w:r>
    </w:p>
    <w:p w:rsidR="005033EB" w:rsidRPr="00802D35" w:rsidRDefault="005033EB" w:rsidP="00603572">
      <w:pPr>
        <w:pStyle w:val="a7"/>
        <w:widowControl w:val="0"/>
        <w:spacing w:before="0" w:beforeAutospacing="0" w:after="0" w:afterAutospacing="0"/>
        <w:ind w:firstLine="567"/>
        <w:jc w:val="both"/>
        <w:rPr>
          <w:color w:val="000000"/>
          <w:sz w:val="28"/>
          <w:szCs w:val="28"/>
        </w:rPr>
      </w:pPr>
      <w:r w:rsidRPr="00802D35">
        <w:rPr>
          <w:color w:val="000000"/>
          <w:sz w:val="28"/>
          <w:szCs w:val="28"/>
        </w:rPr>
        <w:t xml:space="preserve">Результаты проведенного исследования могут быть использованы в системе обучения и повышения квалификации банковских специалистов,  а </w:t>
      </w:r>
      <w:r w:rsidRPr="00802D35">
        <w:rPr>
          <w:color w:val="000000"/>
          <w:sz w:val="28"/>
          <w:szCs w:val="28"/>
        </w:rPr>
        <w:lastRenderedPageBreak/>
        <w:t>также  в процессе преподавания дисциплины «Банковское дело» и применены в практике преподавания данного курса в Каспийском общественном университете</w:t>
      </w:r>
      <w:r w:rsidR="000B0564" w:rsidRPr="00802D35">
        <w:rPr>
          <w:color w:val="000000"/>
          <w:sz w:val="28"/>
          <w:szCs w:val="28"/>
        </w:rPr>
        <w:t xml:space="preserve"> </w:t>
      </w:r>
      <w:r w:rsidR="000B0564" w:rsidRPr="00802D35">
        <w:rPr>
          <w:sz w:val="28"/>
          <w:szCs w:val="28"/>
        </w:rPr>
        <w:t>(Приложение А)</w:t>
      </w:r>
      <w:r w:rsidRPr="00802D35">
        <w:rPr>
          <w:color w:val="000000"/>
          <w:sz w:val="28"/>
          <w:szCs w:val="28"/>
        </w:rPr>
        <w:t>.</w:t>
      </w:r>
    </w:p>
    <w:p w:rsidR="00603572" w:rsidRPr="00802D35" w:rsidRDefault="00603572" w:rsidP="00603572">
      <w:pPr>
        <w:pStyle w:val="a7"/>
        <w:widowControl w:val="0"/>
        <w:spacing w:before="0" w:beforeAutospacing="0" w:after="0" w:afterAutospacing="0"/>
        <w:ind w:firstLine="567"/>
        <w:jc w:val="both"/>
        <w:rPr>
          <w:sz w:val="28"/>
          <w:szCs w:val="28"/>
        </w:rPr>
      </w:pPr>
      <w:r w:rsidRPr="00802D35">
        <w:rPr>
          <w:sz w:val="28"/>
          <w:szCs w:val="28"/>
        </w:rPr>
        <w:t>Наиболее существенными практическими результатами диссертации являются: предложенные автором методики оценки плотности и качества фондирования, что позволит банкам проанализировать уровень организации фондирования и выявить наиболее важные проблемы фондирования, требующие оперативных управленческих решений; модели оптимизации фондирования, которые предоставляют возможность повышения эффективности распределения ресурсов как в текущий период времени по мере поступления средств фондирования, так и в прогнозные периоды.</w:t>
      </w:r>
    </w:p>
    <w:p w:rsidR="00603572" w:rsidRPr="00802D35" w:rsidRDefault="00603572" w:rsidP="00603572">
      <w:pPr>
        <w:pStyle w:val="Default"/>
        <w:ind w:firstLine="567"/>
        <w:jc w:val="both"/>
        <w:rPr>
          <w:color w:val="auto"/>
          <w:sz w:val="28"/>
          <w:szCs w:val="28"/>
        </w:rPr>
      </w:pPr>
      <w:r w:rsidRPr="00802D35">
        <w:rPr>
          <w:b/>
          <w:color w:val="auto"/>
          <w:sz w:val="28"/>
          <w:szCs w:val="28"/>
        </w:rPr>
        <w:t>Апробация и внедрение результатов исследования</w:t>
      </w:r>
      <w:r w:rsidRPr="00802D35">
        <w:rPr>
          <w:color w:val="auto"/>
          <w:sz w:val="28"/>
          <w:szCs w:val="28"/>
        </w:rPr>
        <w:t xml:space="preserve">. Основные положения и результаты диссертационной работы нашли отражение в докладах на международных и республиканских научно-практических конференциях, в том числе VIII </w:t>
      </w:r>
      <w:r w:rsidRPr="00802D35">
        <w:rPr>
          <w:color w:val="auto"/>
          <w:sz w:val="28"/>
          <w:szCs w:val="28"/>
          <w:lang w:val="en-US"/>
        </w:rPr>
        <w:t>International</w:t>
      </w:r>
      <w:r w:rsidRPr="00802D35">
        <w:rPr>
          <w:color w:val="auto"/>
          <w:sz w:val="28"/>
          <w:szCs w:val="28"/>
        </w:rPr>
        <w:t xml:space="preserve"> </w:t>
      </w:r>
      <w:r w:rsidRPr="00802D35">
        <w:rPr>
          <w:color w:val="auto"/>
          <w:sz w:val="28"/>
          <w:szCs w:val="28"/>
          <w:lang w:val="en-US"/>
        </w:rPr>
        <w:t>Scientific</w:t>
      </w:r>
      <w:r w:rsidRPr="00802D35">
        <w:rPr>
          <w:color w:val="auto"/>
          <w:sz w:val="28"/>
          <w:szCs w:val="28"/>
        </w:rPr>
        <w:t xml:space="preserve"> </w:t>
      </w:r>
      <w:r w:rsidRPr="00802D35">
        <w:rPr>
          <w:color w:val="auto"/>
          <w:sz w:val="28"/>
          <w:szCs w:val="28"/>
          <w:lang w:val="en-US"/>
        </w:rPr>
        <w:t>and</w:t>
      </w:r>
      <w:r w:rsidRPr="00802D35">
        <w:rPr>
          <w:color w:val="auto"/>
          <w:sz w:val="28"/>
          <w:szCs w:val="28"/>
        </w:rPr>
        <w:t xml:space="preserve"> </w:t>
      </w:r>
      <w:r w:rsidRPr="00802D35">
        <w:rPr>
          <w:color w:val="auto"/>
          <w:sz w:val="28"/>
          <w:szCs w:val="28"/>
          <w:lang w:val="en-US"/>
        </w:rPr>
        <w:t>Practical</w:t>
      </w:r>
      <w:r w:rsidRPr="00802D35">
        <w:rPr>
          <w:color w:val="auto"/>
          <w:sz w:val="28"/>
          <w:szCs w:val="28"/>
        </w:rPr>
        <w:t xml:space="preserve"> </w:t>
      </w:r>
      <w:r w:rsidRPr="00802D35">
        <w:rPr>
          <w:color w:val="auto"/>
          <w:sz w:val="28"/>
          <w:szCs w:val="28"/>
          <w:lang w:val="en-US"/>
        </w:rPr>
        <w:t>Conference</w:t>
      </w:r>
      <w:r w:rsidRPr="00802D35">
        <w:rPr>
          <w:color w:val="auto"/>
          <w:sz w:val="28"/>
          <w:szCs w:val="28"/>
        </w:rPr>
        <w:t xml:space="preserve"> </w:t>
      </w:r>
      <w:r w:rsidRPr="00802D35">
        <w:rPr>
          <w:color w:val="auto"/>
          <w:sz w:val="28"/>
          <w:szCs w:val="28"/>
          <w:lang w:val="en-US"/>
        </w:rPr>
        <w:t>Vancouver</w:t>
      </w:r>
      <w:r w:rsidRPr="00802D35">
        <w:rPr>
          <w:color w:val="auto"/>
          <w:sz w:val="28"/>
          <w:szCs w:val="28"/>
        </w:rPr>
        <w:t xml:space="preserve"> (Канада), </w:t>
      </w:r>
      <w:r w:rsidRPr="00802D35">
        <w:rPr>
          <w:bCs/>
          <w:color w:val="auto"/>
          <w:sz w:val="28"/>
          <w:szCs w:val="28"/>
        </w:rPr>
        <w:t>VII международной научно-практической конференции МЦНС «</w:t>
      </w:r>
      <w:r w:rsidR="000512A2" w:rsidRPr="00802D35">
        <w:rPr>
          <w:bCs/>
          <w:color w:val="auto"/>
          <w:sz w:val="28"/>
          <w:szCs w:val="28"/>
        </w:rPr>
        <w:t>Наука и просвещение</w:t>
      </w:r>
      <w:r w:rsidRPr="00802D35">
        <w:rPr>
          <w:bCs/>
          <w:color w:val="auto"/>
          <w:sz w:val="28"/>
          <w:szCs w:val="28"/>
        </w:rPr>
        <w:t>»</w:t>
      </w:r>
      <w:r w:rsidRPr="00802D35">
        <w:rPr>
          <w:color w:val="auto"/>
          <w:sz w:val="28"/>
          <w:szCs w:val="28"/>
        </w:rPr>
        <w:t xml:space="preserve">. </w:t>
      </w:r>
    </w:p>
    <w:p w:rsidR="00603572" w:rsidRPr="00802D35" w:rsidRDefault="00603572" w:rsidP="00603572">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b/>
          <w:bCs/>
          <w:sz w:val="28"/>
          <w:szCs w:val="28"/>
        </w:rPr>
        <w:t xml:space="preserve">Публикации результатов исследования. </w:t>
      </w:r>
      <w:r w:rsidRPr="00802D35">
        <w:rPr>
          <w:rFonts w:ascii="Times New Roman" w:hAnsi="Times New Roman" w:cs="Times New Roman"/>
          <w:sz w:val="28"/>
          <w:szCs w:val="28"/>
        </w:rPr>
        <w:t xml:space="preserve">По теме исследования опубликовано </w:t>
      </w:r>
      <w:r w:rsidR="005033EB" w:rsidRPr="00802D35">
        <w:rPr>
          <w:rFonts w:ascii="Times New Roman" w:hAnsi="Times New Roman" w:cs="Times New Roman"/>
          <w:sz w:val="28"/>
          <w:szCs w:val="28"/>
        </w:rPr>
        <w:t>7</w:t>
      </w:r>
      <w:r w:rsidRPr="00802D35">
        <w:rPr>
          <w:rFonts w:ascii="Times New Roman" w:hAnsi="Times New Roman" w:cs="Times New Roman"/>
          <w:sz w:val="28"/>
          <w:szCs w:val="28"/>
        </w:rPr>
        <w:t xml:space="preserve"> научных трудов, в том числе 3 – в изданиях, рекомендованных КОКСОН </w:t>
      </w:r>
      <w:r w:rsidR="005033EB" w:rsidRPr="00802D35">
        <w:rPr>
          <w:rFonts w:ascii="Times New Roman" w:hAnsi="Times New Roman" w:cs="Times New Roman"/>
          <w:sz w:val="28"/>
          <w:szCs w:val="28"/>
        </w:rPr>
        <w:t xml:space="preserve">МОН РК </w:t>
      </w:r>
      <w:r w:rsidRPr="00802D35">
        <w:rPr>
          <w:rFonts w:ascii="Times New Roman" w:hAnsi="Times New Roman" w:cs="Times New Roman"/>
          <w:sz w:val="28"/>
          <w:szCs w:val="28"/>
        </w:rPr>
        <w:t>и 1 – в международном научном издании, входящих в базу данных Scopus.</w:t>
      </w:r>
    </w:p>
    <w:p w:rsidR="00603572" w:rsidRPr="00802D35" w:rsidRDefault="00603572" w:rsidP="00603572">
      <w:pPr>
        <w:pStyle w:val="a7"/>
        <w:widowControl w:val="0"/>
        <w:spacing w:before="0" w:beforeAutospacing="0" w:after="0" w:afterAutospacing="0"/>
        <w:ind w:firstLine="567"/>
        <w:jc w:val="both"/>
        <w:rPr>
          <w:sz w:val="28"/>
          <w:szCs w:val="28"/>
        </w:rPr>
      </w:pPr>
      <w:r w:rsidRPr="00802D35">
        <w:rPr>
          <w:b/>
          <w:sz w:val="28"/>
          <w:szCs w:val="28"/>
        </w:rPr>
        <w:t>Структура диссертации</w:t>
      </w:r>
      <w:r w:rsidRPr="00802D35">
        <w:rPr>
          <w:sz w:val="28"/>
          <w:szCs w:val="28"/>
        </w:rPr>
        <w:t xml:space="preserve">. Диссертационная работа </w:t>
      </w:r>
      <w:r w:rsidR="001141F9" w:rsidRPr="00802D35">
        <w:rPr>
          <w:sz w:val="28"/>
          <w:szCs w:val="28"/>
        </w:rPr>
        <w:t>включает в себя</w:t>
      </w:r>
      <w:r w:rsidRPr="00802D35">
        <w:rPr>
          <w:sz w:val="28"/>
          <w:szCs w:val="28"/>
        </w:rPr>
        <w:t xml:space="preserve"> введени</w:t>
      </w:r>
      <w:r w:rsidR="001141F9" w:rsidRPr="00802D35">
        <w:rPr>
          <w:sz w:val="28"/>
          <w:szCs w:val="28"/>
        </w:rPr>
        <w:t>е</w:t>
      </w:r>
      <w:r w:rsidRPr="00802D35">
        <w:rPr>
          <w:sz w:val="28"/>
          <w:szCs w:val="28"/>
        </w:rPr>
        <w:t xml:space="preserve">, </w:t>
      </w:r>
      <w:r w:rsidR="001141F9" w:rsidRPr="00802D35">
        <w:rPr>
          <w:sz w:val="28"/>
          <w:szCs w:val="28"/>
        </w:rPr>
        <w:t>три основных</w:t>
      </w:r>
      <w:r w:rsidRPr="00802D35">
        <w:rPr>
          <w:sz w:val="28"/>
          <w:szCs w:val="28"/>
        </w:rPr>
        <w:t xml:space="preserve"> раздел</w:t>
      </w:r>
      <w:r w:rsidR="001141F9" w:rsidRPr="00802D35">
        <w:rPr>
          <w:sz w:val="28"/>
          <w:szCs w:val="28"/>
        </w:rPr>
        <w:t>а</w:t>
      </w:r>
      <w:r w:rsidRPr="00802D35">
        <w:rPr>
          <w:sz w:val="28"/>
          <w:szCs w:val="28"/>
        </w:rPr>
        <w:t>, заключени</w:t>
      </w:r>
      <w:r w:rsidR="001141F9" w:rsidRPr="00802D35">
        <w:rPr>
          <w:sz w:val="28"/>
          <w:szCs w:val="28"/>
        </w:rPr>
        <w:t>е</w:t>
      </w:r>
      <w:r w:rsidRPr="00802D35">
        <w:rPr>
          <w:sz w:val="28"/>
          <w:szCs w:val="28"/>
        </w:rPr>
        <w:t xml:space="preserve"> и приложени</w:t>
      </w:r>
      <w:r w:rsidR="001141F9" w:rsidRPr="00802D35">
        <w:rPr>
          <w:sz w:val="28"/>
          <w:szCs w:val="28"/>
        </w:rPr>
        <w:t>я</w:t>
      </w:r>
      <w:r w:rsidRPr="00802D35">
        <w:rPr>
          <w:sz w:val="28"/>
          <w:szCs w:val="28"/>
        </w:rPr>
        <w:t>.  Работа содержит 2</w:t>
      </w:r>
      <w:r w:rsidR="00C21A73" w:rsidRPr="00802D35">
        <w:rPr>
          <w:sz w:val="28"/>
          <w:szCs w:val="28"/>
        </w:rPr>
        <w:t>9</w:t>
      </w:r>
      <w:r w:rsidRPr="00802D35">
        <w:rPr>
          <w:sz w:val="28"/>
          <w:szCs w:val="28"/>
        </w:rPr>
        <w:t xml:space="preserve"> таблиц, 4</w:t>
      </w:r>
      <w:r w:rsidR="00C21A73" w:rsidRPr="00802D35">
        <w:rPr>
          <w:sz w:val="28"/>
          <w:szCs w:val="28"/>
        </w:rPr>
        <w:t>2</w:t>
      </w:r>
      <w:r w:rsidRPr="00802D35">
        <w:rPr>
          <w:sz w:val="28"/>
          <w:szCs w:val="28"/>
        </w:rPr>
        <w:t xml:space="preserve"> рисунков, 48 формул и </w:t>
      </w:r>
      <w:r w:rsidR="00780E4B" w:rsidRPr="00802D35">
        <w:rPr>
          <w:sz w:val="28"/>
          <w:szCs w:val="28"/>
        </w:rPr>
        <w:t xml:space="preserve"> 3</w:t>
      </w:r>
      <w:r w:rsidRPr="00802D35">
        <w:rPr>
          <w:sz w:val="28"/>
          <w:szCs w:val="28"/>
        </w:rPr>
        <w:t xml:space="preserve"> приложени</w:t>
      </w:r>
      <w:r w:rsidR="001141F9" w:rsidRPr="00802D35">
        <w:rPr>
          <w:sz w:val="28"/>
          <w:szCs w:val="28"/>
        </w:rPr>
        <w:t>я</w:t>
      </w:r>
      <w:r w:rsidRPr="00802D35">
        <w:rPr>
          <w:sz w:val="28"/>
          <w:szCs w:val="28"/>
        </w:rPr>
        <w:t>.</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p>
    <w:p w:rsidR="00CD0B20" w:rsidRPr="00802D35" w:rsidRDefault="00CD0B20" w:rsidP="00CD0B20">
      <w:pPr>
        <w:pStyle w:val="a3"/>
        <w:widowControl w:val="0"/>
        <w:numPr>
          <w:ilvl w:val="0"/>
          <w:numId w:val="1"/>
        </w:numPr>
        <w:tabs>
          <w:tab w:val="left" w:pos="426"/>
        </w:tabs>
        <w:spacing w:after="0" w:line="240" w:lineRule="auto"/>
        <w:ind w:left="0" w:firstLine="0"/>
        <w:jc w:val="center"/>
        <w:rPr>
          <w:rFonts w:ascii="Times New Roman" w:hAnsi="Times New Roman" w:cs="Times New Roman"/>
          <w:b/>
          <w:caps/>
          <w:sz w:val="28"/>
          <w:szCs w:val="28"/>
        </w:rPr>
      </w:pPr>
      <w:r w:rsidRPr="00802D35">
        <w:rPr>
          <w:rFonts w:ascii="Times New Roman" w:hAnsi="Times New Roman" w:cs="Times New Roman"/>
          <w:b/>
          <w:caps/>
          <w:sz w:val="28"/>
          <w:szCs w:val="28"/>
        </w:rPr>
        <w:lastRenderedPageBreak/>
        <w:t>трансформация КОНЦЕПТУАЛЬНО-МЕТОДОЛОГИЧЕСКИх подходов к фондированию В БАНКАХ</w:t>
      </w:r>
      <w:r w:rsidRPr="00802D35">
        <w:rPr>
          <w:rFonts w:ascii="Times New Roman" w:hAnsi="Times New Roman" w:cs="Times New Roman"/>
          <w:b/>
          <w:caps/>
          <w:sz w:val="28"/>
          <w:szCs w:val="28"/>
        </w:rPr>
        <w:tab/>
      </w:r>
    </w:p>
    <w:p w:rsidR="00CD0B20" w:rsidRPr="00802D35" w:rsidRDefault="00CD0B20" w:rsidP="00CD0B20">
      <w:pPr>
        <w:pStyle w:val="a3"/>
        <w:widowControl w:val="0"/>
        <w:spacing w:after="0" w:line="240" w:lineRule="auto"/>
        <w:ind w:left="432"/>
        <w:rPr>
          <w:rFonts w:ascii="Times New Roman" w:hAnsi="Times New Roman" w:cs="Times New Roman"/>
          <w:b/>
          <w:sz w:val="28"/>
          <w:szCs w:val="28"/>
        </w:rPr>
      </w:pPr>
    </w:p>
    <w:p w:rsidR="00CD0B20" w:rsidRPr="00802D35" w:rsidRDefault="00CD0B20" w:rsidP="00CD0B20">
      <w:pPr>
        <w:pStyle w:val="a3"/>
        <w:widowControl w:val="0"/>
        <w:numPr>
          <w:ilvl w:val="1"/>
          <w:numId w:val="1"/>
        </w:numPr>
        <w:tabs>
          <w:tab w:val="left" w:pos="993"/>
        </w:tabs>
        <w:spacing w:after="0" w:line="240" w:lineRule="auto"/>
        <w:ind w:left="0" w:firstLine="567"/>
        <w:jc w:val="both"/>
        <w:rPr>
          <w:rFonts w:ascii="Times New Roman" w:hAnsi="Times New Roman" w:cs="Times New Roman"/>
          <w:b/>
          <w:sz w:val="28"/>
          <w:szCs w:val="28"/>
        </w:rPr>
      </w:pPr>
      <w:r w:rsidRPr="00802D35">
        <w:rPr>
          <w:rFonts w:ascii="Times New Roman" w:hAnsi="Times New Roman" w:cs="Times New Roman"/>
          <w:b/>
          <w:sz w:val="28"/>
          <w:szCs w:val="28"/>
        </w:rPr>
        <w:t>Идентификация сущности фондирования банковской деятельности</w:t>
      </w:r>
      <w:r w:rsidRPr="00802D35">
        <w:rPr>
          <w:rFonts w:ascii="Times New Roman" w:hAnsi="Times New Roman" w:cs="Times New Roman"/>
          <w:b/>
          <w:sz w:val="28"/>
          <w:szCs w:val="28"/>
        </w:rPr>
        <w:tab/>
      </w:r>
    </w:p>
    <w:p w:rsidR="00BB0384" w:rsidRPr="00802D35" w:rsidRDefault="00B91C78" w:rsidP="00B91C7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Вопросы и проблемы фондирования банков второго уровня вызывает множество дискуссий</w:t>
      </w:r>
      <w:r w:rsidR="005318E9" w:rsidRPr="00802D35">
        <w:rPr>
          <w:rFonts w:ascii="Times New Roman" w:hAnsi="Times New Roman" w:cs="Times New Roman"/>
          <w:sz w:val="28"/>
          <w:szCs w:val="28"/>
        </w:rPr>
        <w:t xml:space="preserve"> и являются вечными аспектами брейнсторминга</w:t>
      </w:r>
      <w:r w:rsidRPr="00802D35">
        <w:rPr>
          <w:rFonts w:ascii="Times New Roman" w:hAnsi="Times New Roman" w:cs="Times New Roman"/>
          <w:sz w:val="28"/>
          <w:szCs w:val="28"/>
        </w:rPr>
        <w:t xml:space="preserve"> </w:t>
      </w:r>
      <w:r w:rsidR="005318E9" w:rsidRPr="00802D35">
        <w:rPr>
          <w:rFonts w:ascii="Times New Roman" w:hAnsi="Times New Roman" w:cs="Times New Roman"/>
          <w:sz w:val="28"/>
          <w:szCs w:val="28"/>
        </w:rPr>
        <w:t xml:space="preserve">среди как специалистов бизнес-структур, так и научных исследований. Фондирование было и остается важнейшим актуализатором в деятельности не только самих банков, но и функционирования всей финансовой системы страны. </w:t>
      </w:r>
    </w:p>
    <w:p w:rsidR="002A21FA" w:rsidRPr="00802D35" w:rsidRDefault="00BB0384" w:rsidP="002A21F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Проводимые исследования неоднократно подчеркивали значимость банковского сектора в развитии экономики государства. В частности, обозначена роль банка как важнейшего кредитора страны, в результате чего благодаря кредитованию банки способствуют развитию </w:t>
      </w:r>
      <w:r w:rsidR="00607C8E" w:rsidRPr="00802D35">
        <w:rPr>
          <w:rFonts w:ascii="Times New Roman" w:hAnsi="Times New Roman" w:cs="Times New Roman"/>
          <w:sz w:val="28"/>
          <w:szCs w:val="28"/>
        </w:rPr>
        <w:t>различных секторов экономики [</w:t>
      </w:r>
      <w:r w:rsidR="000B0564" w:rsidRPr="00802D35">
        <w:rPr>
          <w:rFonts w:ascii="Times New Roman" w:hAnsi="Times New Roman" w:cs="Times New Roman"/>
          <w:sz w:val="28"/>
          <w:szCs w:val="28"/>
        </w:rPr>
        <w:t>2</w:t>
      </w:r>
      <w:r w:rsidR="00607C8E" w:rsidRPr="00802D35">
        <w:rPr>
          <w:rFonts w:ascii="Times New Roman" w:hAnsi="Times New Roman" w:cs="Times New Roman"/>
          <w:sz w:val="28"/>
          <w:szCs w:val="28"/>
        </w:rPr>
        <w:t>].</w:t>
      </w:r>
      <w:r w:rsidR="00FE6D9D" w:rsidRPr="00802D35">
        <w:rPr>
          <w:rFonts w:ascii="Times New Roman" w:hAnsi="Times New Roman" w:cs="Times New Roman"/>
          <w:sz w:val="28"/>
          <w:szCs w:val="28"/>
        </w:rPr>
        <w:t xml:space="preserve"> </w:t>
      </w:r>
      <w:r w:rsidR="002A21FA" w:rsidRPr="00802D35">
        <w:rPr>
          <w:rFonts w:ascii="Times New Roman" w:hAnsi="Times New Roman" w:cs="Times New Roman"/>
          <w:sz w:val="28"/>
          <w:szCs w:val="28"/>
        </w:rPr>
        <w:t>Роль банков значима и тем, что они улучшают распределение ограниченного капитала, направляя его в наиболее продуктивные сферы деятельности, а также позволяют домашним хозяйствам планировать свое потребление с течением времени за счет сбережений и займов [</w:t>
      </w:r>
      <w:r w:rsidR="000B0564" w:rsidRPr="00802D35">
        <w:rPr>
          <w:rFonts w:ascii="Times New Roman" w:hAnsi="Times New Roman" w:cs="Times New Roman"/>
          <w:sz w:val="28"/>
          <w:szCs w:val="28"/>
        </w:rPr>
        <w:t>3</w:t>
      </w:r>
      <w:r w:rsidR="002A21FA" w:rsidRPr="00802D35">
        <w:rPr>
          <w:rFonts w:ascii="Times New Roman" w:hAnsi="Times New Roman" w:cs="Times New Roman"/>
          <w:sz w:val="28"/>
          <w:szCs w:val="28"/>
        </w:rPr>
        <w:t>].</w:t>
      </w:r>
    </w:p>
    <w:p w:rsidR="00BB0384" w:rsidRPr="00802D35" w:rsidRDefault="00607C8E" w:rsidP="00B91C7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Проблемы банковского сектора оказывают влияние на экономику всей страны, что также свидетельствует о значимой роли банков в экономическом развитии государства [</w:t>
      </w:r>
      <w:r w:rsidR="000B0564" w:rsidRPr="00802D35">
        <w:rPr>
          <w:rFonts w:ascii="Times New Roman" w:hAnsi="Times New Roman" w:cs="Times New Roman"/>
          <w:sz w:val="28"/>
          <w:szCs w:val="28"/>
        </w:rPr>
        <w:t>4</w:t>
      </w:r>
      <w:r w:rsidRPr="00802D35">
        <w:rPr>
          <w:rFonts w:ascii="Times New Roman" w:hAnsi="Times New Roman" w:cs="Times New Roman"/>
          <w:sz w:val="28"/>
          <w:szCs w:val="28"/>
        </w:rPr>
        <w:t xml:space="preserve">]. </w:t>
      </w:r>
    </w:p>
    <w:p w:rsidR="002A21FA" w:rsidRPr="00802D35" w:rsidRDefault="00FE6D9D" w:rsidP="002A21F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Результаты некоторых исследований показали, что</w:t>
      </w:r>
      <w:r w:rsidR="00037024" w:rsidRPr="00802D35">
        <w:rPr>
          <w:rFonts w:ascii="Times New Roman" w:hAnsi="Times New Roman" w:cs="Times New Roman"/>
          <w:sz w:val="28"/>
          <w:szCs w:val="28"/>
        </w:rPr>
        <w:t xml:space="preserve"> </w:t>
      </w:r>
      <w:r w:rsidRPr="00802D35">
        <w:rPr>
          <w:rFonts w:ascii="Times New Roman" w:hAnsi="Times New Roman" w:cs="Times New Roman"/>
          <w:sz w:val="28"/>
          <w:szCs w:val="28"/>
        </w:rPr>
        <w:t>функционирование банковского сектора</w:t>
      </w:r>
      <w:r w:rsidR="00037024" w:rsidRPr="00802D35">
        <w:rPr>
          <w:rFonts w:ascii="Times New Roman" w:hAnsi="Times New Roman" w:cs="Times New Roman"/>
          <w:sz w:val="28"/>
          <w:szCs w:val="28"/>
        </w:rPr>
        <w:t xml:space="preserve"> име</w:t>
      </w:r>
      <w:r w:rsidRPr="00802D35">
        <w:rPr>
          <w:rFonts w:ascii="Times New Roman" w:hAnsi="Times New Roman" w:cs="Times New Roman"/>
          <w:sz w:val="28"/>
          <w:szCs w:val="28"/>
        </w:rPr>
        <w:t>е</w:t>
      </w:r>
      <w:r w:rsidR="00037024" w:rsidRPr="00802D35">
        <w:rPr>
          <w:rFonts w:ascii="Times New Roman" w:hAnsi="Times New Roman" w:cs="Times New Roman"/>
          <w:sz w:val="28"/>
          <w:szCs w:val="28"/>
        </w:rPr>
        <w:t>т статистически значимое долгосрочное влияние на ВВП</w:t>
      </w:r>
      <w:r w:rsidRPr="00802D35">
        <w:rPr>
          <w:rFonts w:ascii="Times New Roman" w:hAnsi="Times New Roman" w:cs="Times New Roman"/>
          <w:sz w:val="28"/>
          <w:szCs w:val="28"/>
        </w:rPr>
        <w:t xml:space="preserve"> государства</w:t>
      </w:r>
      <w:r w:rsidR="00037024" w:rsidRPr="00802D35">
        <w:rPr>
          <w:rFonts w:ascii="Times New Roman" w:hAnsi="Times New Roman" w:cs="Times New Roman"/>
          <w:sz w:val="28"/>
          <w:szCs w:val="28"/>
        </w:rPr>
        <w:t xml:space="preserve">. </w:t>
      </w:r>
      <w:r w:rsidRPr="00802D35">
        <w:rPr>
          <w:rFonts w:ascii="Times New Roman" w:hAnsi="Times New Roman" w:cs="Times New Roman"/>
          <w:sz w:val="28"/>
          <w:szCs w:val="28"/>
        </w:rPr>
        <w:t>При этом, авторы</w:t>
      </w:r>
      <w:r w:rsidR="00037024" w:rsidRPr="00802D35">
        <w:rPr>
          <w:rFonts w:ascii="Times New Roman" w:hAnsi="Times New Roman" w:cs="Times New Roman"/>
          <w:sz w:val="28"/>
          <w:szCs w:val="28"/>
        </w:rPr>
        <w:t xml:space="preserve"> предлагают больше внимания уделять механизмам, </w:t>
      </w:r>
      <w:r w:rsidRPr="00802D35">
        <w:rPr>
          <w:rFonts w:ascii="Times New Roman" w:hAnsi="Times New Roman" w:cs="Times New Roman"/>
          <w:sz w:val="28"/>
          <w:szCs w:val="28"/>
        </w:rPr>
        <w:t>позволяющим</w:t>
      </w:r>
      <w:r w:rsidR="00037024" w:rsidRPr="00802D35">
        <w:rPr>
          <w:rFonts w:ascii="Times New Roman" w:hAnsi="Times New Roman" w:cs="Times New Roman"/>
          <w:sz w:val="28"/>
          <w:szCs w:val="28"/>
        </w:rPr>
        <w:t xml:space="preserve"> добиться максимальной мобилизации сбережений и облегчить распределение ресурсов</w:t>
      </w:r>
      <w:r w:rsidRPr="00802D35">
        <w:rPr>
          <w:rFonts w:ascii="Times New Roman" w:hAnsi="Times New Roman" w:cs="Times New Roman"/>
          <w:sz w:val="28"/>
          <w:szCs w:val="28"/>
        </w:rPr>
        <w:t xml:space="preserve">, что достижимо непосредственно благодаря банкам </w:t>
      </w:r>
      <w:r w:rsidR="00037024" w:rsidRPr="00802D35">
        <w:rPr>
          <w:rFonts w:ascii="Times New Roman" w:hAnsi="Times New Roman" w:cs="Times New Roman"/>
          <w:sz w:val="28"/>
          <w:szCs w:val="28"/>
        </w:rPr>
        <w:t>[</w:t>
      </w:r>
      <w:r w:rsidR="000B0564" w:rsidRPr="00802D35">
        <w:rPr>
          <w:rFonts w:ascii="Times New Roman" w:hAnsi="Times New Roman" w:cs="Times New Roman"/>
          <w:sz w:val="28"/>
          <w:szCs w:val="28"/>
        </w:rPr>
        <w:t>5</w:t>
      </w:r>
      <w:r w:rsidR="00037024" w:rsidRPr="00802D35">
        <w:rPr>
          <w:rFonts w:ascii="Times New Roman" w:hAnsi="Times New Roman" w:cs="Times New Roman"/>
          <w:sz w:val="28"/>
          <w:szCs w:val="28"/>
        </w:rPr>
        <w:t>].</w:t>
      </w:r>
      <w:r w:rsidR="002A21FA" w:rsidRPr="00802D35">
        <w:rPr>
          <w:rFonts w:ascii="Times New Roman" w:hAnsi="Times New Roman" w:cs="Times New Roman"/>
          <w:sz w:val="28"/>
          <w:szCs w:val="28"/>
        </w:rPr>
        <w:t xml:space="preserve"> </w:t>
      </w:r>
    </w:p>
    <w:p w:rsidR="002A21FA" w:rsidRPr="00802D35" w:rsidRDefault="002A21FA" w:rsidP="002A21F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Одновременно, некоторые авторы отмечают наличие нелинейной корреляции со сферами экономики, наиболее зависимыми от долгового финансирования [</w:t>
      </w:r>
      <w:r w:rsidR="000B0564" w:rsidRPr="00802D35">
        <w:rPr>
          <w:rFonts w:ascii="Times New Roman" w:hAnsi="Times New Roman" w:cs="Times New Roman"/>
          <w:sz w:val="28"/>
          <w:szCs w:val="28"/>
        </w:rPr>
        <w:t>6</w:t>
      </w:r>
      <w:r w:rsidRPr="00802D35">
        <w:rPr>
          <w:rFonts w:ascii="Times New Roman" w:hAnsi="Times New Roman" w:cs="Times New Roman"/>
          <w:sz w:val="28"/>
          <w:szCs w:val="28"/>
        </w:rPr>
        <w:t>].</w:t>
      </w:r>
    </w:p>
    <w:p w:rsidR="00607C8E" w:rsidRPr="00802D35" w:rsidRDefault="00037024" w:rsidP="00B91C7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Результаты </w:t>
      </w:r>
      <w:r w:rsidR="002A21FA" w:rsidRPr="00802D35">
        <w:rPr>
          <w:rFonts w:ascii="Times New Roman" w:hAnsi="Times New Roman" w:cs="Times New Roman"/>
          <w:sz w:val="28"/>
          <w:szCs w:val="28"/>
        </w:rPr>
        <w:t xml:space="preserve">некоторых </w:t>
      </w:r>
      <w:r w:rsidRPr="00802D35">
        <w:rPr>
          <w:rFonts w:ascii="Times New Roman" w:hAnsi="Times New Roman" w:cs="Times New Roman"/>
          <w:sz w:val="28"/>
          <w:szCs w:val="28"/>
        </w:rPr>
        <w:t>исследовани</w:t>
      </w:r>
      <w:r w:rsidR="002A21FA" w:rsidRPr="00802D35">
        <w:rPr>
          <w:rFonts w:ascii="Times New Roman" w:hAnsi="Times New Roman" w:cs="Times New Roman"/>
          <w:sz w:val="28"/>
          <w:szCs w:val="28"/>
        </w:rPr>
        <w:t>й</w:t>
      </w:r>
      <w:r w:rsidRPr="00802D35">
        <w:rPr>
          <w:rFonts w:ascii="Times New Roman" w:hAnsi="Times New Roman" w:cs="Times New Roman"/>
          <w:sz w:val="28"/>
          <w:szCs w:val="28"/>
        </w:rPr>
        <w:t xml:space="preserve"> показывают, что </w:t>
      </w:r>
      <w:r w:rsidR="002A21FA" w:rsidRPr="00802D35">
        <w:rPr>
          <w:rFonts w:ascii="Times New Roman" w:hAnsi="Times New Roman" w:cs="Times New Roman"/>
          <w:sz w:val="28"/>
          <w:szCs w:val="28"/>
        </w:rPr>
        <w:t>развитие структурных квази-инструментов в некоторых аспектах</w:t>
      </w:r>
      <w:r w:rsidRPr="00802D35">
        <w:rPr>
          <w:rFonts w:ascii="Times New Roman" w:hAnsi="Times New Roman" w:cs="Times New Roman"/>
          <w:sz w:val="28"/>
          <w:szCs w:val="28"/>
        </w:rPr>
        <w:t xml:space="preserve"> положительно связан</w:t>
      </w:r>
      <w:r w:rsidR="002A21FA" w:rsidRPr="00802D35">
        <w:rPr>
          <w:rFonts w:ascii="Times New Roman" w:hAnsi="Times New Roman" w:cs="Times New Roman"/>
          <w:sz w:val="28"/>
          <w:szCs w:val="28"/>
        </w:rPr>
        <w:t>ы</w:t>
      </w:r>
      <w:r w:rsidRPr="00802D35">
        <w:rPr>
          <w:rFonts w:ascii="Times New Roman" w:hAnsi="Times New Roman" w:cs="Times New Roman"/>
          <w:sz w:val="28"/>
          <w:szCs w:val="28"/>
        </w:rPr>
        <w:t xml:space="preserve"> с экономическим ростом</w:t>
      </w:r>
      <w:r w:rsidR="00FE6D9D" w:rsidRPr="00802D35">
        <w:rPr>
          <w:rFonts w:ascii="Times New Roman" w:hAnsi="Times New Roman" w:cs="Times New Roman"/>
          <w:sz w:val="28"/>
          <w:szCs w:val="28"/>
        </w:rPr>
        <w:t xml:space="preserve"> </w:t>
      </w:r>
      <w:r w:rsidRPr="00802D35">
        <w:rPr>
          <w:rFonts w:ascii="Times New Roman" w:hAnsi="Times New Roman" w:cs="Times New Roman"/>
          <w:sz w:val="28"/>
          <w:szCs w:val="28"/>
        </w:rPr>
        <w:t>[</w:t>
      </w:r>
      <w:r w:rsidR="000B0564" w:rsidRPr="00802D35">
        <w:rPr>
          <w:rFonts w:ascii="Times New Roman" w:hAnsi="Times New Roman" w:cs="Times New Roman"/>
          <w:sz w:val="28"/>
          <w:szCs w:val="28"/>
        </w:rPr>
        <w:t>7</w:t>
      </w:r>
      <w:r w:rsidRPr="00802D35">
        <w:rPr>
          <w:rFonts w:ascii="Times New Roman" w:hAnsi="Times New Roman" w:cs="Times New Roman"/>
          <w:sz w:val="28"/>
          <w:szCs w:val="28"/>
        </w:rPr>
        <w:t>].</w:t>
      </w:r>
      <w:r w:rsidR="002A21FA" w:rsidRPr="00802D35">
        <w:rPr>
          <w:rFonts w:ascii="Times New Roman" w:hAnsi="Times New Roman" w:cs="Times New Roman"/>
          <w:sz w:val="28"/>
          <w:szCs w:val="28"/>
        </w:rPr>
        <w:t xml:space="preserve"> Таким образом, тот факт, что банки оказывают существенное влияние на экономическое развитие страны, обусловливает наличие значимости фондирования банковской деятельности.</w:t>
      </w:r>
    </w:p>
    <w:p w:rsidR="00864667" w:rsidRPr="00802D35" w:rsidRDefault="00F66973" w:rsidP="00B91C7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Аутентичность влияния банковского сектора на развитие экономики генерирует наличие воздействия экзогенных и эндогенных факторов на эффективность банковской деятельности, а, следовательно, и банковское фондирование. </w:t>
      </w:r>
      <w:r w:rsidR="00422E04" w:rsidRPr="00802D35">
        <w:rPr>
          <w:rFonts w:ascii="Times New Roman" w:hAnsi="Times New Roman" w:cs="Times New Roman"/>
          <w:sz w:val="28"/>
          <w:szCs w:val="28"/>
        </w:rPr>
        <w:t>Ф</w:t>
      </w:r>
      <w:r w:rsidRPr="00802D35">
        <w:rPr>
          <w:rFonts w:ascii="Times New Roman" w:hAnsi="Times New Roman" w:cs="Times New Roman"/>
          <w:sz w:val="28"/>
          <w:szCs w:val="28"/>
        </w:rPr>
        <w:t>инансов</w:t>
      </w:r>
      <w:r w:rsidR="00422E04" w:rsidRPr="00802D35">
        <w:rPr>
          <w:rFonts w:ascii="Times New Roman" w:hAnsi="Times New Roman" w:cs="Times New Roman"/>
          <w:sz w:val="28"/>
          <w:szCs w:val="28"/>
        </w:rPr>
        <w:t xml:space="preserve">ая </w:t>
      </w:r>
      <w:r w:rsidRPr="00802D35">
        <w:rPr>
          <w:rFonts w:ascii="Times New Roman" w:hAnsi="Times New Roman" w:cs="Times New Roman"/>
          <w:sz w:val="28"/>
          <w:szCs w:val="28"/>
        </w:rPr>
        <w:t>литератур</w:t>
      </w:r>
      <w:r w:rsidR="00422E04" w:rsidRPr="00802D35">
        <w:rPr>
          <w:rFonts w:ascii="Times New Roman" w:hAnsi="Times New Roman" w:cs="Times New Roman"/>
          <w:sz w:val="28"/>
          <w:szCs w:val="28"/>
        </w:rPr>
        <w:t xml:space="preserve">а освещает </w:t>
      </w:r>
      <w:r w:rsidRPr="00802D35">
        <w:rPr>
          <w:rFonts w:ascii="Times New Roman" w:hAnsi="Times New Roman" w:cs="Times New Roman"/>
          <w:sz w:val="28"/>
          <w:szCs w:val="28"/>
        </w:rPr>
        <w:t xml:space="preserve">множество </w:t>
      </w:r>
      <w:r w:rsidR="00422E04" w:rsidRPr="00802D35">
        <w:rPr>
          <w:rFonts w:ascii="Times New Roman" w:hAnsi="Times New Roman" w:cs="Times New Roman"/>
          <w:sz w:val="28"/>
          <w:szCs w:val="28"/>
        </w:rPr>
        <w:t>вопросов</w:t>
      </w:r>
      <w:r w:rsidRPr="00802D35">
        <w:rPr>
          <w:rFonts w:ascii="Times New Roman" w:hAnsi="Times New Roman" w:cs="Times New Roman"/>
          <w:sz w:val="28"/>
          <w:szCs w:val="28"/>
        </w:rPr>
        <w:t xml:space="preserve">, </w:t>
      </w:r>
      <w:r w:rsidR="00422E04" w:rsidRPr="00802D35">
        <w:rPr>
          <w:rFonts w:ascii="Times New Roman" w:hAnsi="Times New Roman" w:cs="Times New Roman"/>
          <w:sz w:val="28"/>
          <w:szCs w:val="28"/>
        </w:rPr>
        <w:t xml:space="preserve">связанных с фондированием банков, </w:t>
      </w:r>
      <w:r w:rsidRPr="00802D35">
        <w:rPr>
          <w:rFonts w:ascii="Times New Roman" w:hAnsi="Times New Roman" w:cs="Times New Roman"/>
          <w:sz w:val="28"/>
          <w:szCs w:val="28"/>
        </w:rPr>
        <w:t xml:space="preserve">однако, </w:t>
      </w:r>
      <w:r w:rsidR="00422E04" w:rsidRPr="00802D35">
        <w:rPr>
          <w:rFonts w:ascii="Times New Roman" w:hAnsi="Times New Roman" w:cs="Times New Roman"/>
          <w:sz w:val="28"/>
          <w:szCs w:val="28"/>
        </w:rPr>
        <w:t>четких определений данного понятия не представлено, за исключением нескольких</w:t>
      </w:r>
      <w:r w:rsidR="009C1718" w:rsidRPr="00802D35">
        <w:rPr>
          <w:rFonts w:ascii="Times New Roman" w:hAnsi="Times New Roman" w:cs="Times New Roman"/>
          <w:sz w:val="28"/>
          <w:szCs w:val="28"/>
        </w:rPr>
        <w:t>, большей степенью представляющих понятие фондирования в целом</w:t>
      </w:r>
      <w:r w:rsidRPr="00802D35">
        <w:rPr>
          <w:rFonts w:ascii="Times New Roman" w:hAnsi="Times New Roman" w:cs="Times New Roman"/>
          <w:sz w:val="28"/>
          <w:szCs w:val="28"/>
        </w:rPr>
        <w:t xml:space="preserve">. В связи с этим, вполне целесообразно проведение генерализации и обобщения существующих подходов относительно понятия фондирования </w:t>
      </w:r>
      <w:r w:rsidR="00084B13" w:rsidRPr="00802D35">
        <w:rPr>
          <w:rFonts w:ascii="Times New Roman" w:hAnsi="Times New Roman" w:cs="Times New Roman"/>
          <w:sz w:val="28"/>
          <w:szCs w:val="28"/>
        </w:rPr>
        <w:t>банковской деятельности.</w:t>
      </w:r>
    </w:p>
    <w:p w:rsidR="00C13E6F" w:rsidRPr="00802D35" w:rsidRDefault="002A21FA"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 xml:space="preserve">Исследование и последующее обобщение теоретико-методологических подходов к сущности фондирования банковской деятельности показали, что единичные авторы представляют свои определения данного понятия. При этом, </w:t>
      </w:r>
      <w:r w:rsidR="00B048A0" w:rsidRPr="00802D35">
        <w:rPr>
          <w:rFonts w:ascii="Times New Roman" w:hAnsi="Times New Roman" w:cs="Times New Roman"/>
          <w:sz w:val="28"/>
          <w:szCs w:val="28"/>
        </w:rPr>
        <w:t xml:space="preserve">представленные определения носят скорее общий характер и не выделяют специфику банковского сектора. Более того, использование как отечественными, так и зарубежными авторами понятия «фондирование банков» является само собой разумеющимся и самоочевидным, </w:t>
      </w:r>
      <w:r w:rsidR="00C13E6F" w:rsidRPr="00802D35">
        <w:rPr>
          <w:rFonts w:ascii="Times New Roman" w:hAnsi="Times New Roman" w:cs="Times New Roman"/>
          <w:sz w:val="28"/>
          <w:szCs w:val="28"/>
        </w:rPr>
        <w:t xml:space="preserve">в результате чего </w:t>
      </w:r>
      <w:r w:rsidR="00B048A0" w:rsidRPr="00802D35">
        <w:rPr>
          <w:rFonts w:ascii="Times New Roman" w:hAnsi="Times New Roman" w:cs="Times New Roman"/>
          <w:sz w:val="28"/>
          <w:szCs w:val="28"/>
        </w:rPr>
        <w:t xml:space="preserve">в экономической литературе не представлено </w:t>
      </w:r>
      <w:r w:rsidR="00B048A0" w:rsidRPr="00802D35">
        <w:rPr>
          <w:rFonts w:ascii="Times New Roman" w:hAnsi="Times New Roman" w:cs="Times New Roman"/>
          <w:sz w:val="28"/>
          <w:szCs w:val="28"/>
          <w:shd w:val="clear" w:color="auto" w:fill="FFFFFF"/>
        </w:rPr>
        <w:t>устоявшегося понимания данного термина.</w:t>
      </w:r>
      <w:r w:rsidR="009454E2" w:rsidRPr="00802D35">
        <w:rPr>
          <w:rFonts w:ascii="Times New Roman" w:hAnsi="Times New Roman" w:cs="Times New Roman"/>
          <w:sz w:val="28"/>
          <w:szCs w:val="28"/>
          <w:shd w:val="clear" w:color="auto" w:fill="FFFFFF"/>
        </w:rPr>
        <w:t xml:space="preserve"> </w:t>
      </w:r>
      <w:r w:rsidR="009454E2" w:rsidRPr="00802D35">
        <w:rPr>
          <w:rFonts w:ascii="Times New Roman" w:hAnsi="Times New Roman" w:cs="Times New Roman"/>
          <w:sz w:val="28"/>
          <w:szCs w:val="28"/>
        </w:rPr>
        <w:t>Также следует отметить, что</w:t>
      </w:r>
      <w:r w:rsidR="00C13E6F" w:rsidRPr="00802D35">
        <w:rPr>
          <w:rFonts w:ascii="Times New Roman" w:hAnsi="Times New Roman" w:cs="Times New Roman"/>
          <w:sz w:val="28"/>
          <w:szCs w:val="28"/>
        </w:rPr>
        <w:t xml:space="preserve"> большинство авторов лишь подчеркивает важность фондирования, используют данный термин, однако, как такового определения фондирования банковской деятельности н</w:t>
      </w:r>
      <w:r w:rsidR="00CB5CC3" w:rsidRPr="00802D35">
        <w:rPr>
          <w:rFonts w:ascii="Times New Roman" w:hAnsi="Times New Roman" w:cs="Times New Roman"/>
          <w:sz w:val="28"/>
          <w:szCs w:val="28"/>
        </w:rPr>
        <w:t>е представляют. В частности, Э.</w:t>
      </w:r>
      <w:r w:rsidR="00C13E6F" w:rsidRPr="00802D35">
        <w:rPr>
          <w:rFonts w:ascii="Times New Roman" w:hAnsi="Times New Roman" w:cs="Times New Roman"/>
          <w:sz w:val="28"/>
          <w:szCs w:val="28"/>
        </w:rPr>
        <w:t>Беу и др. указывают на то, что банки имеют доступ к ряду источников фондирования, которые в широком смысле можно разделить на розничное и оптовое финансирование [</w:t>
      </w:r>
      <w:r w:rsidR="000B0564" w:rsidRPr="00802D35">
        <w:rPr>
          <w:rFonts w:ascii="Times New Roman" w:hAnsi="Times New Roman" w:cs="Times New Roman"/>
          <w:sz w:val="28"/>
          <w:szCs w:val="28"/>
        </w:rPr>
        <w:t>8</w:t>
      </w:r>
      <w:r w:rsidR="00C13E6F" w:rsidRPr="00802D35">
        <w:rPr>
          <w:rFonts w:ascii="Times New Roman" w:hAnsi="Times New Roman" w:cs="Times New Roman"/>
          <w:sz w:val="28"/>
          <w:szCs w:val="28"/>
        </w:rPr>
        <w:t>]</w:t>
      </w:r>
      <w:r w:rsidR="009454E2" w:rsidRPr="00802D35">
        <w:rPr>
          <w:rFonts w:ascii="Times New Roman" w:hAnsi="Times New Roman" w:cs="Times New Roman"/>
          <w:sz w:val="28"/>
          <w:szCs w:val="28"/>
        </w:rPr>
        <w:t xml:space="preserve">. </w:t>
      </w:r>
      <w:r w:rsidR="00C13E6F" w:rsidRPr="00802D35">
        <w:rPr>
          <w:rFonts w:ascii="Times New Roman" w:hAnsi="Times New Roman" w:cs="Times New Roman"/>
          <w:sz w:val="28"/>
          <w:szCs w:val="28"/>
        </w:rPr>
        <w:t>Увеличение возможностей банков к ф</w:t>
      </w:r>
      <w:r w:rsidR="009454E2" w:rsidRPr="00802D35">
        <w:rPr>
          <w:rFonts w:ascii="Times New Roman" w:hAnsi="Times New Roman" w:cs="Times New Roman"/>
          <w:sz w:val="28"/>
          <w:szCs w:val="28"/>
        </w:rPr>
        <w:t>онд</w:t>
      </w:r>
      <w:r w:rsidR="00C13E6F" w:rsidRPr="00802D35">
        <w:rPr>
          <w:rFonts w:ascii="Times New Roman" w:hAnsi="Times New Roman" w:cs="Times New Roman"/>
          <w:sz w:val="28"/>
          <w:szCs w:val="28"/>
        </w:rPr>
        <w:t>ированию своей деятельности повышает их активные операции, а, следовательно, и получаемые доходы, что повышает их конкурентоспособность и способствует развитию экономики страны. Так, А.Магдалена и др. отмечают, что средства для ф</w:t>
      </w:r>
      <w:r w:rsidR="009454E2" w:rsidRPr="00802D35">
        <w:rPr>
          <w:rFonts w:ascii="Times New Roman" w:hAnsi="Times New Roman" w:cs="Times New Roman"/>
          <w:sz w:val="28"/>
          <w:szCs w:val="28"/>
        </w:rPr>
        <w:t>онд</w:t>
      </w:r>
      <w:r w:rsidR="00C13E6F" w:rsidRPr="00802D35">
        <w:rPr>
          <w:rFonts w:ascii="Times New Roman" w:hAnsi="Times New Roman" w:cs="Times New Roman"/>
          <w:sz w:val="28"/>
          <w:szCs w:val="28"/>
        </w:rPr>
        <w:t>ирования банковских операций могут быть получены из различных источников, в том числе депозитов, сберегательных счетов, текущих счетов. Чем выше способность банка привлекать средства, тем больше у банков возможностей направить средства в форме ссуд</w:t>
      </w:r>
      <w:r w:rsidR="009454E2" w:rsidRPr="00802D35">
        <w:rPr>
          <w:rFonts w:ascii="Times New Roman" w:hAnsi="Times New Roman" w:cs="Times New Roman"/>
          <w:sz w:val="28"/>
          <w:szCs w:val="28"/>
        </w:rPr>
        <w:t xml:space="preserve"> </w:t>
      </w:r>
      <w:r w:rsidR="00C13E6F" w:rsidRPr="00802D35">
        <w:rPr>
          <w:rFonts w:ascii="Times New Roman" w:hAnsi="Times New Roman" w:cs="Times New Roman"/>
          <w:sz w:val="28"/>
          <w:szCs w:val="28"/>
        </w:rPr>
        <w:t>[</w:t>
      </w:r>
      <w:r w:rsidR="000B0564" w:rsidRPr="00802D35">
        <w:rPr>
          <w:rFonts w:ascii="Times New Roman" w:hAnsi="Times New Roman" w:cs="Times New Roman"/>
          <w:sz w:val="28"/>
          <w:szCs w:val="28"/>
        </w:rPr>
        <w:t>9</w:t>
      </w:r>
      <w:r w:rsidR="00C13E6F" w:rsidRPr="00802D35">
        <w:rPr>
          <w:rFonts w:ascii="Times New Roman" w:hAnsi="Times New Roman" w:cs="Times New Roman"/>
          <w:sz w:val="28"/>
          <w:szCs w:val="28"/>
        </w:rPr>
        <w:t xml:space="preserve">]. </w:t>
      </w:r>
    </w:p>
    <w:p w:rsidR="00C13E6F" w:rsidRPr="00802D35" w:rsidRDefault="00C13E6F"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Большинство коммерческих банков предлагают бизнес-ссуды и торговое ф</w:t>
      </w:r>
      <w:r w:rsidR="009454E2" w:rsidRPr="00802D35">
        <w:rPr>
          <w:rFonts w:ascii="Times New Roman" w:hAnsi="Times New Roman" w:cs="Times New Roman"/>
          <w:sz w:val="28"/>
          <w:szCs w:val="28"/>
        </w:rPr>
        <w:t>онд</w:t>
      </w:r>
      <w:r w:rsidRPr="00802D35">
        <w:rPr>
          <w:rFonts w:ascii="Times New Roman" w:hAnsi="Times New Roman" w:cs="Times New Roman"/>
          <w:sz w:val="28"/>
          <w:szCs w:val="28"/>
        </w:rPr>
        <w:t>ирование в дополнение к более традиционным услугам депозита, снятия средств и переводов. При таком разнообразном профиле бизнеса источники средств в коммерческих банках разнообразны</w:t>
      </w:r>
      <w:r w:rsidR="009454E2" w:rsidRPr="00802D35">
        <w:rPr>
          <w:rFonts w:ascii="Times New Roman" w:hAnsi="Times New Roman" w:cs="Times New Roman"/>
          <w:sz w:val="28"/>
          <w:szCs w:val="28"/>
        </w:rPr>
        <w:t xml:space="preserve"> </w:t>
      </w:r>
      <w:r w:rsidRPr="00802D35">
        <w:rPr>
          <w:rFonts w:ascii="Times New Roman" w:hAnsi="Times New Roman" w:cs="Times New Roman"/>
          <w:sz w:val="28"/>
          <w:szCs w:val="28"/>
        </w:rPr>
        <w:t>[</w:t>
      </w:r>
      <w:r w:rsidR="000B0564" w:rsidRPr="00802D35">
        <w:rPr>
          <w:rFonts w:ascii="Times New Roman" w:hAnsi="Times New Roman" w:cs="Times New Roman"/>
          <w:sz w:val="28"/>
          <w:szCs w:val="28"/>
        </w:rPr>
        <w:t>10</w:t>
      </w:r>
      <w:r w:rsidRPr="00802D35">
        <w:rPr>
          <w:rFonts w:ascii="Times New Roman" w:hAnsi="Times New Roman" w:cs="Times New Roman"/>
          <w:sz w:val="28"/>
          <w:szCs w:val="28"/>
        </w:rPr>
        <w:t>]</w:t>
      </w:r>
      <w:r w:rsidR="009454E2" w:rsidRPr="00802D35">
        <w:rPr>
          <w:rFonts w:ascii="Times New Roman" w:hAnsi="Times New Roman" w:cs="Times New Roman"/>
          <w:sz w:val="28"/>
          <w:szCs w:val="28"/>
        </w:rPr>
        <w:t>.</w:t>
      </w:r>
    </w:p>
    <w:p w:rsidR="00C13E6F" w:rsidRPr="00802D35" w:rsidRDefault="00C13E6F"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Широко определенное управление </w:t>
      </w:r>
      <w:r w:rsidR="009454E2" w:rsidRPr="00802D35">
        <w:rPr>
          <w:rFonts w:ascii="Times New Roman" w:hAnsi="Times New Roman" w:cs="Times New Roman"/>
          <w:sz w:val="28"/>
          <w:szCs w:val="28"/>
        </w:rPr>
        <w:t>фондированием</w:t>
      </w:r>
      <w:r w:rsidRPr="00802D35">
        <w:rPr>
          <w:rFonts w:ascii="Times New Roman" w:hAnsi="Times New Roman" w:cs="Times New Roman"/>
          <w:sz w:val="28"/>
          <w:szCs w:val="28"/>
        </w:rPr>
        <w:t xml:space="preserve"> включает в себя все политики и подходы, разработанные для получения средств за счет депозитов и займов</w:t>
      </w:r>
      <w:r w:rsidR="009454E2" w:rsidRPr="00802D35">
        <w:rPr>
          <w:rFonts w:ascii="Times New Roman" w:hAnsi="Times New Roman" w:cs="Times New Roman"/>
          <w:sz w:val="28"/>
          <w:szCs w:val="28"/>
        </w:rPr>
        <w:t>, а также</w:t>
      </w:r>
      <w:r w:rsidRPr="00802D35">
        <w:rPr>
          <w:rFonts w:ascii="Times New Roman" w:hAnsi="Times New Roman" w:cs="Times New Roman"/>
          <w:sz w:val="28"/>
          <w:szCs w:val="28"/>
        </w:rPr>
        <w:t xml:space="preserve"> их распределения на займы, авансы и инвестиции</w:t>
      </w:r>
      <w:r w:rsidR="009454E2" w:rsidRPr="00802D35">
        <w:rPr>
          <w:rFonts w:ascii="Times New Roman" w:hAnsi="Times New Roman" w:cs="Times New Roman"/>
          <w:sz w:val="28"/>
          <w:szCs w:val="28"/>
        </w:rPr>
        <w:t xml:space="preserve"> </w:t>
      </w:r>
      <w:r w:rsidRPr="00802D35">
        <w:rPr>
          <w:rFonts w:ascii="Times New Roman" w:hAnsi="Times New Roman" w:cs="Times New Roman"/>
          <w:sz w:val="28"/>
          <w:szCs w:val="28"/>
        </w:rPr>
        <w:t>[</w:t>
      </w:r>
      <w:r w:rsidR="000B0564" w:rsidRPr="00802D35">
        <w:rPr>
          <w:rFonts w:ascii="Times New Roman" w:hAnsi="Times New Roman" w:cs="Times New Roman"/>
          <w:sz w:val="28"/>
          <w:szCs w:val="28"/>
        </w:rPr>
        <w:t>11</w:t>
      </w:r>
      <w:r w:rsidRPr="00802D35">
        <w:rPr>
          <w:rFonts w:ascii="Times New Roman" w:hAnsi="Times New Roman" w:cs="Times New Roman"/>
          <w:sz w:val="28"/>
          <w:szCs w:val="28"/>
        </w:rPr>
        <w:t>].</w:t>
      </w:r>
    </w:p>
    <w:p w:rsidR="00795EF7" w:rsidRPr="00802D35" w:rsidRDefault="009454E2"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Источники средств фондирования банка являются первой отправной точкой на пути формирования его инвестиционной политики. Следовательно, эти ресурсы должны быть хорошо изучены, чтобы можно было определить степень их предпочтительности для различных форм инвестирования [</w:t>
      </w:r>
      <w:r w:rsidR="000B0564" w:rsidRPr="00802D35">
        <w:rPr>
          <w:rFonts w:ascii="Times New Roman" w:hAnsi="Times New Roman" w:cs="Times New Roman"/>
          <w:sz w:val="28"/>
          <w:szCs w:val="28"/>
        </w:rPr>
        <w:t>12</w:t>
      </w:r>
      <w:r w:rsidRPr="00802D35">
        <w:rPr>
          <w:rFonts w:ascii="Times New Roman" w:hAnsi="Times New Roman" w:cs="Times New Roman"/>
          <w:sz w:val="28"/>
          <w:szCs w:val="28"/>
        </w:rPr>
        <w:t>].</w:t>
      </w:r>
      <w:r w:rsidR="00795EF7" w:rsidRPr="00802D35">
        <w:rPr>
          <w:rFonts w:ascii="Times New Roman" w:hAnsi="Times New Roman" w:cs="Times New Roman"/>
          <w:sz w:val="28"/>
          <w:szCs w:val="28"/>
        </w:rPr>
        <w:t xml:space="preserve"> Ю.Пинягин отражает значимость фондирования в организации среднесрочного и долгосрочного финансирования для клиентов банка, что, по его мнению, выступает основным его конкурентным преимуществом на рынке банковских услуг [</w:t>
      </w:r>
      <w:r w:rsidR="000B0564" w:rsidRPr="00802D35">
        <w:rPr>
          <w:rFonts w:ascii="Times New Roman" w:hAnsi="Times New Roman" w:cs="Times New Roman"/>
          <w:sz w:val="28"/>
          <w:szCs w:val="28"/>
        </w:rPr>
        <w:t>13</w:t>
      </w:r>
      <w:r w:rsidR="00795EF7" w:rsidRPr="00802D35">
        <w:rPr>
          <w:rFonts w:ascii="Times New Roman" w:hAnsi="Times New Roman" w:cs="Times New Roman"/>
          <w:sz w:val="28"/>
          <w:szCs w:val="28"/>
        </w:rPr>
        <w:t>].</w:t>
      </w:r>
    </w:p>
    <w:p w:rsidR="003242C9" w:rsidRPr="00802D35" w:rsidRDefault="003242C9"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И.И.Можанова отмечает, что фондирование является ключевой деятельностью банка и его назначение заключается в формировании ресурсов и их менеджменте [</w:t>
      </w:r>
      <w:r w:rsidR="000B0564" w:rsidRPr="00802D35">
        <w:rPr>
          <w:rFonts w:ascii="Times New Roman" w:hAnsi="Times New Roman" w:cs="Times New Roman"/>
          <w:sz w:val="28"/>
          <w:szCs w:val="28"/>
        </w:rPr>
        <w:t>14</w:t>
      </w:r>
      <w:r w:rsidRPr="00802D35">
        <w:rPr>
          <w:rFonts w:ascii="Times New Roman" w:hAnsi="Times New Roman" w:cs="Times New Roman"/>
          <w:sz w:val="28"/>
          <w:szCs w:val="28"/>
        </w:rPr>
        <w:t>].</w:t>
      </w:r>
    </w:p>
    <w:p w:rsidR="003242C9" w:rsidRPr="00802D35" w:rsidRDefault="003242C9" w:rsidP="00AC1FDC">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К.А.Суровнева проводит аналогию между банковским фондированием и производительностью труда, отмечая, что эффект фондирования схож с повышением производительности в экономике [</w:t>
      </w:r>
      <w:r w:rsidR="000B0564" w:rsidRPr="00802D35">
        <w:rPr>
          <w:rFonts w:ascii="Times New Roman" w:hAnsi="Times New Roman" w:cs="Times New Roman"/>
          <w:sz w:val="28"/>
          <w:szCs w:val="28"/>
        </w:rPr>
        <w:t>15</w:t>
      </w:r>
      <w:r w:rsidRPr="00802D35">
        <w:rPr>
          <w:rFonts w:ascii="Times New Roman" w:hAnsi="Times New Roman" w:cs="Times New Roman"/>
          <w:sz w:val="28"/>
          <w:szCs w:val="28"/>
        </w:rPr>
        <w:t>].</w:t>
      </w:r>
      <w:r w:rsidR="00AF0168" w:rsidRPr="00802D35">
        <w:rPr>
          <w:rFonts w:ascii="Times New Roman" w:hAnsi="Times New Roman" w:cs="Times New Roman"/>
          <w:sz w:val="28"/>
          <w:szCs w:val="28"/>
        </w:rPr>
        <w:t xml:space="preserve"> Основную роль в фондировании банков играют депозиты, поскольку являются преобладающей </w:t>
      </w:r>
      <w:r w:rsidR="00AF0168" w:rsidRPr="00802D35">
        <w:rPr>
          <w:rFonts w:ascii="Times New Roman" w:hAnsi="Times New Roman" w:cs="Times New Roman"/>
          <w:sz w:val="28"/>
          <w:szCs w:val="28"/>
        </w:rPr>
        <w:lastRenderedPageBreak/>
        <w:t xml:space="preserve">частью в структуре ресурсов </w:t>
      </w:r>
      <w:r w:rsidRPr="00802D35">
        <w:rPr>
          <w:rFonts w:ascii="Times New Roman" w:hAnsi="Times New Roman" w:cs="Times New Roman"/>
          <w:sz w:val="28"/>
          <w:szCs w:val="28"/>
        </w:rPr>
        <w:t>[</w:t>
      </w:r>
      <w:r w:rsidR="000B0564" w:rsidRPr="00802D35">
        <w:rPr>
          <w:rFonts w:ascii="Times New Roman" w:hAnsi="Times New Roman" w:cs="Times New Roman"/>
          <w:sz w:val="28"/>
          <w:szCs w:val="28"/>
        </w:rPr>
        <w:t>16</w:t>
      </w:r>
      <w:r w:rsidRPr="00802D35">
        <w:rPr>
          <w:rFonts w:ascii="Times New Roman" w:hAnsi="Times New Roman" w:cs="Times New Roman"/>
          <w:sz w:val="28"/>
          <w:szCs w:val="28"/>
        </w:rPr>
        <w:t>]</w:t>
      </w:r>
      <w:r w:rsidR="00AF0168" w:rsidRPr="00802D35">
        <w:rPr>
          <w:rFonts w:ascii="Times New Roman" w:hAnsi="Times New Roman" w:cs="Times New Roman"/>
          <w:sz w:val="28"/>
          <w:szCs w:val="28"/>
        </w:rPr>
        <w:t xml:space="preserve">. При этом, именно долгосрочная ресурсная база становится важным источником фондирования </w:t>
      </w:r>
      <w:r w:rsidRPr="00802D35">
        <w:rPr>
          <w:rFonts w:ascii="Times New Roman" w:hAnsi="Times New Roman" w:cs="Times New Roman"/>
          <w:sz w:val="28"/>
          <w:szCs w:val="28"/>
        </w:rPr>
        <w:t>[</w:t>
      </w:r>
      <w:r w:rsidR="000B0564" w:rsidRPr="00802D35">
        <w:rPr>
          <w:rFonts w:ascii="Times New Roman" w:hAnsi="Times New Roman" w:cs="Times New Roman"/>
          <w:sz w:val="28"/>
          <w:szCs w:val="28"/>
        </w:rPr>
        <w:t>17</w:t>
      </w:r>
      <w:r w:rsidRPr="00802D35">
        <w:rPr>
          <w:rFonts w:ascii="Times New Roman" w:hAnsi="Times New Roman" w:cs="Times New Roman"/>
          <w:sz w:val="28"/>
          <w:szCs w:val="28"/>
        </w:rPr>
        <w:t>]</w:t>
      </w:r>
      <w:r w:rsidR="00AF0168" w:rsidRPr="00802D35">
        <w:rPr>
          <w:rFonts w:ascii="Times New Roman" w:hAnsi="Times New Roman" w:cs="Times New Roman"/>
          <w:sz w:val="28"/>
          <w:szCs w:val="28"/>
        </w:rPr>
        <w:t>.</w:t>
      </w:r>
    </w:p>
    <w:p w:rsidR="009454E2" w:rsidRPr="00802D35" w:rsidRDefault="009454E2"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Таким образом, многие авторы указывают на значимость фондирования деятельности банков как для самих банков, так и для экономического роста государства, отмечая формирование ресурсов как источник эффективности деятельности. </w:t>
      </w:r>
    </w:p>
    <w:p w:rsidR="00C13E6F" w:rsidRPr="00802D35" w:rsidRDefault="009454E2"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Вместе с тем, в экономической литературе имеются и определения понятия «фондирования»</w:t>
      </w:r>
      <w:r w:rsidR="00795EF7" w:rsidRPr="00802D35">
        <w:rPr>
          <w:rFonts w:ascii="Times New Roman" w:hAnsi="Times New Roman" w:cs="Times New Roman"/>
          <w:sz w:val="28"/>
          <w:szCs w:val="28"/>
        </w:rPr>
        <w:t xml:space="preserve">, представленные единичными авторами. Например, А.В. Каштанов рассматривает фондирование в качестве процесса учета денежных ресурсов, представляющего собой основной метод определения цены банковского продукта </w:t>
      </w:r>
      <w:r w:rsidR="00C13E6F" w:rsidRPr="00802D35">
        <w:rPr>
          <w:rFonts w:ascii="Times New Roman" w:hAnsi="Times New Roman" w:cs="Times New Roman"/>
          <w:sz w:val="28"/>
          <w:szCs w:val="28"/>
        </w:rPr>
        <w:t>[</w:t>
      </w:r>
      <w:r w:rsidR="000B0564" w:rsidRPr="00802D35">
        <w:rPr>
          <w:rFonts w:ascii="Times New Roman" w:hAnsi="Times New Roman" w:cs="Times New Roman"/>
          <w:sz w:val="28"/>
          <w:szCs w:val="28"/>
        </w:rPr>
        <w:t>18</w:t>
      </w:r>
      <w:r w:rsidR="00C13E6F" w:rsidRPr="00802D35">
        <w:rPr>
          <w:rFonts w:ascii="Times New Roman" w:hAnsi="Times New Roman" w:cs="Times New Roman"/>
          <w:sz w:val="28"/>
          <w:szCs w:val="28"/>
        </w:rPr>
        <w:t>].</w:t>
      </w:r>
    </w:p>
    <w:p w:rsidR="00C13E6F" w:rsidRPr="00802D35" w:rsidRDefault="00795EF7"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Т.П.Носова и др. рассматривают фондирование как совокупность привлеченных ресурсов, используемых банками для обеспечения их деятельности </w:t>
      </w:r>
      <w:r w:rsidR="00C13E6F" w:rsidRPr="00802D35">
        <w:rPr>
          <w:rFonts w:ascii="Times New Roman" w:hAnsi="Times New Roman" w:cs="Times New Roman"/>
          <w:sz w:val="28"/>
          <w:szCs w:val="28"/>
        </w:rPr>
        <w:t>[</w:t>
      </w:r>
      <w:r w:rsidR="000B0564" w:rsidRPr="00802D35">
        <w:rPr>
          <w:rFonts w:ascii="Times New Roman" w:hAnsi="Times New Roman" w:cs="Times New Roman"/>
          <w:sz w:val="28"/>
          <w:szCs w:val="28"/>
        </w:rPr>
        <w:t>19</w:t>
      </w:r>
      <w:r w:rsidR="00C13E6F" w:rsidRPr="00802D35">
        <w:rPr>
          <w:rFonts w:ascii="Times New Roman" w:hAnsi="Times New Roman" w:cs="Times New Roman"/>
          <w:sz w:val="28"/>
          <w:szCs w:val="28"/>
        </w:rPr>
        <w:t>].</w:t>
      </w:r>
    </w:p>
    <w:p w:rsidR="00C13E6F" w:rsidRPr="00802D35" w:rsidRDefault="003242C9"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Более широкое понимание фондирования банковской деятельности представляет А.П.Шляпин, который трактует данное понятие в качестве процесса финансирования банками посредством собственных и привлеченных средств своих активных операций </w:t>
      </w:r>
      <w:r w:rsidR="00C13E6F" w:rsidRPr="00802D35">
        <w:rPr>
          <w:rFonts w:ascii="Times New Roman" w:hAnsi="Times New Roman" w:cs="Times New Roman"/>
          <w:sz w:val="28"/>
          <w:szCs w:val="28"/>
        </w:rPr>
        <w:t>[</w:t>
      </w:r>
      <w:r w:rsidR="000B0564" w:rsidRPr="00802D35">
        <w:rPr>
          <w:rFonts w:ascii="Times New Roman" w:hAnsi="Times New Roman" w:cs="Times New Roman"/>
          <w:sz w:val="28"/>
          <w:szCs w:val="28"/>
        </w:rPr>
        <w:t>20</w:t>
      </w:r>
      <w:r w:rsidR="00C13E6F" w:rsidRPr="00802D35">
        <w:rPr>
          <w:rFonts w:ascii="Times New Roman" w:hAnsi="Times New Roman" w:cs="Times New Roman"/>
          <w:sz w:val="28"/>
          <w:szCs w:val="28"/>
        </w:rPr>
        <w:t>].</w:t>
      </w:r>
    </w:p>
    <w:p w:rsidR="003D2DDA" w:rsidRPr="00802D35" w:rsidRDefault="003D2DDA" w:rsidP="00192619">
      <w:pPr>
        <w:pStyle w:val="2"/>
        <w:spacing w:before="0" w:beforeAutospacing="0" w:after="0" w:afterAutospacing="0"/>
        <w:ind w:firstLine="567"/>
        <w:jc w:val="both"/>
        <w:rPr>
          <w:b w:val="0"/>
          <w:sz w:val="28"/>
          <w:szCs w:val="28"/>
          <w:shd w:val="clear" w:color="auto" w:fill="FFFFFF"/>
        </w:rPr>
      </w:pPr>
      <w:r w:rsidRPr="00802D35">
        <w:rPr>
          <w:b w:val="0"/>
          <w:sz w:val="28"/>
          <w:szCs w:val="28"/>
        </w:rPr>
        <w:t>Кроме того, некоторые определения имеют обобщенный характер и не относятся непосредственно к фондированию в банках. В частности, в финансовом глоссарии большого финансового словаря указано, что ф</w:t>
      </w:r>
      <w:r w:rsidRPr="00802D35">
        <w:rPr>
          <w:rFonts w:eastAsiaTheme="minorHAnsi"/>
          <w:b w:val="0"/>
          <w:bCs w:val="0"/>
          <w:sz w:val="28"/>
          <w:szCs w:val="28"/>
          <w:lang w:eastAsia="en-US"/>
        </w:rPr>
        <w:t>ондирование – это процесс замены краткосрочных займов с наступающим сроком погашения долгосрочными займами с целью снижения соотношения краткосрочных заимствований к долгосрочным [</w:t>
      </w:r>
      <w:r w:rsidR="000B0564" w:rsidRPr="00802D35">
        <w:rPr>
          <w:rFonts w:eastAsiaTheme="minorHAnsi"/>
          <w:b w:val="0"/>
          <w:bCs w:val="0"/>
          <w:sz w:val="28"/>
          <w:szCs w:val="28"/>
          <w:lang w:eastAsia="en-US"/>
        </w:rPr>
        <w:t>21</w:t>
      </w:r>
      <w:r w:rsidRPr="00802D35">
        <w:rPr>
          <w:b w:val="0"/>
          <w:bCs w:val="0"/>
          <w:sz w:val="28"/>
          <w:szCs w:val="28"/>
        </w:rPr>
        <w:t>].</w:t>
      </w:r>
      <w:r w:rsidR="00192619" w:rsidRPr="00802D35">
        <w:rPr>
          <w:b w:val="0"/>
          <w:bCs w:val="0"/>
          <w:sz w:val="28"/>
          <w:szCs w:val="28"/>
        </w:rPr>
        <w:t xml:space="preserve"> М.Карчни отмечает, что ф</w:t>
      </w:r>
      <w:r w:rsidRPr="00802D35">
        <w:rPr>
          <w:b w:val="0"/>
          <w:bCs w:val="0"/>
          <w:sz w:val="28"/>
          <w:szCs w:val="28"/>
          <w:shd w:val="clear" w:color="auto" w:fill="FFFFFF"/>
        </w:rPr>
        <w:t>онди</w:t>
      </w:r>
      <w:r w:rsidRPr="00802D35">
        <w:rPr>
          <w:b w:val="0"/>
          <w:sz w:val="28"/>
          <w:szCs w:val="28"/>
          <w:shd w:val="clear" w:color="auto" w:fill="FFFFFF"/>
        </w:rPr>
        <w:t>рование - это предоставление ресурсов для финансирования пот</w:t>
      </w:r>
      <w:r w:rsidR="00192619" w:rsidRPr="00802D35">
        <w:rPr>
          <w:b w:val="0"/>
          <w:sz w:val="28"/>
          <w:szCs w:val="28"/>
          <w:shd w:val="clear" w:color="auto" w:fill="FFFFFF"/>
        </w:rPr>
        <w:t>ребности, программы или проекта</w:t>
      </w:r>
      <w:r w:rsidRPr="00802D35">
        <w:rPr>
          <w:b w:val="0"/>
          <w:sz w:val="28"/>
          <w:szCs w:val="28"/>
          <w:shd w:val="clear" w:color="auto" w:fill="FFFFFF"/>
        </w:rPr>
        <w:t xml:space="preserve">, когда </w:t>
      </w:r>
      <w:r w:rsidR="00192619" w:rsidRPr="00802D35">
        <w:rPr>
          <w:b w:val="0"/>
          <w:sz w:val="28"/>
          <w:szCs w:val="28"/>
          <w:shd w:val="clear" w:color="auto" w:fill="FFFFFF"/>
        </w:rPr>
        <w:t>компания</w:t>
      </w:r>
      <w:r w:rsidRPr="00802D35">
        <w:rPr>
          <w:b w:val="0"/>
          <w:sz w:val="28"/>
          <w:szCs w:val="28"/>
          <w:shd w:val="clear" w:color="auto" w:fill="FFFFFF"/>
        </w:rPr>
        <w:t xml:space="preserve"> использует свои внутренние резервы для удовлетворения своей потребности в денежных средствах</w:t>
      </w:r>
      <w:r w:rsidR="00192619" w:rsidRPr="00802D35">
        <w:rPr>
          <w:b w:val="0"/>
          <w:sz w:val="28"/>
          <w:szCs w:val="28"/>
          <w:shd w:val="clear" w:color="auto" w:fill="FFFFFF"/>
        </w:rPr>
        <w:t xml:space="preserve"> </w:t>
      </w:r>
      <w:r w:rsidRPr="00802D35">
        <w:rPr>
          <w:b w:val="0"/>
          <w:sz w:val="28"/>
          <w:szCs w:val="28"/>
          <w:shd w:val="clear" w:color="auto" w:fill="FFFFFF"/>
        </w:rPr>
        <w:t xml:space="preserve"> </w:t>
      </w:r>
      <w:r w:rsidR="00192619" w:rsidRPr="00802D35">
        <w:rPr>
          <w:b w:val="0"/>
          <w:sz w:val="28"/>
          <w:szCs w:val="28"/>
          <w:shd w:val="clear" w:color="auto" w:fill="FFFFFF"/>
        </w:rPr>
        <w:t>[</w:t>
      </w:r>
      <w:r w:rsidR="000B0564" w:rsidRPr="00802D35">
        <w:rPr>
          <w:b w:val="0"/>
          <w:sz w:val="28"/>
          <w:szCs w:val="28"/>
          <w:shd w:val="clear" w:color="auto" w:fill="FFFFFF"/>
        </w:rPr>
        <w:t>22</w:t>
      </w:r>
      <w:r w:rsidRPr="00802D35">
        <w:rPr>
          <w:rStyle w:val="a6"/>
          <w:b w:val="0"/>
          <w:color w:val="auto"/>
          <w:sz w:val="28"/>
          <w:szCs w:val="28"/>
          <w:u w:val="none"/>
          <w:shd w:val="clear" w:color="auto" w:fill="FFFFFF"/>
        </w:rPr>
        <w:t>]</w:t>
      </w:r>
      <w:r w:rsidRPr="00802D35">
        <w:rPr>
          <w:b w:val="0"/>
          <w:sz w:val="28"/>
          <w:szCs w:val="28"/>
          <w:shd w:val="clear" w:color="auto" w:fill="FFFFFF"/>
        </w:rPr>
        <w:t>.</w:t>
      </w:r>
      <w:r w:rsidR="00192619" w:rsidRPr="00802D35">
        <w:rPr>
          <w:b w:val="0"/>
          <w:sz w:val="28"/>
          <w:szCs w:val="28"/>
          <w:shd w:val="clear" w:color="auto" w:fill="FFFFFF"/>
        </w:rPr>
        <w:t xml:space="preserve"> Ф.Мишкин считает, что фондирование</w:t>
      </w:r>
      <w:r w:rsidRPr="00802D35">
        <w:rPr>
          <w:b w:val="0"/>
          <w:sz w:val="28"/>
          <w:szCs w:val="28"/>
          <w:shd w:val="clear" w:color="auto" w:fill="FFFFFF"/>
        </w:rPr>
        <w:t>, так</w:t>
      </w:r>
      <w:r w:rsidR="00192619" w:rsidRPr="00802D35">
        <w:rPr>
          <w:b w:val="0"/>
          <w:sz w:val="28"/>
          <w:szCs w:val="28"/>
          <w:shd w:val="clear" w:color="auto" w:fill="FFFFFF"/>
        </w:rPr>
        <w:t>ж</w:t>
      </w:r>
      <w:r w:rsidRPr="00802D35">
        <w:rPr>
          <w:b w:val="0"/>
          <w:sz w:val="28"/>
          <w:szCs w:val="28"/>
          <w:shd w:val="clear" w:color="auto" w:fill="FFFFFF"/>
        </w:rPr>
        <w:t>е как пожертвования, субсидии и гранты, не требующие прямого возврата инвестиций, описываются как «мягкое финансирование» или «краудфандинг»</w:t>
      </w:r>
      <w:r w:rsidRPr="00802D35">
        <w:rPr>
          <w:b w:val="0"/>
          <w:sz w:val="28"/>
          <w:szCs w:val="28"/>
        </w:rPr>
        <w:t xml:space="preserve"> [</w:t>
      </w:r>
      <w:r w:rsidR="000B0564" w:rsidRPr="00802D35">
        <w:rPr>
          <w:b w:val="0"/>
          <w:sz w:val="28"/>
          <w:szCs w:val="28"/>
        </w:rPr>
        <w:t>23</w:t>
      </w:r>
      <w:r w:rsidRPr="00802D35">
        <w:rPr>
          <w:rStyle w:val="a6"/>
          <w:b w:val="0"/>
          <w:color w:val="auto"/>
          <w:sz w:val="28"/>
          <w:szCs w:val="28"/>
          <w:u w:val="none"/>
          <w:shd w:val="clear" w:color="auto" w:fill="FFFFFF"/>
        </w:rPr>
        <w:t>]</w:t>
      </w:r>
      <w:r w:rsidRPr="00802D35">
        <w:rPr>
          <w:b w:val="0"/>
          <w:sz w:val="28"/>
          <w:szCs w:val="28"/>
          <w:shd w:val="clear" w:color="auto" w:fill="FFFFFF"/>
        </w:rPr>
        <w:t>.</w:t>
      </w:r>
    </w:p>
    <w:p w:rsidR="00C13E6F" w:rsidRPr="00802D35" w:rsidRDefault="00AF0168" w:rsidP="00192619">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Отечественная экономическая литература также уделяет много внимания важности фондирования банковской деятельности. Однако, к</w:t>
      </w:r>
      <w:r w:rsidR="00C13E6F" w:rsidRPr="00802D35">
        <w:rPr>
          <w:rFonts w:ascii="Times New Roman" w:hAnsi="Times New Roman" w:cs="Times New Roman"/>
          <w:sz w:val="28"/>
          <w:szCs w:val="28"/>
        </w:rPr>
        <w:t>азахстанские авторы</w:t>
      </w:r>
      <w:r w:rsidRPr="00802D35">
        <w:rPr>
          <w:rFonts w:ascii="Times New Roman" w:hAnsi="Times New Roman" w:cs="Times New Roman"/>
          <w:sz w:val="28"/>
          <w:szCs w:val="28"/>
        </w:rPr>
        <w:t>,</w:t>
      </w:r>
      <w:r w:rsidR="00C13E6F" w:rsidRPr="00802D35">
        <w:rPr>
          <w:rFonts w:ascii="Times New Roman" w:hAnsi="Times New Roman" w:cs="Times New Roman"/>
          <w:sz w:val="28"/>
          <w:szCs w:val="28"/>
        </w:rPr>
        <w:t xml:space="preserve"> несмотря на то, что рассматривают фондирование, источники, самого определения не представляют. Например, Жоламанова М.Т. [</w:t>
      </w:r>
      <w:r w:rsidR="000B0564" w:rsidRPr="00802D35">
        <w:rPr>
          <w:rFonts w:ascii="Times New Roman" w:hAnsi="Times New Roman" w:cs="Times New Roman"/>
          <w:sz w:val="28"/>
          <w:szCs w:val="28"/>
        </w:rPr>
        <w:t>24</w:t>
      </w:r>
      <w:r w:rsidR="00C13E6F" w:rsidRPr="00802D35">
        <w:rPr>
          <w:rFonts w:ascii="Times New Roman" w:hAnsi="Times New Roman" w:cs="Times New Roman"/>
          <w:sz w:val="28"/>
          <w:szCs w:val="28"/>
        </w:rPr>
        <w:t>], К.Ж. Садвокасова, Г.С. Кодашева [</w:t>
      </w:r>
      <w:r w:rsidR="000B0564" w:rsidRPr="00802D35">
        <w:rPr>
          <w:rFonts w:ascii="Times New Roman" w:hAnsi="Times New Roman" w:cs="Times New Roman"/>
          <w:sz w:val="28"/>
          <w:szCs w:val="28"/>
        </w:rPr>
        <w:t>25</w:t>
      </w:r>
      <w:r w:rsidR="00C13E6F" w:rsidRPr="00802D35">
        <w:rPr>
          <w:rFonts w:ascii="Times New Roman" w:hAnsi="Times New Roman" w:cs="Times New Roman"/>
          <w:sz w:val="28"/>
          <w:szCs w:val="28"/>
        </w:rPr>
        <w:t xml:space="preserve">], </w:t>
      </w:r>
      <w:r w:rsidR="007116C3" w:rsidRPr="00802D35">
        <w:rPr>
          <w:rFonts w:ascii="Times New Roman" w:hAnsi="Times New Roman" w:cs="Times New Roman"/>
          <w:sz w:val="28"/>
          <w:szCs w:val="28"/>
        </w:rPr>
        <w:t>Кадырова А.Н., Хамитова Д.А. [</w:t>
      </w:r>
      <w:r w:rsidR="000B0564" w:rsidRPr="00802D35">
        <w:rPr>
          <w:rFonts w:ascii="Times New Roman" w:hAnsi="Times New Roman" w:cs="Times New Roman"/>
          <w:sz w:val="28"/>
          <w:szCs w:val="28"/>
        </w:rPr>
        <w:t>26</w:t>
      </w:r>
      <w:r w:rsidR="00C13E6F" w:rsidRPr="00802D35">
        <w:rPr>
          <w:rFonts w:ascii="Times New Roman" w:hAnsi="Times New Roman" w:cs="Times New Roman"/>
          <w:sz w:val="28"/>
          <w:szCs w:val="28"/>
        </w:rPr>
        <w:t xml:space="preserve">], </w:t>
      </w:r>
      <w:r w:rsidR="00C13E6F" w:rsidRPr="00802D35">
        <w:rPr>
          <w:rFonts w:ascii="Times New Roman" w:hAnsi="Times New Roman" w:cs="Times New Roman"/>
          <w:sz w:val="28"/>
          <w:szCs w:val="28"/>
          <w:shd w:val="clear" w:color="auto" w:fill="FFFFFF"/>
        </w:rPr>
        <w:t>Калкабаева, Г.М</w:t>
      </w:r>
      <w:r w:rsidR="007116C3" w:rsidRPr="00802D35">
        <w:rPr>
          <w:rFonts w:ascii="Times New Roman" w:hAnsi="Times New Roman" w:cs="Times New Roman"/>
          <w:sz w:val="28"/>
          <w:szCs w:val="28"/>
          <w:shd w:val="clear" w:color="auto" w:fill="FFFFFF"/>
        </w:rPr>
        <w:t>. [</w:t>
      </w:r>
      <w:r w:rsidR="000B0564" w:rsidRPr="00802D35">
        <w:rPr>
          <w:rFonts w:ascii="Times New Roman" w:hAnsi="Times New Roman" w:cs="Times New Roman"/>
          <w:sz w:val="28"/>
          <w:szCs w:val="28"/>
          <w:shd w:val="clear" w:color="auto" w:fill="FFFFFF"/>
        </w:rPr>
        <w:t>27</w:t>
      </w:r>
      <w:r w:rsidR="00C13E6F" w:rsidRPr="00802D35">
        <w:rPr>
          <w:rFonts w:ascii="Times New Roman" w:hAnsi="Times New Roman" w:cs="Times New Roman"/>
          <w:sz w:val="28"/>
          <w:szCs w:val="28"/>
        </w:rPr>
        <w:t xml:space="preserve">], Касымбекова Г.Р., Маркелова М.А., Джарикбаева Д.Т. </w:t>
      </w:r>
      <w:r w:rsidR="007116C3" w:rsidRPr="00802D35">
        <w:rPr>
          <w:rFonts w:ascii="Times New Roman" w:hAnsi="Times New Roman" w:cs="Times New Roman"/>
          <w:sz w:val="28"/>
          <w:szCs w:val="28"/>
        </w:rPr>
        <w:t>[</w:t>
      </w:r>
      <w:r w:rsidR="000B0564" w:rsidRPr="00802D35">
        <w:rPr>
          <w:rFonts w:ascii="Times New Roman" w:hAnsi="Times New Roman" w:cs="Times New Roman"/>
          <w:sz w:val="28"/>
          <w:szCs w:val="28"/>
        </w:rPr>
        <w:t>28</w:t>
      </w:r>
      <w:r w:rsidR="00C13E6F" w:rsidRPr="00802D35">
        <w:rPr>
          <w:rFonts w:ascii="Times New Roman" w:hAnsi="Times New Roman" w:cs="Times New Roman"/>
          <w:sz w:val="28"/>
          <w:szCs w:val="28"/>
        </w:rPr>
        <w:t xml:space="preserve">], С.С. Ургушева, А.Ж. Сагидолдина </w:t>
      </w:r>
      <w:r w:rsidR="007116C3" w:rsidRPr="00802D35">
        <w:rPr>
          <w:rFonts w:ascii="Times New Roman" w:hAnsi="Times New Roman" w:cs="Times New Roman"/>
          <w:sz w:val="28"/>
          <w:szCs w:val="28"/>
        </w:rPr>
        <w:t>[</w:t>
      </w:r>
      <w:r w:rsidR="000B0564" w:rsidRPr="00802D35">
        <w:rPr>
          <w:rFonts w:ascii="Times New Roman" w:hAnsi="Times New Roman" w:cs="Times New Roman"/>
          <w:sz w:val="28"/>
          <w:szCs w:val="28"/>
        </w:rPr>
        <w:t>29</w:t>
      </w:r>
      <w:r w:rsidR="00C13E6F" w:rsidRPr="00802D35">
        <w:rPr>
          <w:rFonts w:ascii="Times New Roman" w:hAnsi="Times New Roman" w:cs="Times New Roman"/>
          <w:sz w:val="28"/>
          <w:szCs w:val="28"/>
        </w:rPr>
        <w:t xml:space="preserve">], Идирисова А.Т. </w:t>
      </w:r>
      <w:r w:rsidR="00B83588" w:rsidRPr="00802D35">
        <w:rPr>
          <w:rFonts w:ascii="Times New Roman" w:hAnsi="Times New Roman" w:cs="Times New Roman"/>
          <w:sz w:val="28"/>
          <w:szCs w:val="28"/>
        </w:rPr>
        <w:t>[</w:t>
      </w:r>
      <w:r w:rsidR="000B0564" w:rsidRPr="00802D35">
        <w:rPr>
          <w:rFonts w:ascii="Times New Roman" w:hAnsi="Times New Roman" w:cs="Times New Roman"/>
          <w:sz w:val="28"/>
          <w:szCs w:val="28"/>
        </w:rPr>
        <w:t>30</w:t>
      </w:r>
      <w:r w:rsidR="00C13E6F" w:rsidRPr="00802D35">
        <w:rPr>
          <w:rFonts w:ascii="Times New Roman" w:hAnsi="Times New Roman" w:cs="Times New Roman"/>
          <w:sz w:val="28"/>
          <w:szCs w:val="28"/>
        </w:rPr>
        <w:t xml:space="preserve">], Султангалиева Л.С. </w:t>
      </w:r>
      <w:r w:rsidR="00B83588" w:rsidRPr="00802D35">
        <w:rPr>
          <w:rFonts w:ascii="Times New Roman" w:hAnsi="Times New Roman" w:cs="Times New Roman"/>
          <w:sz w:val="28"/>
          <w:szCs w:val="28"/>
        </w:rPr>
        <w:t>[</w:t>
      </w:r>
      <w:r w:rsidR="000B0564" w:rsidRPr="00802D35">
        <w:rPr>
          <w:rFonts w:ascii="Times New Roman" w:hAnsi="Times New Roman" w:cs="Times New Roman"/>
          <w:sz w:val="28"/>
          <w:szCs w:val="28"/>
        </w:rPr>
        <w:t>31</w:t>
      </w:r>
      <w:r w:rsidR="00C13E6F" w:rsidRPr="00802D35">
        <w:rPr>
          <w:rFonts w:ascii="Times New Roman" w:hAnsi="Times New Roman" w:cs="Times New Roman"/>
          <w:sz w:val="28"/>
          <w:szCs w:val="28"/>
        </w:rPr>
        <w:t xml:space="preserve">], Святов С.А. </w:t>
      </w:r>
      <w:r w:rsidR="00B83588" w:rsidRPr="00802D35">
        <w:rPr>
          <w:rFonts w:ascii="Times New Roman" w:hAnsi="Times New Roman" w:cs="Times New Roman"/>
          <w:sz w:val="28"/>
          <w:szCs w:val="28"/>
        </w:rPr>
        <w:t>[</w:t>
      </w:r>
      <w:r w:rsidR="000B0564" w:rsidRPr="00802D35">
        <w:rPr>
          <w:rFonts w:ascii="Times New Roman" w:hAnsi="Times New Roman" w:cs="Times New Roman"/>
          <w:sz w:val="28"/>
          <w:szCs w:val="28"/>
        </w:rPr>
        <w:t>32</w:t>
      </w:r>
      <w:r w:rsidR="00C13E6F" w:rsidRPr="00802D35">
        <w:rPr>
          <w:rFonts w:ascii="Times New Roman" w:hAnsi="Times New Roman" w:cs="Times New Roman"/>
          <w:sz w:val="28"/>
          <w:szCs w:val="28"/>
        </w:rPr>
        <w:t>]</w:t>
      </w:r>
      <w:r w:rsidR="00192619" w:rsidRPr="00802D35">
        <w:rPr>
          <w:rFonts w:ascii="Times New Roman" w:hAnsi="Times New Roman" w:cs="Times New Roman"/>
          <w:sz w:val="28"/>
          <w:szCs w:val="28"/>
        </w:rPr>
        <w:t>.</w:t>
      </w:r>
      <w:r w:rsidR="00C13E6F" w:rsidRPr="00802D35">
        <w:rPr>
          <w:rFonts w:ascii="Times New Roman" w:hAnsi="Times New Roman" w:cs="Times New Roman"/>
          <w:sz w:val="28"/>
          <w:szCs w:val="28"/>
          <w:shd w:val="clear" w:color="auto" w:fill="F5F5F5"/>
        </w:rPr>
        <w:t xml:space="preserve"> </w:t>
      </w:r>
    </w:p>
    <w:p w:rsidR="00C13E6F" w:rsidRPr="00802D35" w:rsidRDefault="00E605A2" w:rsidP="00192619">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Таким образом, как показывает проведенный анализ экономической литературы относительно понятия фондирования банковской деятельности, отмечаются значимые и важные аспекты фондирования, подчеркиваются его влияния на развитие финансового рынка и экономики страны в целом</w:t>
      </w:r>
      <w:r w:rsidR="003D2DDA" w:rsidRPr="00802D35">
        <w:rPr>
          <w:rFonts w:ascii="Times New Roman" w:hAnsi="Times New Roman" w:cs="Times New Roman"/>
          <w:sz w:val="28"/>
          <w:szCs w:val="28"/>
          <w:shd w:val="clear" w:color="auto" w:fill="FFFFFF"/>
        </w:rPr>
        <w:t xml:space="preserve">, отражается его роль в эффективности деятельности банков. Однако, несмотря на это, не представлено четких и устоявшихся определений данного понятия, в </w:t>
      </w:r>
      <w:r w:rsidR="003D2DDA" w:rsidRPr="00802D35">
        <w:rPr>
          <w:rFonts w:ascii="Times New Roman" w:hAnsi="Times New Roman" w:cs="Times New Roman"/>
          <w:sz w:val="28"/>
          <w:szCs w:val="28"/>
          <w:shd w:val="clear" w:color="auto" w:fill="FFFFFF"/>
        </w:rPr>
        <w:lastRenderedPageBreak/>
        <w:t xml:space="preserve">особенности непосредственно </w:t>
      </w:r>
      <w:r w:rsidR="0046506A" w:rsidRPr="00802D35">
        <w:rPr>
          <w:rFonts w:ascii="Times New Roman" w:hAnsi="Times New Roman" w:cs="Times New Roman"/>
          <w:sz w:val="28"/>
          <w:szCs w:val="28"/>
          <w:shd w:val="clear" w:color="auto" w:fill="FFFFFF"/>
        </w:rPr>
        <w:t xml:space="preserve">относительно </w:t>
      </w:r>
      <w:r w:rsidR="003D2DDA" w:rsidRPr="00802D35">
        <w:rPr>
          <w:rFonts w:ascii="Times New Roman" w:hAnsi="Times New Roman" w:cs="Times New Roman"/>
          <w:sz w:val="28"/>
          <w:szCs w:val="28"/>
          <w:shd w:val="clear" w:color="auto" w:fill="FFFFFF"/>
        </w:rPr>
        <w:t>банковской деятельности.</w:t>
      </w:r>
    </w:p>
    <w:p w:rsidR="009C1718" w:rsidRPr="00802D35" w:rsidRDefault="003D2DDA" w:rsidP="0019261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shd w:val="clear" w:color="auto" w:fill="FFFFFF"/>
        </w:rPr>
        <w:t xml:space="preserve">Изучение авторских подходов к понятию фондирования банков выявило </w:t>
      </w:r>
      <w:r w:rsidR="00B048A0" w:rsidRPr="00802D35">
        <w:rPr>
          <w:rFonts w:ascii="Times New Roman" w:hAnsi="Times New Roman" w:cs="Times New Roman"/>
          <w:sz w:val="28"/>
          <w:szCs w:val="28"/>
          <w:shd w:val="clear" w:color="auto" w:fill="FFFFFF"/>
        </w:rPr>
        <w:t xml:space="preserve"> </w:t>
      </w:r>
      <w:r w:rsidR="00C13E6F" w:rsidRPr="00802D35">
        <w:rPr>
          <w:rFonts w:ascii="Times New Roman" w:hAnsi="Times New Roman" w:cs="Times New Roman"/>
          <w:sz w:val="28"/>
          <w:szCs w:val="28"/>
          <w:shd w:val="clear" w:color="auto" w:fill="FFFFFF"/>
        </w:rPr>
        <w:t xml:space="preserve">также </w:t>
      </w:r>
      <w:r w:rsidRPr="00802D35">
        <w:rPr>
          <w:rFonts w:ascii="Times New Roman" w:hAnsi="Times New Roman" w:cs="Times New Roman"/>
          <w:sz w:val="28"/>
          <w:szCs w:val="28"/>
          <w:shd w:val="clear" w:color="auto" w:fill="FFFFFF"/>
        </w:rPr>
        <w:t xml:space="preserve">наличие </w:t>
      </w:r>
      <w:r w:rsidR="00B6441D" w:rsidRPr="00802D35">
        <w:rPr>
          <w:rFonts w:ascii="Times New Roman" w:hAnsi="Times New Roman" w:cs="Times New Roman"/>
          <w:sz w:val="28"/>
          <w:szCs w:val="28"/>
          <w:shd w:val="clear" w:color="auto" w:fill="FFFFFF"/>
        </w:rPr>
        <w:t>неточност</w:t>
      </w:r>
      <w:r w:rsidRPr="00802D35">
        <w:rPr>
          <w:rFonts w:ascii="Times New Roman" w:hAnsi="Times New Roman" w:cs="Times New Roman"/>
          <w:sz w:val="28"/>
          <w:szCs w:val="28"/>
          <w:shd w:val="clear" w:color="auto" w:fill="FFFFFF"/>
        </w:rPr>
        <w:t>ей</w:t>
      </w:r>
      <w:r w:rsidR="00B6441D" w:rsidRPr="00802D35">
        <w:rPr>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 xml:space="preserve">и </w:t>
      </w:r>
      <w:r w:rsidR="00B6441D" w:rsidRPr="00802D35">
        <w:rPr>
          <w:rFonts w:ascii="Times New Roman" w:hAnsi="Times New Roman" w:cs="Times New Roman"/>
          <w:sz w:val="28"/>
          <w:szCs w:val="28"/>
          <w:shd w:val="clear" w:color="auto" w:fill="FFFFFF"/>
        </w:rPr>
        <w:t>расхождений в понятиях «финансирование» и «фондирование» банковской деятельности. Имеющиеся в мировой и отечественной экономической литературе определения относительно сущности и содержания вышеуказанных понятий не отражают различий</w:t>
      </w:r>
      <w:r w:rsidR="00B6441D" w:rsidRPr="00802D35">
        <w:rPr>
          <w:rFonts w:ascii="Times New Roman" w:hAnsi="Times New Roman" w:cs="Times New Roman"/>
          <w:sz w:val="28"/>
          <w:szCs w:val="28"/>
        </w:rPr>
        <w:t xml:space="preserve"> между ними и квалифицируют их как одинаковые категории с точки зрения их экономической природы.</w:t>
      </w:r>
      <w:r w:rsidR="00CB5030" w:rsidRPr="00802D35">
        <w:rPr>
          <w:rFonts w:ascii="Times New Roman" w:hAnsi="Times New Roman" w:cs="Times New Roman"/>
          <w:sz w:val="28"/>
          <w:szCs w:val="28"/>
        </w:rPr>
        <w:t xml:space="preserve"> Зачастую можно встретить публикации, в которых рассматривается вопрос финансирования и в скобках указывается «фондирование» или наоборот, тем самым указывая на идентичность данных понятий.</w:t>
      </w:r>
      <w:r w:rsidRPr="00802D35">
        <w:rPr>
          <w:rFonts w:ascii="Times New Roman" w:hAnsi="Times New Roman" w:cs="Times New Roman"/>
          <w:sz w:val="28"/>
          <w:szCs w:val="28"/>
        </w:rPr>
        <w:t xml:space="preserve"> </w:t>
      </w:r>
    </w:p>
    <w:p w:rsidR="008A34B3" w:rsidRPr="00802D35" w:rsidRDefault="006F450F" w:rsidP="00021D66">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Вместе с тем, с нашей точки зрения, </w:t>
      </w:r>
      <w:r w:rsidR="0046506A" w:rsidRPr="00802D35">
        <w:rPr>
          <w:rFonts w:ascii="Times New Roman" w:hAnsi="Times New Roman" w:cs="Times New Roman"/>
          <w:sz w:val="28"/>
          <w:szCs w:val="28"/>
        </w:rPr>
        <w:t>прежде чем обозначить сущность и содержания фондирования банковской деятельности, имеет смысл выяснить и четко определиться с понятиями фондирования и финансирования. На наш взгляд, данные понятия, хотя и имеют определенную схожесть в денежной природе своего существования, тем не менее, являются различными.</w:t>
      </w:r>
    </w:p>
    <w:p w:rsidR="00B83588" w:rsidRPr="00802D35" w:rsidRDefault="00720A37" w:rsidP="00B83588">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Для начала обратимся к источнику возникновения данных понятий. </w:t>
      </w:r>
      <w:r w:rsidR="0034744D" w:rsidRPr="00802D35">
        <w:rPr>
          <w:rFonts w:ascii="Times New Roman" w:hAnsi="Times New Roman" w:cs="Times New Roman"/>
          <w:sz w:val="28"/>
          <w:szCs w:val="28"/>
        </w:rPr>
        <w:t>Слова «финансирование» и «фондирование» происходят с английского языка «financing» и «funding», однако, переводятся обычно одинаково как «финансирование». Вместе с тем, исследование возможности использования этих двух терминов в английском языке позволило выявить следующее. Обычно в финансовом мире термин «financing» и «funding» являются взаимозаменяемыми, но между этими двумя терминами есть разница. «</w:t>
      </w:r>
      <w:r w:rsidR="0034744D" w:rsidRPr="00802D35">
        <w:rPr>
          <w:rFonts w:ascii="Times New Roman" w:hAnsi="Times New Roman" w:cs="Times New Roman"/>
          <w:caps/>
          <w:sz w:val="28"/>
          <w:szCs w:val="28"/>
        </w:rPr>
        <w:t>f</w:t>
      </w:r>
      <w:r w:rsidR="0034744D" w:rsidRPr="00802D35">
        <w:rPr>
          <w:rFonts w:ascii="Times New Roman" w:hAnsi="Times New Roman" w:cs="Times New Roman"/>
          <w:sz w:val="28"/>
          <w:szCs w:val="28"/>
        </w:rPr>
        <w:t>unding» - это фактически деньги, предоставляемые компаниями или государственным сектором для определенной цели, тогда как «financing» - это процесс получения капитала или денег для деловых целей, и оно обычно предоставляется финансовыми учреждениями, такими как банки или другие кредитные агентства [</w:t>
      </w:r>
      <w:r w:rsidR="000B0564" w:rsidRPr="00802D35">
        <w:rPr>
          <w:rFonts w:ascii="Times New Roman" w:hAnsi="Times New Roman" w:cs="Times New Roman"/>
          <w:sz w:val="28"/>
          <w:szCs w:val="28"/>
        </w:rPr>
        <w:t>33</w:t>
      </w:r>
      <w:r w:rsidR="0034744D" w:rsidRPr="00802D35">
        <w:rPr>
          <w:rFonts w:ascii="Times New Roman" w:hAnsi="Times New Roman" w:cs="Times New Roman"/>
          <w:sz w:val="28"/>
          <w:szCs w:val="28"/>
        </w:rPr>
        <w:t>].</w:t>
      </w:r>
      <w:r w:rsidR="00B83588" w:rsidRPr="00802D35">
        <w:rPr>
          <w:rFonts w:ascii="Times New Roman" w:hAnsi="Times New Roman" w:cs="Times New Roman"/>
          <w:sz w:val="28"/>
          <w:szCs w:val="28"/>
        </w:rPr>
        <w:t xml:space="preserve"> </w:t>
      </w:r>
    </w:p>
    <w:p w:rsidR="00B83588" w:rsidRPr="00802D35" w:rsidRDefault="00C4761F" w:rsidP="00B83588">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bCs/>
          <w:sz w:val="28"/>
          <w:szCs w:val="28"/>
        </w:rPr>
        <w:t>П.Дэвис подчеркивает необходимость правильного использования этих слов, поскольку они имеют разное значение. Тот, кто финансирует, сначала собирает деньги (фонды). Это может быть государственный или частный сектор, который привлекает заемные и собственные средства для финансирования строительства активов государственного сектора. Фондирует тот, кто в конечном итоге за все это платит: налогоплательщик, пользователь</w:t>
      </w:r>
      <w:r w:rsidR="00021D66" w:rsidRPr="00802D35">
        <w:rPr>
          <w:rFonts w:ascii="Times New Roman" w:hAnsi="Times New Roman" w:cs="Times New Roman"/>
          <w:bCs/>
          <w:sz w:val="28"/>
          <w:szCs w:val="28"/>
        </w:rPr>
        <w:t xml:space="preserve"> [</w:t>
      </w:r>
      <w:r w:rsidR="000B0564" w:rsidRPr="00802D35">
        <w:rPr>
          <w:rFonts w:ascii="Times New Roman" w:hAnsi="Times New Roman" w:cs="Times New Roman"/>
          <w:bCs/>
          <w:sz w:val="28"/>
          <w:szCs w:val="28"/>
        </w:rPr>
        <w:t>34</w:t>
      </w:r>
      <w:r w:rsidR="00021D66" w:rsidRPr="00802D35">
        <w:rPr>
          <w:rFonts w:ascii="Times New Roman" w:hAnsi="Times New Roman" w:cs="Times New Roman"/>
          <w:sz w:val="28"/>
          <w:szCs w:val="28"/>
        </w:rPr>
        <w:t>].</w:t>
      </w:r>
    </w:p>
    <w:p w:rsidR="0034744D" w:rsidRPr="00802D35" w:rsidRDefault="00021D66" w:rsidP="00B83588">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Wiki указано, что финансирование – это операции по обеспечению бизнеса средствами (фондами) [</w:t>
      </w:r>
      <w:r w:rsidR="000B0564" w:rsidRPr="00802D35">
        <w:rPr>
          <w:rFonts w:ascii="Times New Roman" w:hAnsi="Times New Roman" w:cs="Times New Roman"/>
          <w:sz w:val="28"/>
          <w:szCs w:val="28"/>
        </w:rPr>
        <w:t>35</w:t>
      </w:r>
      <w:r w:rsidRPr="00802D35">
        <w:rPr>
          <w:rFonts w:ascii="Times New Roman" w:hAnsi="Times New Roman" w:cs="Times New Roman"/>
          <w:sz w:val="28"/>
          <w:szCs w:val="28"/>
        </w:rPr>
        <w:t>].</w:t>
      </w:r>
      <w:r w:rsidR="00B83588" w:rsidRPr="00802D35">
        <w:rPr>
          <w:rFonts w:ascii="Times New Roman" w:hAnsi="Times New Roman" w:cs="Times New Roman"/>
          <w:sz w:val="28"/>
          <w:szCs w:val="28"/>
        </w:rPr>
        <w:t xml:space="preserve"> </w:t>
      </w:r>
      <w:r w:rsidRPr="00802D35">
        <w:rPr>
          <w:rFonts w:ascii="Times New Roman" w:hAnsi="Times New Roman" w:cs="Times New Roman"/>
          <w:bCs/>
          <w:sz w:val="28"/>
          <w:szCs w:val="28"/>
        </w:rPr>
        <w:t xml:space="preserve">Аналогичного рода источники показывают разницу в применимости данных английских слов. Следовательно, само происхождение терминов </w:t>
      </w:r>
      <w:r w:rsidRPr="00802D35">
        <w:rPr>
          <w:rFonts w:ascii="Times New Roman" w:hAnsi="Times New Roman" w:cs="Times New Roman"/>
          <w:sz w:val="28"/>
          <w:szCs w:val="28"/>
        </w:rPr>
        <w:t>«финансирование» и «фондирование» хотя и имеют схожесть, все же в корне различны.</w:t>
      </w:r>
      <w:r w:rsidR="00C37AAD" w:rsidRPr="00802D35">
        <w:rPr>
          <w:rFonts w:ascii="Times New Roman" w:hAnsi="Times New Roman" w:cs="Times New Roman"/>
          <w:sz w:val="28"/>
          <w:szCs w:val="28"/>
        </w:rPr>
        <w:t xml:space="preserve"> Такой подход позволяет выявить различия между данными понятиями и четко уяснить экономическую природу каждого из них. Итак, «фондирование» - «от слова «фонд» - </w:t>
      </w:r>
      <w:r w:rsidR="00277C12" w:rsidRPr="00802D35">
        <w:rPr>
          <w:rFonts w:ascii="Times New Roman" w:hAnsi="Times New Roman" w:cs="Times New Roman"/>
          <w:sz w:val="28"/>
          <w:szCs w:val="28"/>
        </w:rPr>
        <w:t xml:space="preserve">формирование </w:t>
      </w:r>
      <w:r w:rsidR="00C37AAD" w:rsidRPr="00802D35">
        <w:rPr>
          <w:rFonts w:ascii="Times New Roman" w:hAnsi="Times New Roman" w:cs="Times New Roman"/>
          <w:sz w:val="28"/>
          <w:szCs w:val="28"/>
        </w:rPr>
        <w:t>денежны</w:t>
      </w:r>
      <w:r w:rsidR="00277C12" w:rsidRPr="00802D35">
        <w:rPr>
          <w:rFonts w:ascii="Times New Roman" w:hAnsi="Times New Roman" w:cs="Times New Roman"/>
          <w:sz w:val="28"/>
          <w:szCs w:val="28"/>
        </w:rPr>
        <w:t>х</w:t>
      </w:r>
      <w:r w:rsidR="00C37AAD" w:rsidRPr="00802D35">
        <w:rPr>
          <w:rFonts w:ascii="Times New Roman" w:hAnsi="Times New Roman" w:cs="Times New Roman"/>
          <w:sz w:val="28"/>
          <w:szCs w:val="28"/>
        </w:rPr>
        <w:t xml:space="preserve"> ресурс</w:t>
      </w:r>
      <w:r w:rsidR="00277C12" w:rsidRPr="00802D35">
        <w:rPr>
          <w:rFonts w:ascii="Times New Roman" w:hAnsi="Times New Roman" w:cs="Times New Roman"/>
          <w:sz w:val="28"/>
          <w:szCs w:val="28"/>
        </w:rPr>
        <w:t>ов</w:t>
      </w:r>
      <w:r w:rsidR="00C37AAD" w:rsidRPr="00802D35">
        <w:rPr>
          <w:rFonts w:ascii="Times New Roman" w:hAnsi="Times New Roman" w:cs="Times New Roman"/>
          <w:sz w:val="28"/>
          <w:szCs w:val="28"/>
        </w:rPr>
        <w:t>, предоставляемы</w:t>
      </w:r>
      <w:r w:rsidR="00277C12" w:rsidRPr="00802D35">
        <w:rPr>
          <w:rFonts w:ascii="Times New Roman" w:hAnsi="Times New Roman" w:cs="Times New Roman"/>
          <w:sz w:val="28"/>
          <w:szCs w:val="28"/>
        </w:rPr>
        <w:t>х</w:t>
      </w:r>
      <w:r w:rsidR="00C37AAD" w:rsidRPr="00802D35">
        <w:rPr>
          <w:rFonts w:ascii="Times New Roman" w:hAnsi="Times New Roman" w:cs="Times New Roman"/>
          <w:sz w:val="28"/>
          <w:szCs w:val="28"/>
        </w:rPr>
        <w:t xml:space="preserve"> на определенные цели. В свою очередь, «финансирование» - механизм, процесс предоставления этих денежных ресурсов. Иными словами, необходим источник фондирования для </w:t>
      </w:r>
      <w:r w:rsidR="00C37AAD" w:rsidRPr="00802D35">
        <w:rPr>
          <w:rFonts w:ascii="Times New Roman" w:hAnsi="Times New Roman" w:cs="Times New Roman"/>
          <w:sz w:val="28"/>
          <w:szCs w:val="28"/>
        </w:rPr>
        <w:lastRenderedPageBreak/>
        <w:t>осуществления финансирования</w:t>
      </w:r>
      <w:r w:rsidR="00277C12" w:rsidRPr="00802D35">
        <w:rPr>
          <w:rFonts w:ascii="Times New Roman" w:hAnsi="Times New Roman" w:cs="Times New Roman"/>
          <w:sz w:val="28"/>
          <w:szCs w:val="28"/>
        </w:rPr>
        <w:t>. Таким образом, результаты анализа позволяют сделать следующие выводы (рисунок 1).</w:t>
      </w:r>
    </w:p>
    <w:p w:rsidR="00277C12" w:rsidRPr="00802D35" w:rsidRDefault="00277C12" w:rsidP="00277C12"/>
    <w:p w:rsidR="00277C12" w:rsidRPr="00802D35" w:rsidRDefault="005368DA" w:rsidP="00277C12">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2912110</wp:posOffset>
                </wp:positionH>
                <wp:positionV relativeFrom="paragraph">
                  <wp:posOffset>1913255</wp:posOffset>
                </wp:positionV>
                <wp:extent cx="226060" cy="267970"/>
                <wp:effectExtent l="57150" t="38100" r="2540" b="93980"/>
                <wp:wrapNone/>
                <wp:docPr id="43" name="Стрелка влево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267970"/>
                        </a:xfrm>
                        <a:prstGeom prst="lef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 o:spid="_x0000_s1026" type="#_x0000_t66" style="position:absolute;margin-left:229.3pt;margin-top:150.65pt;width:17.8pt;height:2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" adj="10800" fillcolor="#a7bfde [1620]" strokecolor="#4579b8 [3044]">
                <v:fill color2="#e4ecf5 [500]" rotate="t" angle="180" colors="0 #a3c4ff;22938f #bfd5ff;1 #e5eeff" focus="100%" type="gradient"/>
                <v:shadow on="t" color="black" opacity="24903f" origin=",.5" offset="0,.55556mm"/>
                <v:path arrowok="t"/>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2912110</wp:posOffset>
                </wp:positionH>
                <wp:positionV relativeFrom="paragraph">
                  <wp:posOffset>1090930</wp:posOffset>
                </wp:positionV>
                <wp:extent cx="226060" cy="259715"/>
                <wp:effectExtent l="57150" t="38100" r="2540" b="102235"/>
                <wp:wrapNone/>
                <wp:docPr id="42"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25971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229.3pt;margin-top:85.9pt;width:17.8pt;height:2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" adj="10800" fillcolor="#a7bfde [1620]" strokecolor="#4579b8 [3044]">
                <v:fill color2="#e4ecf5 [500]" rotate="t" angle="180" colors="0 #a3c4ff;22938f #bfd5ff;1 #e5eeff" focus="100%" type="gradient"/>
                <v:shadow on="t" color="black" opacity="24903f" origin=",.5" offset="0,.55556mm"/>
                <v:path arrowok="t"/>
              </v:shape>
            </w:pict>
          </mc:Fallback>
        </mc:AlternateContent>
      </w:r>
      <w:r w:rsidR="00277C12" w:rsidRPr="00802D35">
        <w:rPr>
          <w:noProof/>
          <w:lang w:eastAsia="ru-RU"/>
        </w:rPr>
        <w:drawing>
          <wp:inline distT="0" distB="0" distL="0" distR="0">
            <wp:extent cx="5939405" cy="2659310"/>
            <wp:effectExtent l="57150" t="38100" r="61595" b="8445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77C12" w:rsidRPr="00802D35" w:rsidRDefault="00277C12" w:rsidP="00982888">
      <w:pPr>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Рисунок 1 – Различия терминов «фондирование» и «финансирование»</w:t>
      </w:r>
    </w:p>
    <w:p w:rsidR="00B83588" w:rsidRPr="00802D35" w:rsidRDefault="00B83588" w:rsidP="00982888">
      <w:pPr>
        <w:spacing w:after="0" w:line="240" w:lineRule="auto"/>
        <w:rPr>
          <w:rFonts w:ascii="Times New Roman" w:hAnsi="Times New Roman" w:cs="Times New Roman"/>
          <w:sz w:val="24"/>
          <w:szCs w:val="24"/>
        </w:rPr>
      </w:pPr>
    </w:p>
    <w:p w:rsidR="00277C12" w:rsidRPr="00802D35" w:rsidRDefault="00277C12" w:rsidP="00B83588">
      <w:pPr>
        <w:spacing w:after="0" w:line="240" w:lineRule="auto"/>
        <w:ind w:firstLine="567"/>
        <w:rPr>
          <w:rFonts w:ascii="Times New Roman" w:hAnsi="Times New Roman" w:cs="Times New Roman"/>
          <w:sz w:val="24"/>
          <w:szCs w:val="24"/>
        </w:rPr>
      </w:pPr>
      <w:r w:rsidRPr="00802D35">
        <w:rPr>
          <w:rFonts w:ascii="Times New Roman" w:hAnsi="Times New Roman" w:cs="Times New Roman"/>
          <w:sz w:val="24"/>
          <w:szCs w:val="24"/>
        </w:rPr>
        <w:t>Примечание</w:t>
      </w:r>
      <w:r w:rsidR="00AA0C68"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разработано автором</w:t>
      </w:r>
    </w:p>
    <w:p w:rsidR="003D2DDA" w:rsidRPr="00802D35" w:rsidRDefault="003D2DDA" w:rsidP="00982888">
      <w:pPr>
        <w:widowControl w:val="0"/>
        <w:spacing w:after="0" w:line="240" w:lineRule="auto"/>
        <w:ind w:firstLine="567"/>
        <w:jc w:val="both"/>
        <w:rPr>
          <w:rFonts w:ascii="Times New Roman" w:hAnsi="Times New Roman" w:cs="Times New Roman"/>
          <w:sz w:val="28"/>
          <w:szCs w:val="28"/>
        </w:rPr>
      </w:pPr>
    </w:p>
    <w:p w:rsidR="00874F01" w:rsidRPr="00802D35" w:rsidRDefault="00277C12"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Следует отметить тесное переплетение данных понятий</w:t>
      </w:r>
      <w:r w:rsidR="006F67A6" w:rsidRPr="00802D35">
        <w:rPr>
          <w:rFonts w:ascii="Times New Roman" w:hAnsi="Times New Roman" w:cs="Times New Roman"/>
          <w:sz w:val="28"/>
          <w:szCs w:val="28"/>
        </w:rPr>
        <w:t>, поскольку фондирование позволяет привлекать средст</w:t>
      </w:r>
      <w:r w:rsidR="005368C9" w:rsidRPr="00802D35">
        <w:rPr>
          <w:rFonts w:ascii="Times New Roman" w:hAnsi="Times New Roman" w:cs="Times New Roman"/>
          <w:sz w:val="28"/>
          <w:szCs w:val="28"/>
        </w:rPr>
        <w:t xml:space="preserve">ва для финансирования операций. У фондирования и финансирования могут быть источники. Однако, если фондирование предполагает образование фонда накоплений, то финансирование не обязательно, поскольку источником финансирования могут быть </w:t>
      </w:r>
      <w:r w:rsidR="00982888" w:rsidRPr="00802D35">
        <w:rPr>
          <w:rFonts w:ascii="Times New Roman" w:hAnsi="Times New Roman" w:cs="Times New Roman"/>
          <w:sz w:val="28"/>
          <w:szCs w:val="28"/>
        </w:rPr>
        <w:t xml:space="preserve">прибыль, амортизационные отчисления, банковские кредиты. Последние, в свою очередь, являются финансированием из </w:t>
      </w:r>
      <w:r w:rsidR="005215AC" w:rsidRPr="00802D35">
        <w:rPr>
          <w:rFonts w:ascii="Times New Roman" w:hAnsi="Times New Roman" w:cs="Times New Roman"/>
          <w:sz w:val="28"/>
          <w:szCs w:val="28"/>
        </w:rPr>
        <w:t>источников</w:t>
      </w:r>
      <w:r w:rsidR="00982888" w:rsidRPr="00802D35">
        <w:rPr>
          <w:rFonts w:ascii="Times New Roman" w:hAnsi="Times New Roman" w:cs="Times New Roman"/>
          <w:sz w:val="28"/>
          <w:szCs w:val="28"/>
        </w:rPr>
        <w:t xml:space="preserve"> фондирования банка.</w:t>
      </w:r>
    </w:p>
    <w:p w:rsidR="00874F01" w:rsidRPr="00802D35" w:rsidRDefault="005215AC"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для банков второго уровня первостепенное значение имеет именно фондирование. Это исходит из самих особенностей и специфики деятельности банков</w:t>
      </w:r>
      <w:r w:rsidR="00BD3864" w:rsidRPr="00802D35">
        <w:rPr>
          <w:rFonts w:ascii="Times New Roman" w:hAnsi="Times New Roman" w:cs="Times New Roman"/>
          <w:sz w:val="28"/>
          <w:szCs w:val="28"/>
        </w:rPr>
        <w:t xml:space="preserve"> как финансовых институтов</w:t>
      </w:r>
      <w:r w:rsidRPr="00802D35">
        <w:rPr>
          <w:rFonts w:ascii="Times New Roman" w:hAnsi="Times New Roman" w:cs="Times New Roman"/>
          <w:sz w:val="28"/>
          <w:szCs w:val="28"/>
        </w:rPr>
        <w:t>.</w:t>
      </w:r>
    </w:p>
    <w:p w:rsidR="000838EB" w:rsidRPr="00802D35" w:rsidRDefault="000838EB"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Согласно Закона</w:t>
      </w:r>
      <w:r w:rsidR="00DE1257" w:rsidRPr="00802D35">
        <w:rPr>
          <w:rFonts w:ascii="Times New Roman" w:hAnsi="Times New Roman" w:cs="Times New Roman"/>
          <w:sz w:val="28"/>
          <w:szCs w:val="28"/>
        </w:rPr>
        <w:t xml:space="preserve"> Республики Казахстан «О банках и банковской деятельности» банком признается коммерческая организация, имеющая лицензию на осуществление банковской деятельности, предусматривающей перечень операций, уполномоченных для осуществления банками второго уровня в рамках законодательства Казахстана [</w:t>
      </w:r>
      <w:r w:rsidR="000B0564" w:rsidRPr="00802D35">
        <w:rPr>
          <w:rFonts w:ascii="Times New Roman" w:hAnsi="Times New Roman" w:cs="Times New Roman"/>
          <w:sz w:val="28"/>
          <w:szCs w:val="28"/>
        </w:rPr>
        <w:t>36</w:t>
      </w:r>
      <w:r w:rsidR="00DE1257" w:rsidRPr="00802D35">
        <w:rPr>
          <w:rFonts w:ascii="Times New Roman" w:hAnsi="Times New Roman" w:cs="Times New Roman"/>
          <w:sz w:val="28"/>
          <w:szCs w:val="28"/>
        </w:rPr>
        <w:t>].</w:t>
      </w:r>
      <w:r w:rsidR="001E4038" w:rsidRPr="00802D35">
        <w:rPr>
          <w:rFonts w:ascii="Times New Roman" w:hAnsi="Times New Roman" w:cs="Times New Roman"/>
          <w:sz w:val="28"/>
          <w:szCs w:val="28"/>
        </w:rPr>
        <w:t xml:space="preserve"> Особенность банковской деятельности заключается в том, что выступая финансовыми посредниками, они способствуют перераспределению денежного капитала из источников, имеющих избыток ресурсов, в направления, нуждающиеся в них.</w:t>
      </w:r>
      <w:r w:rsidR="00333C3F" w:rsidRPr="00802D35">
        <w:rPr>
          <w:rFonts w:ascii="Times New Roman" w:hAnsi="Times New Roman" w:cs="Times New Roman"/>
          <w:sz w:val="28"/>
          <w:szCs w:val="28"/>
        </w:rPr>
        <w:t xml:space="preserve"> Исходя из этого, основная часть ресурсов банков формируется за счет привлечения временно свободных денежных средств из различных источников. </w:t>
      </w:r>
      <w:r w:rsidR="00AC1FDC" w:rsidRPr="00802D35">
        <w:rPr>
          <w:rFonts w:ascii="Times New Roman" w:hAnsi="Times New Roman" w:cs="Times New Roman"/>
          <w:sz w:val="28"/>
          <w:szCs w:val="28"/>
        </w:rPr>
        <w:t xml:space="preserve">В результате у банка первоочередной задачей становится рентабельное управление данными ресурсами с целью повышения эффективности своей деятельности. </w:t>
      </w:r>
    </w:p>
    <w:p w:rsidR="00CE44F2" w:rsidRPr="00802D35" w:rsidRDefault="008C4FDD"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Таким образом, представляя деятельность банка через понятия фондирования и финансирования, можно отметить, что банк выступает одновременно с одной стороны продавцом, с другой стороны, покупателем финансовых ресурсов. Другими сторонами сделок покупки и продажи этих ресурсов выступают государство, другие банки, компании и население. В разные периоды времени данные субъекты экономики переходят либо на сторону продавцов финансовых ресурсов банку, либо становятся покупателями финансовых ресурсов у банка. В результате такого подхода указанные выше субъекты экономики, выступая в роли продавцов ресурсов банку обеспечивают источники фондирования его деятельности, выступая в качестве покупателей ресурсов, формируют объекты финансирования</w:t>
      </w:r>
      <w:r w:rsidR="00CE44F2" w:rsidRPr="00802D35">
        <w:rPr>
          <w:rFonts w:ascii="Times New Roman" w:hAnsi="Times New Roman" w:cs="Times New Roman"/>
          <w:sz w:val="28"/>
          <w:szCs w:val="28"/>
        </w:rPr>
        <w:t>. Финансируя определенные виды деятельности, банк получает доходы, часть из которых генерирует в структуру собственных средств, тем самым повышая свою устойчивость.</w:t>
      </w:r>
    </w:p>
    <w:p w:rsidR="00CE44F2" w:rsidRPr="00802D35" w:rsidRDefault="00CE44F2"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Исходя из вышесказанного следует вывод о значимости источников фондирования в деятельности банков. Более того, о значимости рационального и эффективного управления источниками фондирования, которое предполагает обеспечение непрерывности </w:t>
      </w:r>
      <w:r w:rsidR="00A02AE0" w:rsidRPr="00802D35">
        <w:rPr>
          <w:rFonts w:ascii="Times New Roman" w:hAnsi="Times New Roman" w:cs="Times New Roman"/>
          <w:sz w:val="28"/>
          <w:szCs w:val="28"/>
        </w:rPr>
        <w:t>процесса поступления ресурсов, соответствия срочности этих ресурсов с объектами финансирования и рентабельного распределения финансирования.</w:t>
      </w:r>
    </w:p>
    <w:p w:rsidR="00A02AE0" w:rsidRPr="00802D35" w:rsidRDefault="00A02AE0"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подытоживая рассуждения о фондировани</w:t>
      </w:r>
      <w:r w:rsidR="005C16C8" w:rsidRPr="00802D35">
        <w:rPr>
          <w:rFonts w:ascii="Times New Roman" w:hAnsi="Times New Roman" w:cs="Times New Roman"/>
          <w:sz w:val="28"/>
          <w:szCs w:val="28"/>
        </w:rPr>
        <w:t>и</w:t>
      </w:r>
      <w:r w:rsidRPr="00802D35">
        <w:rPr>
          <w:rFonts w:ascii="Times New Roman" w:hAnsi="Times New Roman" w:cs="Times New Roman"/>
          <w:sz w:val="28"/>
          <w:szCs w:val="28"/>
        </w:rPr>
        <w:t xml:space="preserve"> деятельности банков</w:t>
      </w:r>
      <w:r w:rsidR="005C16C8" w:rsidRPr="00802D35">
        <w:rPr>
          <w:rFonts w:ascii="Times New Roman" w:hAnsi="Times New Roman" w:cs="Times New Roman"/>
          <w:sz w:val="28"/>
          <w:szCs w:val="28"/>
        </w:rPr>
        <w:t>, целесообразно выделить основные принципы, характеризующие данное понятие (рисунок 2).</w:t>
      </w:r>
    </w:p>
    <w:p w:rsidR="005C16C8" w:rsidRPr="00802D35" w:rsidRDefault="005C16C8" w:rsidP="00982888">
      <w:pPr>
        <w:widowControl w:val="0"/>
        <w:spacing w:after="0" w:line="240" w:lineRule="auto"/>
        <w:ind w:firstLine="567"/>
        <w:jc w:val="both"/>
        <w:rPr>
          <w:rFonts w:ascii="Times New Roman" w:hAnsi="Times New Roman" w:cs="Times New Roman"/>
          <w:sz w:val="28"/>
          <w:szCs w:val="28"/>
        </w:rPr>
      </w:pPr>
    </w:p>
    <w:p w:rsidR="005C16C8" w:rsidRPr="00802D35" w:rsidRDefault="005C16C8" w:rsidP="005C16C8">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noProof/>
          <w:sz w:val="28"/>
          <w:szCs w:val="28"/>
          <w:lang w:eastAsia="ru-RU"/>
        </w:rPr>
        <w:drawing>
          <wp:inline distT="0" distB="0" distL="0" distR="0">
            <wp:extent cx="6140741" cy="2457975"/>
            <wp:effectExtent l="0" t="38100" r="0" b="1143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40DE9" w:rsidRPr="00802D35" w:rsidRDefault="00E40DE9" w:rsidP="00266DF9">
      <w:pPr>
        <w:widowControl w:val="0"/>
        <w:spacing w:after="0" w:line="240" w:lineRule="auto"/>
        <w:ind w:firstLine="567"/>
        <w:jc w:val="center"/>
        <w:rPr>
          <w:rFonts w:ascii="Times New Roman" w:hAnsi="Times New Roman" w:cs="Times New Roman"/>
          <w:sz w:val="28"/>
          <w:szCs w:val="28"/>
        </w:rPr>
      </w:pPr>
    </w:p>
    <w:p w:rsidR="00A02AE0" w:rsidRPr="00802D35" w:rsidRDefault="00266DF9" w:rsidP="00266DF9">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Рисунок 2 – Основные принципы фондирования банковской деятельности</w:t>
      </w:r>
    </w:p>
    <w:p w:rsidR="00B83588" w:rsidRPr="00802D35" w:rsidRDefault="00B83588" w:rsidP="00982888">
      <w:pPr>
        <w:widowControl w:val="0"/>
        <w:spacing w:after="0" w:line="240" w:lineRule="auto"/>
        <w:ind w:firstLine="567"/>
        <w:jc w:val="both"/>
        <w:rPr>
          <w:rFonts w:ascii="Times New Roman" w:hAnsi="Times New Roman" w:cs="Times New Roman"/>
          <w:sz w:val="28"/>
          <w:szCs w:val="28"/>
        </w:rPr>
      </w:pPr>
    </w:p>
    <w:p w:rsidR="00266DF9" w:rsidRPr="00802D35" w:rsidRDefault="00266DF9" w:rsidP="00982888">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241595"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w:t>
      </w:r>
    </w:p>
    <w:p w:rsidR="00DE1257" w:rsidRPr="00802D35" w:rsidRDefault="00DE1257" w:rsidP="00982888">
      <w:pPr>
        <w:widowControl w:val="0"/>
        <w:spacing w:after="0" w:line="240" w:lineRule="auto"/>
        <w:ind w:firstLine="567"/>
        <w:jc w:val="both"/>
        <w:rPr>
          <w:rFonts w:ascii="Times New Roman" w:hAnsi="Times New Roman" w:cs="Times New Roman"/>
          <w:sz w:val="28"/>
          <w:szCs w:val="28"/>
        </w:rPr>
      </w:pPr>
    </w:p>
    <w:tbl>
      <w:tblPr>
        <w:tblW w:w="5000" w:type="pct"/>
        <w:shd w:val="clear" w:color="auto" w:fill="F1F1F1"/>
        <w:tblCellMar>
          <w:left w:w="0" w:type="dxa"/>
          <w:right w:w="0" w:type="dxa"/>
        </w:tblCellMar>
        <w:tblLook w:val="04A0" w:firstRow="1" w:lastRow="0" w:firstColumn="1" w:lastColumn="0" w:noHBand="0" w:noVBand="1"/>
      </w:tblPr>
      <w:tblGrid>
        <w:gridCol w:w="9634"/>
        <w:gridCol w:w="4"/>
      </w:tblGrid>
      <w:tr w:rsidR="000838EB" w:rsidRPr="00802D35" w:rsidTr="000838EB">
        <w:tc>
          <w:tcPr>
            <w:tcW w:w="13416" w:type="dxa"/>
            <w:shd w:val="clear" w:color="auto" w:fill="F1F1F1"/>
            <w:hideMark/>
          </w:tcPr>
          <w:tbl>
            <w:tblPr>
              <w:tblW w:w="5000" w:type="pct"/>
              <w:tblCellMar>
                <w:left w:w="0" w:type="dxa"/>
                <w:right w:w="0" w:type="dxa"/>
              </w:tblCellMar>
              <w:tblLook w:val="04A0" w:firstRow="1" w:lastRow="0" w:firstColumn="1" w:lastColumn="0" w:noHBand="0" w:noVBand="1"/>
            </w:tblPr>
            <w:tblGrid>
              <w:gridCol w:w="9630"/>
              <w:gridCol w:w="4"/>
            </w:tblGrid>
            <w:tr w:rsidR="000838EB" w:rsidRPr="00802D35" w:rsidTr="000838EB">
              <w:tc>
                <w:tcPr>
                  <w:tcW w:w="0" w:type="auto"/>
                  <w:vAlign w:val="center"/>
                  <w:hideMark/>
                </w:tcPr>
                <w:tbl>
                  <w:tblPr>
                    <w:tblW w:w="5000" w:type="pct"/>
                    <w:tblCellMar>
                      <w:left w:w="0" w:type="dxa"/>
                      <w:right w:w="0" w:type="dxa"/>
                    </w:tblCellMar>
                    <w:tblLook w:val="04A0" w:firstRow="1" w:lastRow="0" w:firstColumn="1" w:lastColumn="0" w:noHBand="0" w:noVBand="1"/>
                  </w:tblPr>
                  <w:tblGrid>
                    <w:gridCol w:w="9630"/>
                  </w:tblGrid>
                  <w:tr w:rsidR="000838EB" w:rsidRPr="00802D35">
                    <w:tc>
                      <w:tcPr>
                        <w:tcW w:w="0" w:type="auto"/>
                        <w:tcMar>
                          <w:top w:w="0" w:type="dxa"/>
                          <w:left w:w="150" w:type="dxa"/>
                          <w:bottom w:w="0" w:type="dxa"/>
                          <w:right w:w="0" w:type="dxa"/>
                        </w:tcMar>
                        <w:vAlign w:val="center"/>
                        <w:hideMark/>
                      </w:tcPr>
                      <w:tbl>
                        <w:tblPr>
                          <w:tblW w:w="12816" w:type="dxa"/>
                          <w:tblCellMar>
                            <w:left w:w="0" w:type="dxa"/>
                            <w:right w:w="0" w:type="dxa"/>
                          </w:tblCellMar>
                          <w:tblLook w:val="04A0" w:firstRow="1" w:lastRow="0" w:firstColumn="1" w:lastColumn="0" w:noHBand="0" w:noVBand="1"/>
                        </w:tblPr>
                        <w:tblGrid>
                          <w:gridCol w:w="12816"/>
                        </w:tblGrid>
                        <w:tr w:rsidR="000838EB" w:rsidRPr="00802D35" w:rsidTr="000838EB">
                          <w:tc>
                            <w:tcPr>
                              <w:tcW w:w="0" w:type="auto"/>
                              <w:tcMar>
                                <w:top w:w="0" w:type="dxa"/>
                                <w:left w:w="150" w:type="dxa"/>
                                <w:bottom w:w="0" w:type="dxa"/>
                                <w:right w:w="0" w:type="dxa"/>
                              </w:tcMar>
                              <w:hideMark/>
                            </w:tcPr>
                            <w:p w:rsidR="000838EB" w:rsidRPr="00802D35" w:rsidRDefault="000838EB">
                              <w:pPr>
                                <w:pStyle w:val="1"/>
                                <w:spacing w:before="0"/>
                                <w:rPr>
                                  <w:rFonts w:ascii="Tahoma" w:hAnsi="Tahoma" w:cs="Tahoma"/>
                                  <w:b w:val="0"/>
                                  <w:bCs w:val="0"/>
                                  <w:color w:val="000000"/>
                                  <w:sz w:val="18"/>
                                  <w:szCs w:val="18"/>
                                </w:rPr>
                              </w:pPr>
                            </w:p>
                          </w:tc>
                        </w:tr>
                      </w:tbl>
                      <w:p w:rsidR="000838EB" w:rsidRPr="00802D35" w:rsidRDefault="000838EB">
                        <w:pPr>
                          <w:spacing w:line="210" w:lineRule="atLeast"/>
                          <w:rPr>
                            <w:rFonts w:ascii="Tahoma" w:hAnsi="Tahoma" w:cs="Tahoma"/>
                            <w:sz w:val="24"/>
                            <w:szCs w:val="24"/>
                          </w:rPr>
                        </w:pPr>
                      </w:p>
                    </w:tc>
                  </w:tr>
                </w:tbl>
                <w:p w:rsidR="000838EB" w:rsidRPr="00802D35" w:rsidRDefault="000838EB">
                  <w:pPr>
                    <w:rPr>
                      <w:sz w:val="24"/>
                      <w:szCs w:val="24"/>
                    </w:rPr>
                  </w:pPr>
                </w:p>
              </w:tc>
              <w:tc>
                <w:tcPr>
                  <w:tcW w:w="0" w:type="auto"/>
                  <w:vAlign w:val="center"/>
                  <w:hideMark/>
                </w:tcPr>
                <w:p w:rsidR="000838EB" w:rsidRPr="00802D35" w:rsidRDefault="000838EB">
                  <w:pPr>
                    <w:rPr>
                      <w:sz w:val="24"/>
                      <w:szCs w:val="24"/>
                    </w:rPr>
                  </w:pPr>
                </w:p>
              </w:tc>
            </w:tr>
          </w:tbl>
          <w:p w:rsidR="000838EB" w:rsidRPr="00802D35" w:rsidRDefault="000838EB">
            <w:pPr>
              <w:shd w:val="clear" w:color="auto" w:fill="ECECEC"/>
              <w:rPr>
                <w:rFonts w:ascii="Segoe UI" w:hAnsi="Segoe UI" w:cs="Segoe UI"/>
                <w:color w:val="212529"/>
                <w:sz w:val="18"/>
                <w:szCs w:val="18"/>
              </w:rPr>
            </w:pPr>
          </w:p>
        </w:tc>
        <w:tc>
          <w:tcPr>
            <w:tcW w:w="0" w:type="auto"/>
            <w:shd w:val="clear" w:color="auto" w:fill="ECECEC"/>
            <w:vAlign w:val="center"/>
            <w:hideMark/>
          </w:tcPr>
          <w:p w:rsidR="000838EB" w:rsidRPr="00802D35" w:rsidRDefault="000838EB">
            <w:pPr>
              <w:rPr>
                <w:rFonts w:ascii="Segoe UI" w:hAnsi="Segoe UI" w:cs="Segoe UI"/>
                <w:color w:val="212529"/>
                <w:sz w:val="18"/>
                <w:szCs w:val="18"/>
              </w:rPr>
            </w:pPr>
          </w:p>
        </w:tc>
      </w:tr>
    </w:tbl>
    <w:p w:rsidR="00874F01" w:rsidRPr="00802D35" w:rsidRDefault="004E769A"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Обозначенные нами принципы позволяют рассматривать </w:t>
      </w:r>
      <w:r w:rsidR="0068042C" w:rsidRPr="00802D35">
        <w:rPr>
          <w:rFonts w:ascii="Times New Roman" w:hAnsi="Times New Roman" w:cs="Times New Roman"/>
          <w:sz w:val="28"/>
          <w:szCs w:val="28"/>
        </w:rPr>
        <w:t>фондирование как определенный процесс формирования ресурсной базы банка, подлежащий соответствующему управлению.</w:t>
      </w:r>
      <w:r w:rsidR="00263BA6" w:rsidRPr="00802D35">
        <w:rPr>
          <w:rFonts w:ascii="Times New Roman" w:hAnsi="Times New Roman" w:cs="Times New Roman"/>
          <w:sz w:val="28"/>
          <w:szCs w:val="28"/>
        </w:rPr>
        <w:t xml:space="preserve"> Эффективное управление банковскими ресурсами при этом охватывает следующие направления деятельности:</w:t>
      </w:r>
    </w:p>
    <w:p w:rsidR="00263BA6" w:rsidRPr="00802D35" w:rsidRDefault="00263BA6" w:rsidP="00263BA6">
      <w:pPr>
        <w:pStyle w:val="a3"/>
        <w:widowControl w:val="0"/>
        <w:numPr>
          <w:ilvl w:val="0"/>
          <w:numId w:val="2"/>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lastRenderedPageBreak/>
        <w:t>организация непрерывности формирования фонда ресурсов;</w:t>
      </w:r>
    </w:p>
    <w:p w:rsidR="00263BA6" w:rsidRPr="00802D35" w:rsidRDefault="00263BA6" w:rsidP="00263BA6">
      <w:pPr>
        <w:pStyle w:val="a3"/>
        <w:widowControl w:val="0"/>
        <w:numPr>
          <w:ilvl w:val="0"/>
          <w:numId w:val="2"/>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формирование диверсифицированной структуры фонда;</w:t>
      </w:r>
    </w:p>
    <w:p w:rsidR="00263BA6" w:rsidRPr="00802D35" w:rsidRDefault="00263BA6" w:rsidP="00263BA6">
      <w:pPr>
        <w:pStyle w:val="a3"/>
        <w:widowControl w:val="0"/>
        <w:numPr>
          <w:ilvl w:val="0"/>
          <w:numId w:val="2"/>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управление ставкой привлечения ресурсов;</w:t>
      </w:r>
    </w:p>
    <w:p w:rsidR="00FF6D8E" w:rsidRPr="00802D35" w:rsidRDefault="00FF6D8E" w:rsidP="00263BA6">
      <w:pPr>
        <w:pStyle w:val="a3"/>
        <w:widowControl w:val="0"/>
        <w:numPr>
          <w:ilvl w:val="0"/>
          <w:numId w:val="2"/>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обеспечение соответствия нормативам регулятора;</w:t>
      </w:r>
    </w:p>
    <w:p w:rsidR="00263BA6" w:rsidRPr="00802D35" w:rsidRDefault="00FF6D8E" w:rsidP="00263BA6">
      <w:pPr>
        <w:pStyle w:val="a3"/>
        <w:widowControl w:val="0"/>
        <w:numPr>
          <w:ilvl w:val="0"/>
          <w:numId w:val="2"/>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привлечение средне и долгосрочных источников средств.</w:t>
      </w:r>
    </w:p>
    <w:p w:rsidR="00266DF9" w:rsidRPr="00802D35" w:rsidRDefault="005368DA" w:rsidP="00982888">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4725035</wp:posOffset>
                </wp:positionH>
                <wp:positionV relativeFrom="paragraph">
                  <wp:posOffset>2620645</wp:posOffset>
                </wp:positionV>
                <wp:extent cx="1316355" cy="351790"/>
                <wp:effectExtent l="0" t="0" r="0" b="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1790"/>
                        </a:xfrm>
                        <a:prstGeom prst="rect">
                          <a:avLst/>
                        </a:prstGeom>
                        <a:noFill/>
                        <a:ln w="9525">
                          <a:noFill/>
                          <a:miter lim="800000"/>
                          <a:headEnd/>
                          <a:tailEnd/>
                        </a:ln>
                      </wps:spPr>
                      <wps:txbx>
                        <w:txbxContent>
                          <w:p w:rsidR="000C2C64" w:rsidRPr="004A69D0" w:rsidRDefault="000C2C64" w:rsidP="004A69D0">
                            <w:pPr>
                              <w:rPr>
                                <w:rFonts w:ascii="Times New Roman" w:hAnsi="Times New Roman" w:cs="Times New Roman"/>
                                <w:i/>
                              </w:rPr>
                            </w:pPr>
                            <w:r w:rsidRPr="004A69D0">
                              <w:rPr>
                                <w:rFonts w:ascii="Times New Roman" w:hAnsi="Times New Roman" w:cs="Times New Roman"/>
                                <w:i/>
                              </w:rPr>
                              <w:t xml:space="preserve">по </w:t>
                            </w:r>
                            <w:r>
                              <w:rPr>
                                <w:rFonts w:ascii="Times New Roman" w:hAnsi="Times New Roman" w:cs="Times New Roman"/>
                                <w:i/>
                              </w:rPr>
                              <w:t>высо</w:t>
                            </w:r>
                            <w:r w:rsidRPr="004A69D0">
                              <w:rPr>
                                <w:rFonts w:ascii="Times New Roman" w:hAnsi="Times New Roman" w:cs="Times New Roman"/>
                                <w:i/>
                              </w:rPr>
                              <w:t>кой ставке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2.05pt;margin-top:206.35pt;width:103.65pt;height: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" filled="f" stroked="f">
                <v:textbox>
                  <w:txbxContent>
                    <w:p w:rsidR="000C2C64" w:rsidRPr="004A69D0" w:rsidRDefault="000C2C64" w:rsidP="004A69D0">
                      <w:pPr>
                        <w:rPr>
                          <w:rFonts w:ascii="Times New Roman" w:hAnsi="Times New Roman" w:cs="Times New Roman"/>
                          <w:i/>
                        </w:rPr>
                      </w:pPr>
                      <w:r w:rsidRPr="004A69D0">
                        <w:rPr>
                          <w:rFonts w:ascii="Times New Roman" w:hAnsi="Times New Roman" w:cs="Times New Roman"/>
                          <w:i/>
                        </w:rPr>
                        <w:t xml:space="preserve">по </w:t>
                      </w:r>
                      <w:r>
                        <w:rPr>
                          <w:rFonts w:ascii="Times New Roman" w:hAnsi="Times New Roman" w:cs="Times New Roman"/>
                          <w:i/>
                        </w:rPr>
                        <w:t>высо</w:t>
                      </w:r>
                      <w:r w:rsidRPr="004A69D0">
                        <w:rPr>
                          <w:rFonts w:ascii="Times New Roman" w:hAnsi="Times New Roman" w:cs="Times New Roman"/>
                          <w:i/>
                        </w:rPr>
                        <w:t>кой ставке</w:t>
                      </w:r>
                    </w:p>
                  </w:txbxContent>
                </v:textbox>
              </v:shape>
            </w:pict>
          </mc:Fallback>
        </mc:AlternateContent>
      </w:r>
      <w:r w:rsidR="00CD3ADB" w:rsidRPr="00802D35">
        <w:rPr>
          <w:rFonts w:ascii="Times New Roman" w:hAnsi="Times New Roman" w:cs="Times New Roman"/>
          <w:sz w:val="28"/>
          <w:szCs w:val="28"/>
        </w:rPr>
        <w:t xml:space="preserve">Как известно, банк заинтересован в увеличении своей прибыли, которая складывается из разницы между полученной выручкой и себестоимостью банковских услуг. Предлагаемые банковские продукты находят отражение в денежных ресурсах в виде выдаваемых кредитов, ценных бумагах, платы за различные оказываемые банком услуги посредничества в переводах, доверительном управлении и т.п. В результате себестоимость данных продуктов напрямую зависит от стоимости ресурсов, используемых банком для совершения активных операций, то есть от стоимости привлеченных средств. Таким образом, прибыль банка формируется в качестве разницы между стоимостью привлеченных ресурсов и доходностью размещенных средств. И здесь важнейшим фактором становится эффективность привлечения ресурсов и эффективность их размещения. В итоге весь процесс </w:t>
      </w:r>
      <w:r w:rsidR="007E3263" w:rsidRPr="00802D35">
        <w:rPr>
          <w:rFonts w:ascii="Times New Roman" w:hAnsi="Times New Roman" w:cs="Times New Roman"/>
          <w:sz w:val="28"/>
          <w:szCs w:val="28"/>
        </w:rPr>
        <w:t xml:space="preserve">фондирования </w:t>
      </w:r>
      <w:r w:rsidR="00CD3ADB" w:rsidRPr="00802D35">
        <w:rPr>
          <w:rFonts w:ascii="Times New Roman" w:hAnsi="Times New Roman" w:cs="Times New Roman"/>
          <w:sz w:val="28"/>
          <w:szCs w:val="28"/>
        </w:rPr>
        <w:t>сводится к следующей схеме</w:t>
      </w:r>
      <w:r w:rsidR="007E3263" w:rsidRPr="00802D35">
        <w:rPr>
          <w:rFonts w:ascii="Times New Roman" w:hAnsi="Times New Roman" w:cs="Times New Roman"/>
          <w:sz w:val="28"/>
          <w:szCs w:val="28"/>
        </w:rPr>
        <w:t xml:space="preserve"> (рисунок 3).</w:t>
      </w:r>
    </w:p>
    <w:p w:rsidR="00E40DE9" w:rsidRPr="00802D35" w:rsidRDefault="00E40DE9" w:rsidP="00982888">
      <w:pPr>
        <w:widowControl w:val="0"/>
        <w:spacing w:after="0" w:line="240" w:lineRule="auto"/>
        <w:ind w:firstLine="567"/>
        <w:jc w:val="both"/>
        <w:rPr>
          <w:rFonts w:ascii="Times New Roman" w:hAnsi="Times New Roman" w:cs="Times New Roman"/>
          <w:sz w:val="28"/>
          <w:szCs w:val="28"/>
        </w:rPr>
      </w:pPr>
    </w:p>
    <w:p w:rsidR="007E3263" w:rsidRPr="00802D35" w:rsidRDefault="005368DA" w:rsidP="007E3263">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2801620</wp:posOffset>
                </wp:positionH>
                <wp:positionV relativeFrom="paragraph">
                  <wp:posOffset>2419350</wp:posOffset>
                </wp:positionV>
                <wp:extent cx="1224280" cy="351790"/>
                <wp:effectExtent l="0" t="0" r="0" b="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351790"/>
                        </a:xfrm>
                        <a:prstGeom prst="rect">
                          <a:avLst/>
                        </a:prstGeom>
                        <a:solidFill>
                          <a:srgbClr val="FFFFFF"/>
                        </a:solidFill>
                        <a:ln w="9525">
                          <a:noFill/>
                          <a:miter lim="800000"/>
                          <a:headEnd/>
                          <a:tailEnd/>
                        </a:ln>
                      </wps:spPr>
                      <wps:txbx>
                        <w:txbxContent>
                          <w:p w:rsidR="000C2C64" w:rsidRPr="004A69D0" w:rsidRDefault="000C2C64">
                            <w:pPr>
                              <w:rPr>
                                <w:rFonts w:ascii="Times New Roman" w:hAnsi="Times New Roman" w:cs="Times New Roman"/>
                                <w:i/>
                              </w:rPr>
                            </w:pPr>
                            <w:r w:rsidRPr="004A69D0">
                              <w:rPr>
                                <w:rFonts w:ascii="Times New Roman" w:hAnsi="Times New Roman" w:cs="Times New Roman"/>
                                <w:i/>
                              </w:rPr>
                              <w:t>по низкой ставке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0.6pt;margin-top:190.5pt;width:96.4pt;height: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" stroked="f">
                <v:textbox>
                  <w:txbxContent>
                    <w:p w:rsidR="000C2C64" w:rsidRPr="004A69D0" w:rsidRDefault="000C2C64">
                      <w:pPr>
                        <w:rPr>
                          <w:rFonts w:ascii="Times New Roman" w:hAnsi="Times New Roman" w:cs="Times New Roman"/>
                          <w:i/>
                        </w:rPr>
                      </w:pPr>
                      <w:r w:rsidRPr="004A69D0">
                        <w:rPr>
                          <w:rFonts w:ascii="Times New Roman" w:hAnsi="Times New Roman" w:cs="Times New Roman"/>
                          <w:i/>
                        </w:rPr>
                        <w:t>по низкой ставке</w:t>
                      </w:r>
                    </w:p>
                  </w:txbxContent>
                </v:textbox>
              </v:shape>
            </w:pict>
          </mc:Fallback>
        </mc:AlternateContent>
      </w:r>
      <w:r w:rsidR="007E3263" w:rsidRPr="00802D35">
        <w:rPr>
          <w:rFonts w:ascii="Times New Roman" w:hAnsi="Times New Roman" w:cs="Times New Roman"/>
          <w:noProof/>
          <w:sz w:val="28"/>
          <w:szCs w:val="28"/>
          <w:lang w:eastAsia="ru-RU"/>
        </w:rPr>
        <w:drawing>
          <wp:inline distT="0" distB="0" distL="0" distR="0">
            <wp:extent cx="6132352" cy="2810312"/>
            <wp:effectExtent l="57150" t="133350" r="97155" b="10477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40DE9" w:rsidRPr="00802D35" w:rsidRDefault="00E40DE9" w:rsidP="007E3263">
      <w:pPr>
        <w:widowControl w:val="0"/>
        <w:spacing w:after="0" w:line="240" w:lineRule="auto"/>
        <w:ind w:firstLine="567"/>
        <w:jc w:val="center"/>
        <w:rPr>
          <w:rFonts w:ascii="Times New Roman" w:hAnsi="Times New Roman" w:cs="Times New Roman"/>
          <w:sz w:val="28"/>
          <w:szCs w:val="28"/>
        </w:rPr>
      </w:pPr>
    </w:p>
    <w:p w:rsidR="00266DF9" w:rsidRPr="00802D35" w:rsidRDefault="007E3263" w:rsidP="007E3263">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Рисунок 3 – Процесс фондирования деятельности банков</w:t>
      </w:r>
    </w:p>
    <w:p w:rsidR="00B83588" w:rsidRPr="00802D35" w:rsidRDefault="00B83588" w:rsidP="00982888">
      <w:pPr>
        <w:widowControl w:val="0"/>
        <w:spacing w:after="0" w:line="240" w:lineRule="auto"/>
        <w:ind w:firstLine="567"/>
        <w:jc w:val="both"/>
        <w:rPr>
          <w:rFonts w:ascii="Times New Roman" w:hAnsi="Times New Roman" w:cs="Times New Roman"/>
          <w:sz w:val="28"/>
          <w:szCs w:val="28"/>
        </w:rPr>
      </w:pPr>
    </w:p>
    <w:p w:rsidR="007E3263" w:rsidRPr="00802D35" w:rsidRDefault="007E3263" w:rsidP="00982888">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w:t>
      </w:r>
    </w:p>
    <w:p w:rsidR="00266DF9" w:rsidRPr="00802D35" w:rsidRDefault="00266DF9" w:rsidP="00982888">
      <w:pPr>
        <w:widowControl w:val="0"/>
        <w:spacing w:after="0" w:line="240" w:lineRule="auto"/>
        <w:ind w:firstLine="567"/>
        <w:jc w:val="both"/>
        <w:rPr>
          <w:rFonts w:ascii="Times New Roman" w:hAnsi="Times New Roman" w:cs="Times New Roman"/>
          <w:sz w:val="28"/>
          <w:szCs w:val="28"/>
        </w:rPr>
      </w:pPr>
    </w:p>
    <w:p w:rsidR="007E3263" w:rsidRPr="00802D35" w:rsidRDefault="007E3263"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следует отметить, что весь процесс фондирования в банках охватывает не только процесс привлечения временно свободных денежных средств, но и период их аккумулирования и финансирования (перераспределения) банковских операций.</w:t>
      </w:r>
      <w:r w:rsidR="00717078" w:rsidRPr="00802D35">
        <w:rPr>
          <w:rFonts w:ascii="Times New Roman" w:hAnsi="Times New Roman" w:cs="Times New Roman"/>
          <w:sz w:val="28"/>
          <w:szCs w:val="28"/>
        </w:rPr>
        <w:t xml:space="preserve"> С этих позиций третья фаза фондирования перекликается с финансированием</w:t>
      </w:r>
      <w:r w:rsidR="005647E1" w:rsidRPr="00802D35">
        <w:rPr>
          <w:rFonts w:ascii="Times New Roman" w:hAnsi="Times New Roman" w:cs="Times New Roman"/>
          <w:sz w:val="28"/>
          <w:szCs w:val="28"/>
        </w:rPr>
        <w:t xml:space="preserve">, что, видимо, и вызывает интерпретацию многими авторами термина «фондирование» банков как </w:t>
      </w:r>
      <w:r w:rsidR="005647E1" w:rsidRPr="00802D35">
        <w:rPr>
          <w:rFonts w:ascii="Times New Roman" w:hAnsi="Times New Roman" w:cs="Times New Roman"/>
          <w:sz w:val="28"/>
          <w:szCs w:val="28"/>
        </w:rPr>
        <w:lastRenderedPageBreak/>
        <w:t>аналогичное понятие с термином «финансирование».</w:t>
      </w:r>
    </w:p>
    <w:p w:rsidR="007E3263" w:rsidRPr="00802D35" w:rsidRDefault="004A69D0"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Следует отметить, что фондирование должно быть запланированным процессом, то есть формирование фонда должно исходить из целевых операций банка на будущий период. В противном случае, если банк будет иметь большой объем краткосрочных ресурсов, то вряд ли сможет использовать их для финансирования долгосрочных операций.</w:t>
      </w:r>
      <w:r w:rsidR="00E03DAD" w:rsidRPr="00802D35">
        <w:rPr>
          <w:rFonts w:ascii="Times New Roman" w:hAnsi="Times New Roman" w:cs="Times New Roman"/>
          <w:sz w:val="28"/>
          <w:szCs w:val="28"/>
        </w:rPr>
        <w:t xml:space="preserve"> Обратная ситуация, наоборот, ставит банк в более выгодное положение, поскольку имея в арсенале долгосрочные ресурсы, банк сможет направить их на финансирование более прибыльных операций. Следовательно, чем больше срок привлечения фондирования, тем больше возможностей и меньше рисков для фондирования размещения.</w:t>
      </w:r>
    </w:p>
    <w:p w:rsidR="009751AF" w:rsidRPr="00802D35" w:rsidRDefault="009751AF" w:rsidP="00982888">
      <w:pPr>
        <w:widowControl w:val="0"/>
        <w:spacing w:after="0" w:line="240" w:lineRule="auto"/>
        <w:ind w:firstLine="567"/>
        <w:jc w:val="both"/>
        <w:rPr>
          <w:rFonts w:ascii="Times New Roman" w:hAnsi="Times New Roman" w:cs="Times New Roman"/>
          <w:i/>
          <w:sz w:val="28"/>
          <w:szCs w:val="28"/>
        </w:rPr>
      </w:pPr>
      <w:r w:rsidRPr="00802D35">
        <w:rPr>
          <w:rFonts w:ascii="Times New Roman" w:hAnsi="Times New Roman" w:cs="Times New Roman"/>
          <w:sz w:val="28"/>
          <w:szCs w:val="28"/>
        </w:rPr>
        <w:t xml:space="preserve">Таким образом, на основании всего вышесказанного и исходя из рассуждений относительно принципов, цели и особенностей фондирования деятельности банков можно представить следующее определение данного понятия. </w:t>
      </w:r>
      <w:r w:rsidRPr="00802D35">
        <w:rPr>
          <w:rFonts w:ascii="Times New Roman" w:hAnsi="Times New Roman" w:cs="Times New Roman"/>
          <w:i/>
          <w:sz w:val="28"/>
          <w:szCs w:val="28"/>
        </w:rPr>
        <w:t>По нашему мнению, фондирование банковской деятельности представляет собой континуальный, целенаправленный и контролируемый процесс формирования фонда финансовых ресурсов с наименьшей стоимостью и трансформации их в средства финансирования доходных активных операций</w:t>
      </w:r>
      <w:r w:rsidR="008B68BE" w:rsidRPr="00802D35">
        <w:rPr>
          <w:rFonts w:ascii="Times New Roman" w:hAnsi="Times New Roman" w:cs="Times New Roman"/>
          <w:sz w:val="28"/>
          <w:szCs w:val="28"/>
        </w:rPr>
        <w:t xml:space="preserve"> </w:t>
      </w:r>
      <w:r w:rsidR="008B68BE" w:rsidRPr="00802D35">
        <w:rPr>
          <w:rFonts w:ascii="Times New Roman" w:hAnsi="Times New Roman" w:cs="Times New Roman"/>
          <w:i/>
          <w:sz w:val="28"/>
          <w:szCs w:val="28"/>
        </w:rPr>
        <w:t>в пределах имеющихся ресурсов</w:t>
      </w:r>
      <w:r w:rsidRPr="00802D35">
        <w:rPr>
          <w:rFonts w:ascii="Times New Roman" w:hAnsi="Times New Roman" w:cs="Times New Roman"/>
          <w:i/>
          <w:sz w:val="28"/>
          <w:szCs w:val="28"/>
        </w:rPr>
        <w:t xml:space="preserve"> банка.</w:t>
      </w:r>
    </w:p>
    <w:p w:rsidR="009751AF" w:rsidRPr="00802D35" w:rsidRDefault="005647E1"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Континуальность процесса предполагает его непрерывность и постоянство. Банковская деятельность, как известно, является достаточно сложной и многоликой, что требует определенной регулярности в поступлении денежных средств аналогично как и в их размещении. Исследование финансового рынка позволяет банкам выявлять наиболее доходные сферы и направления приложения ресурсов, что позволяет в конечном итоге получать соответствующую прибыль. Следовательно, исходя из предполагаемых направлений размещения банковских ресурсов, требуется разработка стратегии формирования востребованной структуры фонда пассивов</w:t>
      </w:r>
      <w:r w:rsidR="00B518BE" w:rsidRPr="00802D35">
        <w:rPr>
          <w:rFonts w:ascii="Times New Roman" w:hAnsi="Times New Roman" w:cs="Times New Roman"/>
          <w:sz w:val="28"/>
          <w:szCs w:val="28"/>
        </w:rPr>
        <w:t>. Иными словами, фондирование приобретает характер целенаправленности.</w:t>
      </w:r>
    </w:p>
    <w:p w:rsidR="00B518BE" w:rsidRPr="00802D35" w:rsidRDefault="00B518BE" w:rsidP="0098288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Рассматривая такой подход на примере, можно отметить, что при планировании выдачи ипотечного займа на определенную сумму банку необходимо выбрать источник долгосрочных привлеченных средств (оптимальный вариант) или обеспечить регулярность поступлений средне и краткосрочных пассивов, что существенно повысит риски банка, поскольку возникновение задолженностей по займу приведет к необходимости поиска других источников погашения текущих обязательств. </w:t>
      </w:r>
    </w:p>
    <w:p w:rsidR="00A66463" w:rsidRPr="00802D35" w:rsidRDefault="00B518BE" w:rsidP="00A66463">
      <w:pPr>
        <w:spacing w:after="0" w:line="240" w:lineRule="auto"/>
        <w:ind w:firstLine="567"/>
        <w:jc w:val="both"/>
        <w:rPr>
          <w:rFonts w:ascii="Times New Roman" w:hAnsi="Times New Roman" w:cs="Times New Roman"/>
          <w:color w:val="000000"/>
          <w:sz w:val="28"/>
        </w:rPr>
      </w:pPr>
      <w:r w:rsidRPr="00802D35">
        <w:rPr>
          <w:rFonts w:ascii="Times New Roman" w:hAnsi="Times New Roman" w:cs="Times New Roman"/>
          <w:sz w:val="28"/>
          <w:szCs w:val="28"/>
        </w:rPr>
        <w:t>Учитывая тот факт, что банки привлекают значительные суммы и осуществляют множество рисковых активных операций, фондирование должно быть управляемым и контролируемым процессом</w:t>
      </w:r>
      <w:r w:rsidR="00250E68" w:rsidRPr="00802D35">
        <w:rPr>
          <w:rFonts w:ascii="Times New Roman" w:hAnsi="Times New Roman" w:cs="Times New Roman"/>
          <w:sz w:val="28"/>
          <w:szCs w:val="28"/>
        </w:rPr>
        <w:t xml:space="preserve">. Это касается как внутреннего управленческого контроля, так и внешнего надзора и регулирования со стороны Национального банка Республики Казахстан. Такого рода надзор включает в себя выполнение банками пруденциальных нормативов в отношении капитала, резервов и ликвидности активов. В частности, </w:t>
      </w:r>
      <w:r w:rsidR="00B06328" w:rsidRPr="00802D35">
        <w:rPr>
          <w:rFonts w:ascii="Times New Roman" w:hAnsi="Times New Roman" w:cs="Times New Roman"/>
          <w:sz w:val="28"/>
          <w:szCs w:val="28"/>
        </w:rPr>
        <w:t xml:space="preserve">Закона РК, регламентирующего страхование депозитов, банки-участники СОГД обязаны выплачивать соответствующие обязательные, дополнительные и </w:t>
      </w:r>
      <w:r w:rsidR="00B06328" w:rsidRPr="00802D35">
        <w:rPr>
          <w:rFonts w:ascii="Times New Roman" w:hAnsi="Times New Roman" w:cs="Times New Roman"/>
          <w:sz w:val="28"/>
          <w:szCs w:val="28"/>
        </w:rPr>
        <w:lastRenderedPageBreak/>
        <w:t>чрезвычайные взносы [</w:t>
      </w:r>
      <w:r w:rsidR="000B0564" w:rsidRPr="00802D35">
        <w:rPr>
          <w:rFonts w:ascii="Times New Roman" w:hAnsi="Times New Roman" w:cs="Times New Roman"/>
          <w:sz w:val="28"/>
          <w:szCs w:val="28"/>
        </w:rPr>
        <w:t>37</w:t>
      </w:r>
      <w:r w:rsidR="00B06328" w:rsidRPr="00802D35">
        <w:rPr>
          <w:rFonts w:ascii="Times New Roman" w:hAnsi="Times New Roman" w:cs="Times New Roman"/>
          <w:sz w:val="28"/>
          <w:szCs w:val="28"/>
        </w:rPr>
        <w:t xml:space="preserve">]. </w:t>
      </w:r>
      <w:r w:rsidR="00A66463" w:rsidRPr="00802D35">
        <w:rPr>
          <w:rFonts w:ascii="Times New Roman" w:hAnsi="Times New Roman" w:cs="Times New Roman"/>
          <w:sz w:val="28"/>
          <w:szCs w:val="28"/>
        </w:rPr>
        <w:t>Также, согласно Постановления Правления НБРК БВУ обязаны придерживаться нормативов ликвидности, покрытия ликвидности и нетто-стабильного фондирования [</w:t>
      </w:r>
      <w:r w:rsidR="000B0564" w:rsidRPr="00802D35">
        <w:rPr>
          <w:rFonts w:ascii="Times New Roman" w:hAnsi="Times New Roman" w:cs="Times New Roman"/>
          <w:sz w:val="28"/>
          <w:szCs w:val="28"/>
        </w:rPr>
        <w:t>38</w:t>
      </w:r>
      <w:r w:rsidR="00A66463" w:rsidRPr="00802D35">
        <w:rPr>
          <w:rFonts w:ascii="Times New Roman" w:hAnsi="Times New Roman" w:cs="Times New Roman"/>
          <w:color w:val="000000"/>
          <w:sz w:val="28"/>
        </w:rPr>
        <w:t>].</w:t>
      </w:r>
    </w:p>
    <w:p w:rsidR="00A66463" w:rsidRPr="00802D35" w:rsidRDefault="00A66463" w:rsidP="00A66463">
      <w:pPr>
        <w:spacing w:after="0" w:line="240" w:lineRule="auto"/>
        <w:ind w:firstLine="567"/>
        <w:jc w:val="both"/>
        <w:rPr>
          <w:rFonts w:ascii="Times New Roman" w:hAnsi="Times New Roman" w:cs="Times New Roman"/>
          <w:color w:val="000000"/>
          <w:sz w:val="28"/>
        </w:rPr>
      </w:pPr>
      <w:r w:rsidRPr="00802D35">
        <w:rPr>
          <w:rFonts w:ascii="Times New Roman" w:hAnsi="Times New Roman" w:cs="Times New Roman"/>
          <w:color w:val="000000"/>
          <w:sz w:val="28"/>
        </w:rPr>
        <w:t>Фондирование банковской деятельности рассматривается нами как процесс</w:t>
      </w:r>
      <w:r w:rsidR="00B74058" w:rsidRPr="00802D35">
        <w:rPr>
          <w:rFonts w:ascii="Times New Roman" w:hAnsi="Times New Roman" w:cs="Times New Roman"/>
          <w:color w:val="000000"/>
          <w:sz w:val="28"/>
        </w:rPr>
        <w:t>. Такой подход обосновывается нами ввиду наличия закономерного и последовательного перехода от одних действий к другим</w:t>
      </w:r>
      <w:r w:rsidR="00747706" w:rsidRPr="00802D35">
        <w:rPr>
          <w:rFonts w:ascii="Times New Roman" w:hAnsi="Times New Roman" w:cs="Times New Roman"/>
          <w:color w:val="000000"/>
          <w:sz w:val="28"/>
        </w:rPr>
        <w:t xml:space="preserve"> посредством выполнения определенных стадий. Как было указано ранее, фондирование предполагает создание фонда средств, аккумулирование и финансирование активных операций банка. При этом, для повышения эффективности фондирования привлечение свободных ресурсов должно базироваться на принципе наименьшей стоимости, то есть сокращения по возможности ставки фондирования привлечения и установлении более высоких ставок фондирования размещения.</w:t>
      </w:r>
    </w:p>
    <w:p w:rsidR="00747706" w:rsidRPr="00802D35" w:rsidRDefault="00747706" w:rsidP="00A66463">
      <w:pPr>
        <w:spacing w:after="0" w:line="240" w:lineRule="auto"/>
        <w:ind w:firstLine="567"/>
        <w:jc w:val="both"/>
        <w:rPr>
          <w:rFonts w:ascii="Times New Roman" w:hAnsi="Times New Roman" w:cs="Times New Roman"/>
          <w:color w:val="000000"/>
          <w:sz w:val="28"/>
        </w:rPr>
      </w:pPr>
      <w:r w:rsidRPr="00802D35">
        <w:rPr>
          <w:rFonts w:ascii="Times New Roman" w:hAnsi="Times New Roman" w:cs="Times New Roman"/>
          <w:color w:val="000000"/>
          <w:sz w:val="28"/>
        </w:rPr>
        <w:t>И, наконец, представленное нами определение фондирования деятельности банков</w:t>
      </w:r>
      <w:r w:rsidR="00E7545F" w:rsidRPr="00802D35">
        <w:rPr>
          <w:rFonts w:ascii="Times New Roman" w:hAnsi="Times New Roman" w:cs="Times New Roman"/>
          <w:color w:val="000000"/>
          <w:sz w:val="28"/>
        </w:rPr>
        <w:t xml:space="preserve"> предполагает трансформацию сформированного банком фонда ресурсов в источник финансирования банковских операций. Весь процесс фондирования основывается на преобразовании полученных (привлеченных) ресурсов сначала в банковские ресурсы, а затем в средства финансирования, в результате чего образуется прибыль банка. </w:t>
      </w:r>
    </w:p>
    <w:p w:rsidR="00C11330" w:rsidRPr="00802D35" w:rsidRDefault="0064280C" w:rsidP="00A66463">
      <w:pPr>
        <w:spacing w:after="0" w:line="240" w:lineRule="auto"/>
        <w:ind w:firstLine="567"/>
        <w:jc w:val="both"/>
        <w:rPr>
          <w:rFonts w:ascii="Times New Roman" w:hAnsi="Times New Roman" w:cs="Times New Roman"/>
          <w:color w:val="000000"/>
          <w:sz w:val="28"/>
        </w:rPr>
      </w:pPr>
      <w:r w:rsidRPr="00802D35">
        <w:rPr>
          <w:rFonts w:ascii="Times New Roman" w:hAnsi="Times New Roman" w:cs="Times New Roman"/>
          <w:color w:val="000000"/>
          <w:sz w:val="28"/>
        </w:rPr>
        <w:t xml:space="preserve">Таким образом, проведенный нами анализ и обобщение имеющихся подходов к сущности определения фондирования банков позволяет рассматривать его экономическую природу с точки зрения расширения содержания данного понятия. Все имеющиеся ранее подходы либо представляли лишь одну сторону фондирования, либо проводили параллель с понятием финансирования. Более того, до настоящего времени экономическая научная литература не располагает устоявшимся и четким определением рассматриваемого нами понятия. </w:t>
      </w:r>
    </w:p>
    <w:p w:rsidR="00A66463" w:rsidRPr="00802D35" w:rsidRDefault="006805DC" w:rsidP="00A66463">
      <w:pPr>
        <w:spacing w:after="0" w:line="240" w:lineRule="auto"/>
        <w:ind w:firstLine="567"/>
        <w:jc w:val="both"/>
        <w:rPr>
          <w:rFonts w:ascii="Times New Roman" w:hAnsi="Times New Roman" w:cs="Times New Roman"/>
        </w:rPr>
      </w:pPr>
      <w:r w:rsidRPr="00802D35">
        <w:rPr>
          <w:rFonts w:ascii="Times New Roman" w:hAnsi="Times New Roman" w:cs="Times New Roman"/>
          <w:color w:val="000000"/>
          <w:sz w:val="28"/>
        </w:rPr>
        <w:t>Предлагаемый нами подход к содержанию фондирования как возобновляемому и управляемому процессу позволяет более полно и всесторонне раскрыть сущность понятия фондирования не только с теоретической, но и практической точки зрения, поскольку представление фондирования в виде поэтапного процесса позволит разработать эффективную стратегию формирования и управления ресурсами банка.</w:t>
      </w:r>
    </w:p>
    <w:p w:rsidR="00B518BE" w:rsidRPr="00802D35" w:rsidRDefault="00B518BE" w:rsidP="00A66463">
      <w:pPr>
        <w:widowControl w:val="0"/>
        <w:spacing w:after="0" w:line="240" w:lineRule="auto"/>
        <w:ind w:firstLine="567"/>
        <w:jc w:val="both"/>
        <w:rPr>
          <w:rFonts w:ascii="Times New Roman" w:hAnsi="Times New Roman" w:cs="Times New Roman"/>
          <w:sz w:val="28"/>
          <w:szCs w:val="28"/>
        </w:rPr>
      </w:pPr>
    </w:p>
    <w:p w:rsidR="00CD0B20" w:rsidRPr="00802D35" w:rsidRDefault="00CD0B20" w:rsidP="00CD0B20">
      <w:pPr>
        <w:widowControl w:val="0"/>
        <w:tabs>
          <w:tab w:val="left" w:pos="8942"/>
        </w:tabs>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b/>
          <w:sz w:val="28"/>
          <w:szCs w:val="28"/>
        </w:rPr>
        <w:t>1.2 Фондирование как драйвер конкурентоустойчивости банков второго уровня</w:t>
      </w:r>
    </w:p>
    <w:p w:rsidR="006805DC" w:rsidRPr="00802D35" w:rsidRDefault="006805DC" w:rsidP="00CD0B20">
      <w:pPr>
        <w:widowControl w:val="0"/>
        <w:tabs>
          <w:tab w:val="left" w:pos="8942"/>
        </w:tabs>
        <w:spacing w:after="0" w:line="240" w:lineRule="auto"/>
        <w:ind w:firstLine="567"/>
        <w:jc w:val="both"/>
        <w:rPr>
          <w:rFonts w:ascii="Times New Roman" w:hAnsi="Times New Roman" w:cs="Times New Roman"/>
          <w:b/>
          <w:sz w:val="28"/>
          <w:szCs w:val="28"/>
        </w:rPr>
      </w:pPr>
    </w:p>
    <w:p w:rsidR="008927F2" w:rsidRPr="00802D35" w:rsidRDefault="008927F2"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Как было рассмотрено выше, существует устойчивая разница между понятиями фондирования и финансирования деятельности банков. При этом, на основании проведенного анализа нами было выведено понятие фондирования банковской деятельности, которое представляет собой континуальный, целенаправленный и контролируемый процесс формирования фонда финансовых ресурсов с наименьшей стоимостью и трансформации их в средства финансирования доходных активных операций </w:t>
      </w:r>
      <w:r w:rsidR="008B68BE" w:rsidRPr="00802D35">
        <w:rPr>
          <w:rFonts w:ascii="Times New Roman" w:hAnsi="Times New Roman" w:cs="Times New Roman"/>
          <w:sz w:val="28"/>
          <w:szCs w:val="28"/>
        </w:rPr>
        <w:t xml:space="preserve">в пределах имеющихся </w:t>
      </w:r>
      <w:r w:rsidR="008B68BE" w:rsidRPr="00802D35">
        <w:rPr>
          <w:rFonts w:ascii="Times New Roman" w:hAnsi="Times New Roman" w:cs="Times New Roman"/>
          <w:sz w:val="28"/>
          <w:szCs w:val="28"/>
        </w:rPr>
        <w:lastRenderedPageBreak/>
        <w:t xml:space="preserve">ресурсов </w:t>
      </w:r>
      <w:r w:rsidRPr="00802D35">
        <w:rPr>
          <w:rFonts w:ascii="Times New Roman" w:hAnsi="Times New Roman" w:cs="Times New Roman"/>
          <w:sz w:val="28"/>
          <w:szCs w:val="28"/>
        </w:rPr>
        <w:t>банка. Такой подход позволяет выделить основные характеристики фондирования, к которым, на наш взгляд можно отнести:</w:t>
      </w:r>
    </w:p>
    <w:p w:rsidR="008927F2" w:rsidRPr="00802D35" w:rsidRDefault="008927F2" w:rsidP="008927F2">
      <w:pPr>
        <w:pStyle w:val="a3"/>
        <w:widowControl w:val="0"/>
        <w:numPr>
          <w:ilvl w:val="0"/>
          <w:numId w:val="3"/>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Непрерывность;</w:t>
      </w:r>
    </w:p>
    <w:p w:rsidR="00105567" w:rsidRPr="00802D35" w:rsidRDefault="00105567" w:rsidP="008927F2">
      <w:pPr>
        <w:pStyle w:val="a3"/>
        <w:widowControl w:val="0"/>
        <w:numPr>
          <w:ilvl w:val="0"/>
          <w:numId w:val="3"/>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Баланс ресурсов;</w:t>
      </w:r>
    </w:p>
    <w:p w:rsidR="008927F2" w:rsidRPr="00802D35" w:rsidRDefault="008927F2" w:rsidP="008927F2">
      <w:pPr>
        <w:pStyle w:val="a3"/>
        <w:widowControl w:val="0"/>
        <w:numPr>
          <w:ilvl w:val="0"/>
          <w:numId w:val="3"/>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Целенаправленность;</w:t>
      </w:r>
    </w:p>
    <w:p w:rsidR="008B68BE" w:rsidRPr="00802D35" w:rsidRDefault="008B68BE" w:rsidP="008927F2">
      <w:pPr>
        <w:pStyle w:val="a3"/>
        <w:widowControl w:val="0"/>
        <w:numPr>
          <w:ilvl w:val="0"/>
          <w:numId w:val="3"/>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Пределы ресурсов;</w:t>
      </w:r>
    </w:p>
    <w:p w:rsidR="008927F2" w:rsidRPr="00802D35" w:rsidRDefault="008927F2" w:rsidP="008927F2">
      <w:pPr>
        <w:pStyle w:val="a3"/>
        <w:widowControl w:val="0"/>
        <w:numPr>
          <w:ilvl w:val="0"/>
          <w:numId w:val="3"/>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Мониторинг и контроль;</w:t>
      </w:r>
    </w:p>
    <w:p w:rsidR="008927F2" w:rsidRPr="00802D35" w:rsidRDefault="008927F2" w:rsidP="008927F2">
      <w:pPr>
        <w:pStyle w:val="a3"/>
        <w:widowControl w:val="0"/>
        <w:numPr>
          <w:ilvl w:val="0"/>
          <w:numId w:val="3"/>
        </w:num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Трансформация</w:t>
      </w:r>
      <w:r w:rsidR="005E3363" w:rsidRPr="00802D35">
        <w:rPr>
          <w:rFonts w:ascii="Times New Roman" w:hAnsi="Times New Roman" w:cs="Times New Roman"/>
          <w:sz w:val="28"/>
          <w:szCs w:val="28"/>
        </w:rPr>
        <w:t xml:space="preserve"> ресурсов</w:t>
      </w:r>
      <w:r w:rsidRPr="00802D35">
        <w:rPr>
          <w:rFonts w:ascii="Times New Roman" w:hAnsi="Times New Roman" w:cs="Times New Roman"/>
          <w:sz w:val="28"/>
          <w:szCs w:val="28"/>
        </w:rPr>
        <w:t>.</w:t>
      </w:r>
    </w:p>
    <w:p w:rsidR="008927F2" w:rsidRPr="00802D35" w:rsidRDefault="008927F2"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Данные характерные особенности как ничто иное описывают процесс самого фондирования деятельности банков. Иными словами, поскольку банки второго уровня осуществляют свою деятельность преимущественно на базе привлеченных средств, то для обеспечения регулярности и постоянства своего функционирования банки должны обеспечить </w:t>
      </w:r>
      <w:r w:rsidRPr="00802D35">
        <w:rPr>
          <w:rFonts w:ascii="Times New Roman" w:hAnsi="Times New Roman" w:cs="Times New Roman"/>
          <w:i/>
          <w:sz w:val="28"/>
          <w:szCs w:val="28"/>
        </w:rPr>
        <w:t>непрерывный</w:t>
      </w:r>
      <w:r w:rsidRPr="00802D35">
        <w:rPr>
          <w:rFonts w:ascii="Times New Roman" w:hAnsi="Times New Roman" w:cs="Times New Roman"/>
          <w:sz w:val="28"/>
          <w:szCs w:val="28"/>
        </w:rPr>
        <w:t xml:space="preserve"> поток поступаемых ресурсов</w:t>
      </w:r>
      <w:r w:rsidR="00105567" w:rsidRPr="00802D35">
        <w:rPr>
          <w:rFonts w:ascii="Times New Roman" w:hAnsi="Times New Roman" w:cs="Times New Roman"/>
          <w:sz w:val="28"/>
          <w:szCs w:val="28"/>
        </w:rPr>
        <w:t xml:space="preserve">. Если в процессе осуществления деятельности банки столкнутся с длительным разрывом между поступлением средств и их распределением, они рискуют потерять ресурсный </w:t>
      </w:r>
      <w:r w:rsidR="00105567" w:rsidRPr="00802D35">
        <w:rPr>
          <w:rFonts w:ascii="Times New Roman" w:hAnsi="Times New Roman" w:cs="Times New Roman"/>
          <w:i/>
          <w:sz w:val="28"/>
          <w:szCs w:val="28"/>
        </w:rPr>
        <w:t>баланс</w:t>
      </w:r>
      <w:r w:rsidR="00105567" w:rsidRPr="00802D35">
        <w:rPr>
          <w:rFonts w:ascii="Times New Roman" w:hAnsi="Times New Roman" w:cs="Times New Roman"/>
          <w:sz w:val="28"/>
          <w:szCs w:val="28"/>
        </w:rPr>
        <w:t>, в результате чего у банка будут отсутствовать ресурсы для совершения активных операций, среди которых наиболее важными для экономики государства в целом являются кредитование и обеспечение расчетов. Одновременно, если у банка будет наблюдаться поступление средств при отсутствии возможностей и источников их реализации, то такой дисбаланс чреват возникновением проблемы избыточной ликвидности и как следствие дисфункционированием банков.</w:t>
      </w:r>
    </w:p>
    <w:p w:rsidR="00E73210" w:rsidRPr="00802D35" w:rsidRDefault="00105567"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Поскольку, как было уже сказано ранее, банки второго уровня представляют высокую значимость для развития экономики страны, то распределение поступаемых ресурсов должно быть не просто с целью получения наибольшей прибыли, но и носить </w:t>
      </w:r>
      <w:r w:rsidRPr="00802D35">
        <w:rPr>
          <w:rFonts w:ascii="Times New Roman" w:hAnsi="Times New Roman" w:cs="Times New Roman"/>
          <w:i/>
          <w:sz w:val="28"/>
          <w:szCs w:val="28"/>
        </w:rPr>
        <w:t>целенаправленный</w:t>
      </w:r>
      <w:r w:rsidRPr="00802D35">
        <w:rPr>
          <w:rFonts w:ascii="Times New Roman" w:hAnsi="Times New Roman" w:cs="Times New Roman"/>
          <w:sz w:val="28"/>
          <w:szCs w:val="28"/>
        </w:rPr>
        <w:t xml:space="preserve"> характер. </w:t>
      </w:r>
      <w:r w:rsidR="005E3363" w:rsidRPr="00802D35">
        <w:rPr>
          <w:rFonts w:ascii="Times New Roman" w:hAnsi="Times New Roman" w:cs="Times New Roman"/>
          <w:sz w:val="28"/>
          <w:szCs w:val="28"/>
        </w:rPr>
        <w:t>Иными словами, банки разрабатывают кредитную, инвестиционную, процентную</w:t>
      </w:r>
      <w:r w:rsidR="00E73210" w:rsidRPr="00802D35">
        <w:rPr>
          <w:rFonts w:ascii="Times New Roman" w:hAnsi="Times New Roman" w:cs="Times New Roman"/>
          <w:sz w:val="28"/>
          <w:szCs w:val="28"/>
        </w:rPr>
        <w:t>, депозитную политики</w:t>
      </w:r>
      <w:r w:rsidR="005E3363" w:rsidRPr="00802D35">
        <w:rPr>
          <w:rFonts w:ascii="Times New Roman" w:hAnsi="Times New Roman" w:cs="Times New Roman"/>
          <w:sz w:val="28"/>
          <w:szCs w:val="28"/>
        </w:rPr>
        <w:t xml:space="preserve"> и т.п. Все они взаимосвязаны и имеют целевое предназначение. </w:t>
      </w:r>
    </w:p>
    <w:p w:rsidR="00105567" w:rsidRPr="00802D35" w:rsidRDefault="00E73210"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Обеспечение целенаправленности тесно переплетается с ресурсным балансом</w:t>
      </w:r>
      <w:r w:rsidR="00337765" w:rsidRPr="00802D35">
        <w:rPr>
          <w:rFonts w:ascii="Times New Roman" w:hAnsi="Times New Roman" w:cs="Times New Roman"/>
          <w:sz w:val="28"/>
          <w:szCs w:val="28"/>
        </w:rPr>
        <w:t xml:space="preserve">, поскольку банки осуществляют свою деятельность в </w:t>
      </w:r>
      <w:r w:rsidR="00337765" w:rsidRPr="00802D35">
        <w:rPr>
          <w:rFonts w:ascii="Times New Roman" w:hAnsi="Times New Roman" w:cs="Times New Roman"/>
          <w:i/>
          <w:sz w:val="28"/>
          <w:szCs w:val="28"/>
        </w:rPr>
        <w:t>пределах</w:t>
      </w:r>
      <w:r w:rsidR="00337765" w:rsidRPr="00802D35">
        <w:rPr>
          <w:rFonts w:ascii="Times New Roman" w:hAnsi="Times New Roman" w:cs="Times New Roman"/>
          <w:sz w:val="28"/>
          <w:szCs w:val="28"/>
        </w:rPr>
        <w:t xml:space="preserve"> имеющихся в их распоряжении ресурсов</w:t>
      </w:r>
      <w:r w:rsidRPr="00802D35">
        <w:rPr>
          <w:rFonts w:ascii="Times New Roman" w:hAnsi="Times New Roman" w:cs="Times New Roman"/>
          <w:sz w:val="28"/>
          <w:szCs w:val="28"/>
        </w:rPr>
        <w:t xml:space="preserve">. Большую значимость приобретает не только соответствие количества имеющихся в распоряжении банка ресурсов с количеством осуществляемых банком вложений, но и соответствие характера активов банка специфике и  особенностям мобилизованных ресурсов. В данном случае особую важность приобретает соблюдение баланса сроков привлекаемых ресурсов и размещаемых средств. В частности, если банк привлекает свободные ресурсы на краткосрочной основе и при этом размещает их </w:t>
      </w:r>
      <w:r w:rsidR="00337765" w:rsidRPr="00802D35">
        <w:rPr>
          <w:rFonts w:ascii="Times New Roman" w:hAnsi="Times New Roman" w:cs="Times New Roman"/>
          <w:sz w:val="28"/>
          <w:szCs w:val="28"/>
        </w:rPr>
        <w:t xml:space="preserve">главным образом в долгосрочные кредиты, то это чревато возникновением риска ликвидности, поскольку способность банка выплачивать по своим обязательствам приобретает проблемный характер. Одновременно, смещение баланса в структуре активов банка в сторону преимущественно рисковых форм кредитов приводит к необходимости увеличения доли собственных средств в структуре источников фондирования. </w:t>
      </w:r>
    </w:p>
    <w:p w:rsidR="008B68BE" w:rsidRPr="00802D35" w:rsidRDefault="00337765"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 xml:space="preserve">Таким образом, деятельность банка зависит от структуры и характера его пассивов, то есть источников фондирования, что приводит к необходимости как внутреннего управленческого мониторинга, так и нормативного регулирования осуществляемой банковской деятельности. При этом, регулирование со стороны центральных банков осуществляется посредством </w:t>
      </w:r>
      <w:r w:rsidR="008B5835" w:rsidRPr="00802D35">
        <w:rPr>
          <w:rFonts w:ascii="Times New Roman" w:hAnsi="Times New Roman" w:cs="Times New Roman"/>
          <w:sz w:val="28"/>
          <w:szCs w:val="28"/>
        </w:rPr>
        <w:t>косвенных экономических методов.</w:t>
      </w:r>
    </w:p>
    <w:p w:rsidR="008B5835" w:rsidRPr="00802D35" w:rsidRDefault="008B5835"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итоге деятельность банка строится на обеспечении </w:t>
      </w:r>
      <w:r w:rsidRPr="00802D35">
        <w:rPr>
          <w:rFonts w:ascii="Times New Roman" w:hAnsi="Times New Roman" w:cs="Times New Roman"/>
          <w:i/>
          <w:sz w:val="28"/>
          <w:szCs w:val="28"/>
        </w:rPr>
        <w:t xml:space="preserve">трансформации </w:t>
      </w:r>
      <w:r w:rsidRPr="00802D35">
        <w:rPr>
          <w:rFonts w:ascii="Times New Roman" w:hAnsi="Times New Roman" w:cs="Times New Roman"/>
          <w:sz w:val="28"/>
          <w:szCs w:val="28"/>
        </w:rPr>
        <w:t xml:space="preserve">ресурсов из одного их состояния в другое. Привлекаемые банком средства поступают в единый фонд и обретают своего рода обезличенность. Вместе с тем, </w:t>
      </w:r>
      <w:r w:rsidR="00E741DC" w:rsidRPr="00802D35">
        <w:rPr>
          <w:rFonts w:ascii="Times New Roman" w:hAnsi="Times New Roman" w:cs="Times New Roman"/>
          <w:sz w:val="28"/>
          <w:szCs w:val="28"/>
        </w:rPr>
        <w:t xml:space="preserve">банку необходимо, как было сказано ранее, соблюдать сроки поступаемых и размещаемых ресурсов. Более того, трансформация пассивов в активы должна выполняться с соблюдением принципа прибыльности. Иными словами, стоимость привлечения средств должна быть ниже стоимости их размещения. </w:t>
      </w:r>
      <w:r w:rsidR="00390C18" w:rsidRPr="00802D35">
        <w:rPr>
          <w:rFonts w:ascii="Times New Roman" w:hAnsi="Times New Roman" w:cs="Times New Roman"/>
          <w:sz w:val="28"/>
          <w:szCs w:val="28"/>
        </w:rPr>
        <w:t>Поступаемые в банк свободные денежные ресурсы трансформируются в ссуды, инвестиции и прочие активы банка, которые приносят соответствующую прибыль. Поскольку поступления средств выступают непосредственными банковскими обязательствами, то их размещение должно приносить больший доход, чем процент, оплачиваемый банком по этим обязательствам. Иными словами, трансформация банковских ресурсов должна приносить прибыльный или социальный эффект (в случаях, когда банки принимает участие в государственных программах и политиках).</w:t>
      </w:r>
    </w:p>
    <w:p w:rsidR="008E64EA" w:rsidRPr="00802D35" w:rsidRDefault="00390C18"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Таким образом, все вышесказанное вновь подчеркивает важность и значимость фондирования в деятельности банков. </w:t>
      </w:r>
      <w:r w:rsidR="008E64EA" w:rsidRPr="00802D35">
        <w:rPr>
          <w:rFonts w:ascii="Times New Roman" w:hAnsi="Times New Roman" w:cs="Times New Roman"/>
          <w:sz w:val="28"/>
          <w:szCs w:val="28"/>
        </w:rPr>
        <w:t xml:space="preserve">Фондирование, выступая процессом трансформации ресурсов, вызывает необходимость формирования определенного эффективного механизма, обеспечивающего создание рациональной структуры источников фондирования деятельности банков, трансформации поступаемых средств в единый фонд финансовых ресурсов и последующей трансформации этих ресурсов в финансовые активы. </w:t>
      </w:r>
    </w:p>
    <w:p w:rsidR="00390C18" w:rsidRPr="00802D35" w:rsidRDefault="008E64EA"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результате, поскольку основными источниками фондирования становятся привлекаемые банком ресурсы, которые по своей природе являются ограниченными, то деятельность банков в пределах имеющихся в их распоряжении ресурсов создает реальную потребность в борьбе за эти средства. </w:t>
      </w:r>
      <w:r w:rsidR="003D6D72" w:rsidRPr="00802D35">
        <w:rPr>
          <w:rFonts w:ascii="Times New Roman" w:hAnsi="Times New Roman" w:cs="Times New Roman"/>
          <w:sz w:val="28"/>
          <w:szCs w:val="28"/>
        </w:rPr>
        <w:t>Иными словами, ограниченность ресурсов на рынке и потребность в организации непрерывности их поступления в банк с целью обеспечения бесперебойности деятельности банков создает актуальные предпосылки развития конкуренции на банковском рынке.</w:t>
      </w:r>
      <w:r w:rsidR="001F55CA" w:rsidRPr="00802D35">
        <w:rPr>
          <w:rFonts w:ascii="Times New Roman" w:hAnsi="Times New Roman" w:cs="Times New Roman"/>
          <w:sz w:val="28"/>
          <w:szCs w:val="28"/>
        </w:rPr>
        <w:t xml:space="preserve"> Учитывая тот факт, что привлекаемые ресурсы выступают движущей силой, катализаторами роста прибыльности банка, то фондирование становится драйвером финансовой стабильности банка. Одновременно, поскольку рациональная структура фондирования характеризует конкурентоспособность банка, то фондирование выступает драйвером его конкурентоустойчивости. </w:t>
      </w:r>
    </w:p>
    <w:p w:rsidR="0010666A" w:rsidRPr="00802D35" w:rsidRDefault="00545113"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Почему именно конкурентоустойчивости, а не конкурентоспособности? </w:t>
      </w:r>
      <w:r w:rsidR="006742FB" w:rsidRPr="00802D35">
        <w:rPr>
          <w:rFonts w:ascii="Times New Roman" w:hAnsi="Times New Roman" w:cs="Times New Roman"/>
          <w:sz w:val="28"/>
          <w:szCs w:val="28"/>
        </w:rPr>
        <w:t xml:space="preserve">Как известно, конкурентоспособность банка подразумевает его возможности предоставления услуг, удовлетворяющих потребностям клиентов, погашения </w:t>
      </w:r>
      <w:r w:rsidR="006742FB" w:rsidRPr="00802D35">
        <w:rPr>
          <w:rFonts w:ascii="Times New Roman" w:hAnsi="Times New Roman" w:cs="Times New Roman"/>
          <w:sz w:val="28"/>
          <w:szCs w:val="28"/>
        </w:rPr>
        <w:lastRenderedPageBreak/>
        <w:t xml:space="preserve">своих обязательств, позиционирования банка на рынке, представления соперничества другим банкам. </w:t>
      </w:r>
    </w:p>
    <w:p w:rsidR="008B68BE" w:rsidRPr="00802D35" w:rsidRDefault="00545113" w:rsidP="008927F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Если понятие «конкурентоспособность» является широко используемым и устойчивым в финансовой и экономической литературе, то понятие «конкурентоустойчивость» вызывает в сравнении с предыдущим понятием некоторые вопросы. </w:t>
      </w:r>
      <w:r w:rsidR="00574D93" w:rsidRPr="00802D35">
        <w:rPr>
          <w:rFonts w:ascii="Times New Roman" w:hAnsi="Times New Roman" w:cs="Times New Roman"/>
          <w:sz w:val="28"/>
          <w:szCs w:val="28"/>
        </w:rPr>
        <w:t xml:space="preserve">Анализ и обобщение имеющихся в экономической литературе определений конкурентоустойчивости </w:t>
      </w:r>
      <w:r w:rsidR="0007447D" w:rsidRPr="00802D35">
        <w:rPr>
          <w:rFonts w:ascii="Times New Roman" w:hAnsi="Times New Roman" w:cs="Times New Roman"/>
          <w:sz w:val="28"/>
          <w:szCs w:val="28"/>
        </w:rPr>
        <w:t xml:space="preserve">позволил выявить следующее. Так, </w:t>
      </w:r>
      <w:r w:rsidR="006742FB" w:rsidRPr="00802D35">
        <w:rPr>
          <w:rFonts w:ascii="Times New Roman" w:hAnsi="Times New Roman" w:cs="Times New Roman"/>
          <w:sz w:val="28"/>
          <w:szCs w:val="28"/>
        </w:rPr>
        <w:t>Бельская О.Л. рассматривает к</w:t>
      </w:r>
      <w:r w:rsidR="0007447D" w:rsidRPr="00802D35">
        <w:rPr>
          <w:rFonts w:ascii="Times New Roman" w:hAnsi="Times New Roman" w:cs="Times New Roman"/>
          <w:sz w:val="28"/>
          <w:szCs w:val="28"/>
        </w:rPr>
        <w:t xml:space="preserve">онкурентоустойчивость </w:t>
      </w:r>
      <w:r w:rsidR="006742FB" w:rsidRPr="00802D35">
        <w:rPr>
          <w:rFonts w:ascii="Times New Roman" w:hAnsi="Times New Roman" w:cs="Times New Roman"/>
          <w:sz w:val="28"/>
          <w:szCs w:val="28"/>
        </w:rPr>
        <w:t>в качестве</w:t>
      </w:r>
      <w:r w:rsidR="0007447D" w:rsidRPr="00802D35">
        <w:rPr>
          <w:rFonts w:ascii="Times New Roman" w:hAnsi="Times New Roman" w:cs="Times New Roman"/>
          <w:sz w:val="28"/>
          <w:szCs w:val="28"/>
        </w:rPr>
        <w:t xml:space="preserve"> способност</w:t>
      </w:r>
      <w:r w:rsidR="006742FB" w:rsidRPr="00802D35">
        <w:rPr>
          <w:rFonts w:ascii="Times New Roman" w:hAnsi="Times New Roman" w:cs="Times New Roman"/>
          <w:sz w:val="28"/>
          <w:szCs w:val="28"/>
        </w:rPr>
        <w:t xml:space="preserve">и экономического субъекта </w:t>
      </w:r>
      <w:r w:rsidR="0007447D" w:rsidRPr="00802D35">
        <w:rPr>
          <w:rFonts w:ascii="Times New Roman" w:hAnsi="Times New Roman" w:cs="Times New Roman"/>
          <w:sz w:val="28"/>
          <w:szCs w:val="28"/>
        </w:rPr>
        <w:t xml:space="preserve">противостоять негативным факторам </w:t>
      </w:r>
      <w:r w:rsidR="006742FB" w:rsidRPr="00802D35">
        <w:rPr>
          <w:rFonts w:ascii="Times New Roman" w:hAnsi="Times New Roman" w:cs="Times New Roman"/>
          <w:sz w:val="28"/>
          <w:szCs w:val="28"/>
        </w:rPr>
        <w:t>внутренней и внешней среды</w:t>
      </w:r>
      <w:r w:rsidR="0007447D" w:rsidRPr="00802D35">
        <w:rPr>
          <w:rFonts w:ascii="Times New Roman" w:hAnsi="Times New Roman" w:cs="Times New Roman"/>
          <w:sz w:val="28"/>
          <w:szCs w:val="28"/>
        </w:rPr>
        <w:t xml:space="preserve"> [</w:t>
      </w:r>
      <w:r w:rsidR="000B0564" w:rsidRPr="00802D35">
        <w:rPr>
          <w:rFonts w:ascii="Times New Roman" w:hAnsi="Times New Roman" w:cs="Times New Roman"/>
          <w:sz w:val="28"/>
          <w:szCs w:val="28"/>
        </w:rPr>
        <w:t>39</w:t>
      </w:r>
      <w:r w:rsidR="0007447D" w:rsidRPr="00802D35">
        <w:rPr>
          <w:rFonts w:ascii="Times New Roman" w:hAnsi="Times New Roman" w:cs="Times New Roman"/>
          <w:sz w:val="28"/>
          <w:szCs w:val="28"/>
        </w:rPr>
        <w:t>]. Тридед</w:t>
      </w:r>
      <w:r w:rsidR="003F140C" w:rsidRPr="00802D35">
        <w:rPr>
          <w:rFonts w:ascii="Times New Roman" w:hAnsi="Times New Roman" w:cs="Times New Roman"/>
          <w:sz w:val="28"/>
          <w:szCs w:val="28"/>
        </w:rPr>
        <w:t xml:space="preserve"> А. Н. </w:t>
      </w:r>
      <w:r w:rsidR="0007447D" w:rsidRPr="00802D35">
        <w:rPr>
          <w:rFonts w:ascii="Times New Roman" w:hAnsi="Times New Roman" w:cs="Times New Roman"/>
          <w:sz w:val="28"/>
          <w:szCs w:val="28"/>
        </w:rPr>
        <w:t xml:space="preserve"> </w:t>
      </w:r>
      <w:r w:rsidR="006742FB" w:rsidRPr="00802D35">
        <w:rPr>
          <w:rFonts w:ascii="Times New Roman" w:hAnsi="Times New Roman" w:cs="Times New Roman"/>
          <w:sz w:val="28"/>
          <w:szCs w:val="28"/>
        </w:rPr>
        <w:t xml:space="preserve">предпочитает рассматривать </w:t>
      </w:r>
      <w:r w:rsidR="0007447D" w:rsidRPr="00802D35">
        <w:rPr>
          <w:rFonts w:ascii="Times New Roman" w:hAnsi="Times New Roman" w:cs="Times New Roman"/>
          <w:sz w:val="28"/>
          <w:szCs w:val="28"/>
        </w:rPr>
        <w:t xml:space="preserve">конкурентоустойчивость </w:t>
      </w:r>
      <w:r w:rsidR="006742FB" w:rsidRPr="00802D35">
        <w:rPr>
          <w:rFonts w:ascii="Times New Roman" w:hAnsi="Times New Roman" w:cs="Times New Roman"/>
          <w:sz w:val="28"/>
          <w:szCs w:val="28"/>
        </w:rPr>
        <w:t>как</w:t>
      </w:r>
      <w:r w:rsidR="0007447D" w:rsidRPr="00802D35">
        <w:rPr>
          <w:rFonts w:ascii="Times New Roman" w:hAnsi="Times New Roman" w:cs="Times New Roman"/>
          <w:sz w:val="28"/>
          <w:szCs w:val="28"/>
        </w:rPr>
        <w:t xml:space="preserve"> способность противостоять влиянию </w:t>
      </w:r>
      <w:r w:rsidR="006742FB" w:rsidRPr="00802D35">
        <w:rPr>
          <w:rFonts w:ascii="Times New Roman" w:hAnsi="Times New Roman" w:cs="Times New Roman"/>
          <w:sz w:val="28"/>
          <w:szCs w:val="28"/>
        </w:rPr>
        <w:t xml:space="preserve">внешних </w:t>
      </w:r>
      <w:r w:rsidR="0007447D" w:rsidRPr="00802D35">
        <w:rPr>
          <w:rFonts w:ascii="Times New Roman" w:hAnsi="Times New Roman" w:cs="Times New Roman"/>
          <w:sz w:val="28"/>
          <w:szCs w:val="28"/>
        </w:rPr>
        <w:t xml:space="preserve">факторов </w:t>
      </w:r>
      <w:r w:rsidR="006742FB" w:rsidRPr="00802D35">
        <w:rPr>
          <w:rFonts w:ascii="Times New Roman" w:hAnsi="Times New Roman" w:cs="Times New Roman"/>
          <w:sz w:val="28"/>
          <w:szCs w:val="28"/>
        </w:rPr>
        <w:t>на деятельность экономического субъекта по сравнению с другими</w:t>
      </w:r>
      <w:r w:rsidR="0007447D" w:rsidRPr="00802D35">
        <w:rPr>
          <w:rFonts w:ascii="Times New Roman" w:hAnsi="Times New Roman" w:cs="Times New Roman"/>
          <w:sz w:val="28"/>
          <w:szCs w:val="28"/>
        </w:rPr>
        <w:t>  [</w:t>
      </w:r>
      <w:r w:rsidR="000B0564" w:rsidRPr="00802D35">
        <w:rPr>
          <w:rFonts w:ascii="Times New Roman" w:hAnsi="Times New Roman" w:cs="Times New Roman"/>
          <w:sz w:val="28"/>
          <w:szCs w:val="28"/>
        </w:rPr>
        <w:t>40</w:t>
      </w:r>
      <w:r w:rsidR="0007447D" w:rsidRPr="00802D35">
        <w:rPr>
          <w:rFonts w:ascii="Times New Roman" w:hAnsi="Times New Roman" w:cs="Times New Roman"/>
          <w:sz w:val="28"/>
          <w:szCs w:val="28"/>
        </w:rPr>
        <w:t xml:space="preserve">]. </w:t>
      </w:r>
      <w:r w:rsidR="006742FB" w:rsidRPr="00802D35">
        <w:rPr>
          <w:rFonts w:ascii="Times New Roman" w:hAnsi="Times New Roman" w:cs="Times New Roman"/>
          <w:sz w:val="28"/>
          <w:szCs w:val="28"/>
        </w:rPr>
        <w:t>Фасхиев Х. А.</w:t>
      </w:r>
      <w:r w:rsidR="0007447D" w:rsidRPr="00802D35">
        <w:rPr>
          <w:rFonts w:ascii="Times New Roman" w:hAnsi="Times New Roman" w:cs="Times New Roman"/>
          <w:sz w:val="28"/>
          <w:szCs w:val="28"/>
        </w:rPr>
        <w:t xml:space="preserve"> </w:t>
      </w:r>
      <w:r w:rsidR="006742FB" w:rsidRPr="00802D35">
        <w:rPr>
          <w:rFonts w:ascii="Times New Roman" w:hAnsi="Times New Roman" w:cs="Times New Roman"/>
          <w:sz w:val="28"/>
          <w:szCs w:val="28"/>
        </w:rPr>
        <w:t>полагает</w:t>
      </w:r>
      <w:r w:rsidR="0007447D" w:rsidRPr="00802D35">
        <w:rPr>
          <w:rFonts w:ascii="Times New Roman" w:hAnsi="Times New Roman" w:cs="Times New Roman"/>
          <w:sz w:val="28"/>
          <w:szCs w:val="28"/>
        </w:rPr>
        <w:t xml:space="preserve">, что конкурентоустойчивость </w:t>
      </w:r>
      <w:r w:rsidR="006742FB" w:rsidRPr="00802D35">
        <w:rPr>
          <w:rFonts w:ascii="Times New Roman" w:hAnsi="Times New Roman" w:cs="Times New Roman"/>
          <w:sz w:val="28"/>
          <w:szCs w:val="28"/>
        </w:rPr>
        <w:t xml:space="preserve">– это </w:t>
      </w:r>
      <w:r w:rsidR="0007447D" w:rsidRPr="00802D35">
        <w:rPr>
          <w:rFonts w:ascii="Times New Roman" w:hAnsi="Times New Roman" w:cs="Times New Roman"/>
          <w:sz w:val="28"/>
          <w:szCs w:val="28"/>
        </w:rPr>
        <w:t>возможность удержа</w:t>
      </w:r>
      <w:r w:rsidR="006742FB" w:rsidRPr="00802D35">
        <w:rPr>
          <w:rFonts w:ascii="Times New Roman" w:hAnsi="Times New Roman" w:cs="Times New Roman"/>
          <w:sz w:val="28"/>
          <w:szCs w:val="28"/>
        </w:rPr>
        <w:t>ния</w:t>
      </w:r>
      <w:r w:rsidR="0007447D" w:rsidRPr="00802D35">
        <w:rPr>
          <w:rFonts w:ascii="Times New Roman" w:hAnsi="Times New Roman" w:cs="Times New Roman"/>
          <w:sz w:val="28"/>
          <w:szCs w:val="28"/>
        </w:rPr>
        <w:t xml:space="preserve"> </w:t>
      </w:r>
      <w:r w:rsidR="006742FB" w:rsidRPr="00802D35">
        <w:rPr>
          <w:rFonts w:ascii="Times New Roman" w:hAnsi="Times New Roman" w:cs="Times New Roman"/>
          <w:sz w:val="28"/>
          <w:szCs w:val="28"/>
        </w:rPr>
        <w:t>собственной</w:t>
      </w:r>
      <w:r w:rsidR="0007447D" w:rsidRPr="00802D35">
        <w:rPr>
          <w:rFonts w:ascii="Times New Roman" w:hAnsi="Times New Roman" w:cs="Times New Roman"/>
          <w:sz w:val="28"/>
          <w:szCs w:val="28"/>
        </w:rPr>
        <w:t xml:space="preserve"> ниш</w:t>
      </w:r>
      <w:r w:rsidR="006742FB" w:rsidRPr="00802D35">
        <w:rPr>
          <w:rFonts w:ascii="Times New Roman" w:hAnsi="Times New Roman" w:cs="Times New Roman"/>
          <w:sz w:val="28"/>
          <w:szCs w:val="28"/>
        </w:rPr>
        <w:t>и</w:t>
      </w:r>
      <w:r w:rsidR="0007447D" w:rsidRPr="00802D35">
        <w:rPr>
          <w:rFonts w:ascii="Times New Roman" w:hAnsi="Times New Roman" w:cs="Times New Roman"/>
          <w:sz w:val="28"/>
          <w:szCs w:val="28"/>
        </w:rPr>
        <w:t xml:space="preserve"> или </w:t>
      </w:r>
      <w:r w:rsidR="006742FB" w:rsidRPr="00802D35">
        <w:rPr>
          <w:rFonts w:ascii="Times New Roman" w:hAnsi="Times New Roman" w:cs="Times New Roman"/>
          <w:sz w:val="28"/>
          <w:szCs w:val="28"/>
        </w:rPr>
        <w:t xml:space="preserve">ее </w:t>
      </w:r>
      <w:r w:rsidR="0007447D" w:rsidRPr="00802D35">
        <w:rPr>
          <w:rFonts w:ascii="Times New Roman" w:hAnsi="Times New Roman" w:cs="Times New Roman"/>
          <w:sz w:val="28"/>
          <w:szCs w:val="28"/>
        </w:rPr>
        <w:t>расшир</w:t>
      </w:r>
      <w:r w:rsidR="006742FB" w:rsidRPr="00802D35">
        <w:rPr>
          <w:rFonts w:ascii="Times New Roman" w:hAnsi="Times New Roman" w:cs="Times New Roman"/>
          <w:sz w:val="28"/>
          <w:szCs w:val="28"/>
        </w:rPr>
        <w:t>ения на рынке товаров и услуг</w:t>
      </w:r>
      <w:r w:rsidR="0007447D" w:rsidRPr="00802D35">
        <w:rPr>
          <w:rFonts w:ascii="Times New Roman" w:hAnsi="Times New Roman" w:cs="Times New Roman"/>
          <w:sz w:val="28"/>
          <w:szCs w:val="28"/>
        </w:rPr>
        <w:t> [</w:t>
      </w:r>
      <w:r w:rsidR="000B0564" w:rsidRPr="00802D35">
        <w:rPr>
          <w:rFonts w:ascii="Times New Roman" w:hAnsi="Times New Roman" w:cs="Times New Roman"/>
          <w:sz w:val="28"/>
          <w:szCs w:val="28"/>
        </w:rPr>
        <w:t>41</w:t>
      </w:r>
      <w:r w:rsidR="0007447D" w:rsidRPr="00802D35">
        <w:rPr>
          <w:rFonts w:ascii="Times New Roman" w:hAnsi="Times New Roman" w:cs="Times New Roman"/>
          <w:sz w:val="28"/>
          <w:szCs w:val="28"/>
        </w:rPr>
        <w:t xml:space="preserve">]. </w:t>
      </w:r>
      <w:r w:rsidR="006742FB" w:rsidRPr="00802D35">
        <w:rPr>
          <w:rFonts w:ascii="Times New Roman" w:hAnsi="Times New Roman" w:cs="Times New Roman"/>
          <w:sz w:val="28"/>
          <w:szCs w:val="28"/>
        </w:rPr>
        <w:t>Акопян А.В. и Суворов И.А</w:t>
      </w:r>
      <w:r w:rsidR="003F140C" w:rsidRPr="00802D35">
        <w:rPr>
          <w:rFonts w:ascii="Times New Roman" w:hAnsi="Times New Roman" w:cs="Times New Roman"/>
          <w:sz w:val="28"/>
          <w:szCs w:val="28"/>
        </w:rPr>
        <w:t>.</w:t>
      </w:r>
      <w:r w:rsidR="006742FB" w:rsidRPr="00802D35">
        <w:rPr>
          <w:rFonts w:ascii="Times New Roman" w:hAnsi="Times New Roman" w:cs="Times New Roman"/>
          <w:sz w:val="28"/>
          <w:szCs w:val="28"/>
        </w:rPr>
        <w:t xml:space="preserve"> рассматривают</w:t>
      </w:r>
      <w:r w:rsidR="0007447D" w:rsidRPr="00802D35">
        <w:rPr>
          <w:rFonts w:ascii="Times New Roman" w:hAnsi="Times New Roman" w:cs="Times New Roman"/>
          <w:sz w:val="28"/>
          <w:szCs w:val="28"/>
        </w:rPr>
        <w:t xml:space="preserve"> конкурентоустойчивость </w:t>
      </w:r>
      <w:r w:rsidR="00B62334" w:rsidRPr="00802D35">
        <w:rPr>
          <w:rFonts w:ascii="Times New Roman" w:hAnsi="Times New Roman" w:cs="Times New Roman"/>
          <w:sz w:val="28"/>
          <w:szCs w:val="28"/>
        </w:rPr>
        <w:t>в качестве</w:t>
      </w:r>
      <w:r w:rsidR="0007447D" w:rsidRPr="00802D35">
        <w:rPr>
          <w:rFonts w:ascii="Times New Roman" w:hAnsi="Times New Roman" w:cs="Times New Roman"/>
          <w:sz w:val="28"/>
          <w:szCs w:val="28"/>
        </w:rPr>
        <w:t xml:space="preserve"> организационно</w:t>
      </w:r>
      <w:r w:rsidR="00B62334" w:rsidRPr="00802D35">
        <w:rPr>
          <w:rFonts w:ascii="Times New Roman" w:hAnsi="Times New Roman" w:cs="Times New Roman"/>
          <w:sz w:val="28"/>
          <w:szCs w:val="28"/>
        </w:rPr>
        <w:t>го</w:t>
      </w:r>
      <w:r w:rsidR="0007447D" w:rsidRPr="00802D35">
        <w:rPr>
          <w:rFonts w:ascii="Times New Roman" w:hAnsi="Times New Roman" w:cs="Times New Roman"/>
          <w:sz w:val="28"/>
          <w:szCs w:val="28"/>
        </w:rPr>
        <w:t xml:space="preserve"> взаимодействи</w:t>
      </w:r>
      <w:r w:rsidR="00B62334" w:rsidRPr="00802D35">
        <w:rPr>
          <w:rFonts w:ascii="Times New Roman" w:hAnsi="Times New Roman" w:cs="Times New Roman"/>
          <w:sz w:val="28"/>
          <w:szCs w:val="28"/>
        </w:rPr>
        <w:t>я,</w:t>
      </w:r>
      <w:r w:rsidR="0007447D" w:rsidRPr="00802D35">
        <w:rPr>
          <w:rFonts w:ascii="Times New Roman" w:hAnsi="Times New Roman" w:cs="Times New Roman"/>
          <w:sz w:val="28"/>
          <w:szCs w:val="28"/>
        </w:rPr>
        <w:t xml:space="preserve"> </w:t>
      </w:r>
      <w:r w:rsidR="00B62334" w:rsidRPr="00802D35">
        <w:rPr>
          <w:rFonts w:ascii="Times New Roman" w:hAnsi="Times New Roman" w:cs="Times New Roman"/>
          <w:sz w:val="28"/>
          <w:szCs w:val="28"/>
        </w:rPr>
        <w:t xml:space="preserve">позволяющего </w:t>
      </w:r>
      <w:r w:rsidR="0007447D" w:rsidRPr="00802D35">
        <w:rPr>
          <w:rFonts w:ascii="Times New Roman" w:hAnsi="Times New Roman" w:cs="Times New Roman"/>
          <w:sz w:val="28"/>
          <w:szCs w:val="28"/>
        </w:rPr>
        <w:t>удержать свою нишу</w:t>
      </w:r>
      <w:r w:rsidR="00B62334" w:rsidRPr="00802D35">
        <w:rPr>
          <w:rFonts w:ascii="Times New Roman" w:hAnsi="Times New Roman" w:cs="Times New Roman"/>
          <w:sz w:val="28"/>
          <w:szCs w:val="28"/>
        </w:rPr>
        <w:t xml:space="preserve">, </w:t>
      </w:r>
      <w:r w:rsidR="0007447D" w:rsidRPr="00802D35">
        <w:rPr>
          <w:rFonts w:ascii="Times New Roman" w:hAnsi="Times New Roman" w:cs="Times New Roman"/>
          <w:sz w:val="28"/>
          <w:szCs w:val="28"/>
        </w:rPr>
        <w:t>обеспечи</w:t>
      </w:r>
      <w:r w:rsidR="00B62334" w:rsidRPr="00802D35">
        <w:rPr>
          <w:rFonts w:ascii="Times New Roman" w:hAnsi="Times New Roman" w:cs="Times New Roman"/>
          <w:sz w:val="28"/>
          <w:szCs w:val="28"/>
        </w:rPr>
        <w:t>вая</w:t>
      </w:r>
      <w:r w:rsidR="0007447D" w:rsidRPr="00802D35">
        <w:rPr>
          <w:rFonts w:ascii="Times New Roman" w:hAnsi="Times New Roman" w:cs="Times New Roman"/>
          <w:sz w:val="28"/>
          <w:szCs w:val="28"/>
        </w:rPr>
        <w:t xml:space="preserve"> эффективно</w:t>
      </w:r>
      <w:r w:rsidR="00B62334" w:rsidRPr="00802D35">
        <w:rPr>
          <w:rFonts w:ascii="Times New Roman" w:hAnsi="Times New Roman" w:cs="Times New Roman"/>
          <w:sz w:val="28"/>
          <w:szCs w:val="28"/>
        </w:rPr>
        <w:t>сть</w:t>
      </w:r>
      <w:r w:rsidR="0007447D" w:rsidRPr="00802D35">
        <w:rPr>
          <w:rFonts w:ascii="Times New Roman" w:hAnsi="Times New Roman" w:cs="Times New Roman"/>
          <w:sz w:val="28"/>
          <w:szCs w:val="28"/>
        </w:rPr>
        <w:t xml:space="preserve"> функционировани</w:t>
      </w:r>
      <w:r w:rsidR="00B62334" w:rsidRPr="00802D35">
        <w:rPr>
          <w:rFonts w:ascii="Times New Roman" w:hAnsi="Times New Roman" w:cs="Times New Roman"/>
          <w:sz w:val="28"/>
          <w:szCs w:val="28"/>
        </w:rPr>
        <w:t>я</w:t>
      </w:r>
      <w:r w:rsidR="0007447D" w:rsidRPr="00802D35">
        <w:rPr>
          <w:rFonts w:ascii="Times New Roman" w:hAnsi="Times New Roman" w:cs="Times New Roman"/>
          <w:sz w:val="28"/>
          <w:szCs w:val="28"/>
        </w:rPr>
        <w:t xml:space="preserve"> </w:t>
      </w:r>
      <w:r w:rsidR="00B62334" w:rsidRPr="00802D35">
        <w:rPr>
          <w:rFonts w:ascii="Times New Roman" w:hAnsi="Times New Roman" w:cs="Times New Roman"/>
          <w:sz w:val="28"/>
          <w:szCs w:val="28"/>
        </w:rPr>
        <w:t>социальных и экономических субъектов в</w:t>
      </w:r>
      <w:r w:rsidR="0007447D" w:rsidRPr="00802D35">
        <w:rPr>
          <w:rFonts w:ascii="Times New Roman" w:hAnsi="Times New Roman" w:cs="Times New Roman"/>
          <w:sz w:val="28"/>
          <w:szCs w:val="28"/>
        </w:rPr>
        <w:t xml:space="preserve"> конкурентной среде [</w:t>
      </w:r>
      <w:r w:rsidR="000B0564" w:rsidRPr="00802D35">
        <w:rPr>
          <w:rFonts w:ascii="Times New Roman" w:hAnsi="Times New Roman" w:cs="Times New Roman"/>
          <w:sz w:val="28"/>
          <w:szCs w:val="28"/>
        </w:rPr>
        <w:t>42</w:t>
      </w:r>
      <w:r w:rsidR="0007447D" w:rsidRPr="00802D35">
        <w:rPr>
          <w:rFonts w:ascii="Times New Roman" w:hAnsi="Times New Roman" w:cs="Times New Roman"/>
          <w:sz w:val="28"/>
          <w:szCs w:val="28"/>
        </w:rPr>
        <w:t>]</w:t>
      </w:r>
      <w:r w:rsidR="00B62334" w:rsidRPr="00802D35">
        <w:rPr>
          <w:rFonts w:ascii="Times New Roman" w:hAnsi="Times New Roman" w:cs="Times New Roman"/>
          <w:sz w:val="28"/>
          <w:szCs w:val="28"/>
        </w:rPr>
        <w:t xml:space="preserve">. Керимкулова Д.Д. </w:t>
      </w:r>
      <w:r w:rsidR="00D924BC" w:rsidRPr="00802D35">
        <w:rPr>
          <w:rFonts w:ascii="Times New Roman" w:hAnsi="Times New Roman" w:cs="Times New Roman"/>
          <w:sz w:val="28"/>
          <w:szCs w:val="28"/>
        </w:rPr>
        <w:t>считает, что конкурентоустойчивость банка – это его способность противостояния другим банкам ввиду предоставления более доходных продуктов [</w:t>
      </w:r>
      <w:r w:rsidR="000B0564" w:rsidRPr="00802D35">
        <w:rPr>
          <w:rFonts w:ascii="Times New Roman" w:hAnsi="Times New Roman" w:cs="Times New Roman"/>
          <w:sz w:val="28"/>
          <w:szCs w:val="28"/>
        </w:rPr>
        <w:t>43</w:t>
      </w:r>
      <w:r w:rsidR="00D924BC" w:rsidRPr="00802D35">
        <w:rPr>
          <w:rFonts w:ascii="Times New Roman" w:hAnsi="Times New Roman" w:cs="Times New Roman"/>
          <w:sz w:val="28"/>
          <w:szCs w:val="28"/>
        </w:rPr>
        <w:t>]. Таким образом, можно отметить, что авторы сходятся во мнении более широкого подхода к понятию конкурентоустойчивости, позволяющего говорить о способности и возможностях к противостоянию влияния различных факторов на деятельность субъекта экономики.</w:t>
      </w:r>
    </w:p>
    <w:p w:rsidR="00C641B0" w:rsidRPr="00802D35" w:rsidRDefault="00D924BC" w:rsidP="00545113">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Расширяя понятия вышеуказанных авторов, на наш взгляд, понятие «конкурентоустойчивость» включает в себя </w:t>
      </w:r>
      <w:r w:rsidR="006742FB" w:rsidRPr="00802D35">
        <w:rPr>
          <w:rFonts w:ascii="Times New Roman" w:hAnsi="Times New Roman" w:cs="Times New Roman"/>
          <w:sz w:val="28"/>
          <w:szCs w:val="28"/>
        </w:rPr>
        <w:t>стабильность и гибкость</w:t>
      </w:r>
      <w:r w:rsidR="003F140C" w:rsidRPr="00802D35">
        <w:rPr>
          <w:rFonts w:ascii="Times New Roman" w:hAnsi="Times New Roman" w:cs="Times New Roman"/>
          <w:sz w:val="28"/>
          <w:szCs w:val="28"/>
        </w:rPr>
        <w:t xml:space="preserve"> банка по отношению к изменениям внешней и внутренней среды, адаптивность банка, персистентность и воспроизводимость качественных функций банка по удержанию конкурентных преимуществ вне зависимости от влияния экзогенных и эндогенных факторов. Иными словами конкурентоустойчивость банка следует рассматривать </w:t>
      </w:r>
      <w:r w:rsidR="00545113" w:rsidRPr="00802D35">
        <w:rPr>
          <w:rFonts w:ascii="Times New Roman" w:hAnsi="Times New Roman" w:cs="Times New Roman"/>
          <w:sz w:val="28"/>
          <w:szCs w:val="28"/>
        </w:rPr>
        <w:t xml:space="preserve">не только как способность работать и выживать в конкурентной среде, но и как способность предлагать такие продукты и услуги (или даже создавать на них спрос), которые </w:t>
      </w:r>
      <w:r w:rsidR="003F140C" w:rsidRPr="00802D35">
        <w:rPr>
          <w:rFonts w:ascii="Times New Roman" w:hAnsi="Times New Roman" w:cs="Times New Roman"/>
          <w:sz w:val="28"/>
          <w:szCs w:val="28"/>
        </w:rPr>
        <w:t>нацелят</w:t>
      </w:r>
      <w:r w:rsidR="00545113" w:rsidRPr="00802D35">
        <w:rPr>
          <w:rFonts w:ascii="Times New Roman" w:hAnsi="Times New Roman" w:cs="Times New Roman"/>
          <w:sz w:val="28"/>
          <w:szCs w:val="28"/>
        </w:rPr>
        <w:t xml:space="preserve"> банк </w:t>
      </w:r>
      <w:r w:rsidR="003F140C" w:rsidRPr="00802D35">
        <w:rPr>
          <w:rFonts w:ascii="Times New Roman" w:hAnsi="Times New Roman" w:cs="Times New Roman"/>
          <w:sz w:val="28"/>
          <w:szCs w:val="28"/>
        </w:rPr>
        <w:t>на</w:t>
      </w:r>
      <w:r w:rsidR="00545113" w:rsidRPr="00802D35">
        <w:rPr>
          <w:rFonts w:ascii="Times New Roman" w:hAnsi="Times New Roman" w:cs="Times New Roman"/>
          <w:sz w:val="28"/>
          <w:szCs w:val="28"/>
        </w:rPr>
        <w:t xml:space="preserve"> достижени</w:t>
      </w:r>
      <w:r w:rsidR="003F140C" w:rsidRPr="00802D35">
        <w:rPr>
          <w:rFonts w:ascii="Times New Roman" w:hAnsi="Times New Roman" w:cs="Times New Roman"/>
          <w:sz w:val="28"/>
          <w:szCs w:val="28"/>
        </w:rPr>
        <w:t>е</w:t>
      </w:r>
      <w:r w:rsidR="00545113" w:rsidRPr="00802D35">
        <w:rPr>
          <w:rFonts w:ascii="Times New Roman" w:hAnsi="Times New Roman" w:cs="Times New Roman"/>
          <w:sz w:val="28"/>
          <w:szCs w:val="28"/>
        </w:rPr>
        <w:t xml:space="preserve"> </w:t>
      </w:r>
      <w:r w:rsidR="003F140C" w:rsidRPr="00802D35">
        <w:rPr>
          <w:rFonts w:ascii="Times New Roman" w:hAnsi="Times New Roman" w:cs="Times New Roman"/>
          <w:sz w:val="28"/>
          <w:szCs w:val="28"/>
        </w:rPr>
        <w:t>эффективных</w:t>
      </w:r>
      <w:r w:rsidR="00545113" w:rsidRPr="00802D35">
        <w:rPr>
          <w:rFonts w:ascii="Times New Roman" w:hAnsi="Times New Roman" w:cs="Times New Roman"/>
          <w:sz w:val="28"/>
          <w:szCs w:val="28"/>
        </w:rPr>
        <w:t xml:space="preserve"> финансовых результатов, несмотря на трудности и ограничения, обусловленные характером </w:t>
      </w:r>
      <w:r w:rsidR="003F140C" w:rsidRPr="00802D35">
        <w:rPr>
          <w:rFonts w:ascii="Times New Roman" w:hAnsi="Times New Roman" w:cs="Times New Roman"/>
          <w:sz w:val="28"/>
          <w:szCs w:val="28"/>
        </w:rPr>
        <w:t>изменчивости финансового рынка страны</w:t>
      </w:r>
      <w:r w:rsidR="00545113" w:rsidRPr="00802D35">
        <w:rPr>
          <w:rFonts w:ascii="Times New Roman" w:hAnsi="Times New Roman" w:cs="Times New Roman"/>
          <w:sz w:val="28"/>
          <w:szCs w:val="28"/>
        </w:rPr>
        <w:t>.</w:t>
      </w:r>
      <w:r w:rsidR="003F140C" w:rsidRPr="00802D35">
        <w:rPr>
          <w:rFonts w:ascii="Times New Roman" w:hAnsi="Times New Roman" w:cs="Times New Roman"/>
          <w:sz w:val="28"/>
          <w:szCs w:val="28"/>
        </w:rPr>
        <w:t xml:space="preserve"> В результате, важно отметить, что конкурентоустойчивость банка является значимым и необходимым условием его успешной деятельности.</w:t>
      </w:r>
    </w:p>
    <w:p w:rsidR="006541ED" w:rsidRPr="00802D35" w:rsidRDefault="006541ED" w:rsidP="00545113">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Поскольку банковский сектор имеет существенные отличия и более склонен к олигополистической конкуренции ввиду пруденциального регулирования, то конкурентоустойчивость банка в отличие от других субъектов экономики приобретает некоторые специфические особенности:</w:t>
      </w:r>
    </w:p>
    <w:p w:rsidR="006541ED" w:rsidRPr="00802D35" w:rsidRDefault="006541ED" w:rsidP="006541ED">
      <w:pPr>
        <w:pStyle w:val="a3"/>
        <w:widowControl w:val="0"/>
        <w:numPr>
          <w:ilvl w:val="0"/>
          <w:numId w:val="4"/>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усиление требований к устойчивости банка на рынке;</w:t>
      </w:r>
    </w:p>
    <w:p w:rsidR="006541ED" w:rsidRPr="00802D35" w:rsidRDefault="006541ED" w:rsidP="006541ED">
      <w:pPr>
        <w:pStyle w:val="a3"/>
        <w:widowControl w:val="0"/>
        <w:numPr>
          <w:ilvl w:val="0"/>
          <w:numId w:val="4"/>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субъектами конкуренции становятся не только банки, но и другие </w:t>
      </w:r>
      <w:r w:rsidRPr="00802D35">
        <w:rPr>
          <w:rFonts w:ascii="Times New Roman" w:hAnsi="Times New Roman" w:cs="Times New Roman"/>
          <w:sz w:val="28"/>
          <w:szCs w:val="28"/>
        </w:rPr>
        <w:lastRenderedPageBreak/>
        <w:t>финансовые и нефинансовые организации;</w:t>
      </w:r>
    </w:p>
    <w:p w:rsidR="00C641B0" w:rsidRPr="00802D35" w:rsidRDefault="00C641B0" w:rsidP="006541ED">
      <w:pPr>
        <w:pStyle w:val="a3"/>
        <w:widowControl w:val="0"/>
        <w:numPr>
          <w:ilvl w:val="0"/>
          <w:numId w:val="4"/>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конкуренция </w:t>
      </w:r>
      <w:r w:rsidR="006541ED" w:rsidRPr="00802D35">
        <w:rPr>
          <w:rFonts w:ascii="Times New Roman" w:hAnsi="Times New Roman" w:cs="Times New Roman"/>
          <w:sz w:val="28"/>
          <w:szCs w:val="28"/>
        </w:rPr>
        <w:t>обретает различные формы</w:t>
      </w:r>
      <w:r w:rsidRPr="00802D35">
        <w:rPr>
          <w:rFonts w:ascii="Times New Roman" w:hAnsi="Times New Roman" w:cs="Times New Roman"/>
          <w:sz w:val="28"/>
          <w:szCs w:val="28"/>
        </w:rPr>
        <w:t>, связанн</w:t>
      </w:r>
      <w:r w:rsidR="006541ED" w:rsidRPr="00802D35">
        <w:rPr>
          <w:rFonts w:ascii="Times New Roman" w:hAnsi="Times New Roman" w:cs="Times New Roman"/>
          <w:sz w:val="28"/>
          <w:szCs w:val="28"/>
        </w:rPr>
        <w:t>ые</w:t>
      </w:r>
      <w:r w:rsidRPr="00802D35">
        <w:rPr>
          <w:rFonts w:ascii="Times New Roman" w:hAnsi="Times New Roman" w:cs="Times New Roman"/>
          <w:sz w:val="28"/>
          <w:szCs w:val="28"/>
        </w:rPr>
        <w:t xml:space="preserve"> </w:t>
      </w:r>
      <w:r w:rsidR="006541ED" w:rsidRPr="00802D35">
        <w:rPr>
          <w:rFonts w:ascii="Times New Roman" w:hAnsi="Times New Roman" w:cs="Times New Roman"/>
          <w:sz w:val="28"/>
          <w:szCs w:val="28"/>
        </w:rPr>
        <w:t xml:space="preserve">возможностями привлечения различных источников фондирования, </w:t>
      </w:r>
      <w:r w:rsidRPr="00802D35">
        <w:rPr>
          <w:rFonts w:ascii="Times New Roman" w:hAnsi="Times New Roman" w:cs="Times New Roman"/>
          <w:sz w:val="28"/>
          <w:szCs w:val="28"/>
        </w:rPr>
        <w:t>с диверсификацией банковских продуктов</w:t>
      </w:r>
      <w:r w:rsidR="006541ED" w:rsidRPr="00802D35">
        <w:rPr>
          <w:rFonts w:ascii="Times New Roman" w:hAnsi="Times New Roman" w:cs="Times New Roman"/>
          <w:sz w:val="28"/>
          <w:szCs w:val="28"/>
        </w:rPr>
        <w:t>, разработки</w:t>
      </w:r>
      <w:r w:rsidRPr="00802D35">
        <w:rPr>
          <w:rFonts w:ascii="Times New Roman" w:hAnsi="Times New Roman" w:cs="Times New Roman"/>
          <w:sz w:val="28"/>
          <w:szCs w:val="28"/>
        </w:rPr>
        <w:t xml:space="preserve"> небанковских заменителей банковских продуктов</w:t>
      </w:r>
      <w:r w:rsidR="006541ED" w:rsidRPr="00802D35">
        <w:rPr>
          <w:rFonts w:ascii="Times New Roman" w:hAnsi="Times New Roman" w:cs="Times New Roman"/>
          <w:sz w:val="28"/>
          <w:szCs w:val="28"/>
        </w:rPr>
        <w:t xml:space="preserve"> и др.</w:t>
      </w:r>
      <w:r w:rsidRPr="00802D35">
        <w:rPr>
          <w:rFonts w:ascii="Times New Roman" w:hAnsi="Times New Roman" w:cs="Times New Roman"/>
          <w:sz w:val="28"/>
          <w:szCs w:val="28"/>
        </w:rPr>
        <w:t>;</w:t>
      </w:r>
    </w:p>
    <w:p w:rsidR="00C641B0" w:rsidRPr="00802D35" w:rsidRDefault="00C641B0" w:rsidP="006541ED">
      <w:pPr>
        <w:pStyle w:val="a3"/>
        <w:widowControl w:val="0"/>
        <w:numPr>
          <w:ilvl w:val="0"/>
          <w:numId w:val="4"/>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острая конкуренция ограничивает возможности использования ценовых методов и обуславливает актуальность качества</w:t>
      </w:r>
      <w:r w:rsidR="006541ED" w:rsidRPr="00802D35">
        <w:rPr>
          <w:rFonts w:ascii="Times New Roman" w:hAnsi="Times New Roman" w:cs="Times New Roman"/>
          <w:sz w:val="28"/>
          <w:szCs w:val="28"/>
        </w:rPr>
        <w:t>.</w:t>
      </w:r>
    </w:p>
    <w:p w:rsidR="001F60C1" w:rsidRPr="00802D35" w:rsidRDefault="006541ED" w:rsidP="001F60C1">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Указанные особенности свидетельствуют о потребности банка в развитии своего конкурентного потенциала, который следует рассматривать как конкуренто</w:t>
      </w:r>
      <w:r w:rsidR="001F60C1" w:rsidRPr="00802D35">
        <w:rPr>
          <w:rFonts w:ascii="Times New Roman" w:hAnsi="Times New Roman" w:cs="Times New Roman"/>
          <w:sz w:val="28"/>
          <w:szCs w:val="28"/>
        </w:rPr>
        <w:t xml:space="preserve">способность ресурсов банка. Банки, выступая основными поставщиками кредитных ресурсов, </w:t>
      </w:r>
      <w:r w:rsidR="007467B0" w:rsidRPr="00802D35">
        <w:rPr>
          <w:rFonts w:ascii="Times New Roman" w:hAnsi="Times New Roman" w:cs="Times New Roman"/>
          <w:sz w:val="28"/>
          <w:szCs w:val="28"/>
        </w:rPr>
        <w:t>должны не просто аккумулировать и мобилизовать имеющиеся в экономике накопления, но и обеспечить эффективные условия, стимулирующие к формированию сбережений в государстве, поскольку именно они должны составлять основной источник инвестиционного капитала страны в противовес иностранным инвестициям. В данном направлении вкладчиков интересует не только предлагаемые банком вознаграждения, но и гарантии возврата средств и доступность информации о деятельности банка</w:t>
      </w:r>
      <w:r w:rsidR="000D6F14" w:rsidRPr="00802D35">
        <w:rPr>
          <w:rFonts w:ascii="Times New Roman" w:hAnsi="Times New Roman" w:cs="Times New Roman"/>
          <w:sz w:val="28"/>
          <w:szCs w:val="28"/>
        </w:rPr>
        <w:t>.</w:t>
      </w:r>
    </w:p>
    <w:p w:rsidR="00C641B0" w:rsidRPr="00802D35" w:rsidRDefault="00DA7721" w:rsidP="00545113">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Таким образом, </w:t>
      </w:r>
      <w:r w:rsidR="00E213B4" w:rsidRPr="00802D35">
        <w:rPr>
          <w:rFonts w:ascii="Times New Roman" w:hAnsi="Times New Roman" w:cs="Times New Roman"/>
          <w:sz w:val="28"/>
          <w:szCs w:val="28"/>
        </w:rPr>
        <w:t>необходимость осуществления деятельности в некоторых пределах ресурсов, потребность увеличения ресурсного потенциала приводят к смещению акцентов в банковской деятельности:</w:t>
      </w:r>
    </w:p>
    <w:p w:rsidR="00E213B4" w:rsidRPr="00802D35" w:rsidRDefault="00E213B4" w:rsidP="00203A4B">
      <w:pPr>
        <w:pStyle w:val="a3"/>
        <w:widowControl w:val="0"/>
        <w:numPr>
          <w:ilvl w:val="0"/>
          <w:numId w:val="5"/>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повышение заинтересованности в привлечении новых источников фондирования;</w:t>
      </w:r>
    </w:p>
    <w:p w:rsidR="00E213B4" w:rsidRPr="00802D35" w:rsidRDefault="00E213B4" w:rsidP="00203A4B">
      <w:pPr>
        <w:pStyle w:val="a3"/>
        <w:widowControl w:val="0"/>
        <w:numPr>
          <w:ilvl w:val="0"/>
          <w:numId w:val="5"/>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усиление конкуренции за привлеченные ресурсы, что, в свою очередь, стимулирует банки к поиску более эффективных источников вложений;</w:t>
      </w:r>
    </w:p>
    <w:p w:rsidR="00E213B4" w:rsidRPr="00802D35" w:rsidRDefault="00E213B4" w:rsidP="00203A4B">
      <w:pPr>
        <w:pStyle w:val="a3"/>
        <w:widowControl w:val="0"/>
        <w:numPr>
          <w:ilvl w:val="0"/>
          <w:numId w:val="5"/>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перемещение банковского капитала в более перспективные направления и отрасли;</w:t>
      </w:r>
    </w:p>
    <w:p w:rsidR="00E213B4" w:rsidRPr="00802D35" w:rsidRDefault="00E213B4" w:rsidP="00203A4B">
      <w:pPr>
        <w:pStyle w:val="a3"/>
        <w:widowControl w:val="0"/>
        <w:numPr>
          <w:ilvl w:val="0"/>
          <w:numId w:val="5"/>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перемещение акцента в политике банка от планирования вложений в сторону планирования ресурсов.</w:t>
      </w:r>
    </w:p>
    <w:p w:rsidR="00E25DE9" w:rsidRPr="00802D35" w:rsidRDefault="00E213B4" w:rsidP="005E6346">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 В результате перед банком возникает первоочередная задача, заключающаяся в том, чтобы разработать и реализовать формы привлечения ресурсов, </w:t>
      </w:r>
      <w:r w:rsidR="00D955C5" w:rsidRPr="00802D35">
        <w:rPr>
          <w:rFonts w:ascii="Times New Roman" w:hAnsi="Times New Roman" w:cs="Times New Roman"/>
          <w:sz w:val="28"/>
          <w:szCs w:val="28"/>
        </w:rPr>
        <w:t>максимально заинтересовывающие клиентов в формировании накоплений посредством развития привычки к сбережениям. Более того, поскольку получение прибыли остается одной из главных целей банка, оптимизация ресурсной базы и минимизация расходов по привлечению средств становятся потребностью  и значимо</w:t>
      </w:r>
      <w:r w:rsidR="00A6386F" w:rsidRPr="00802D35">
        <w:rPr>
          <w:rFonts w:ascii="Times New Roman" w:hAnsi="Times New Roman" w:cs="Times New Roman"/>
          <w:sz w:val="28"/>
          <w:szCs w:val="28"/>
        </w:rPr>
        <w:t>й необходимостью политики банка [</w:t>
      </w:r>
      <w:r w:rsidR="000B0564" w:rsidRPr="00802D35">
        <w:rPr>
          <w:rFonts w:ascii="Times New Roman" w:hAnsi="Times New Roman" w:cs="Times New Roman"/>
          <w:sz w:val="28"/>
          <w:szCs w:val="28"/>
        </w:rPr>
        <w:t>44</w:t>
      </w:r>
      <w:r w:rsidR="00A6386F" w:rsidRPr="00802D35">
        <w:rPr>
          <w:rFonts w:ascii="Times New Roman" w:hAnsi="Times New Roman" w:cs="Times New Roman"/>
          <w:sz w:val="28"/>
          <w:szCs w:val="28"/>
        </w:rPr>
        <w:t>].</w:t>
      </w:r>
      <w:r w:rsidR="008D41F9" w:rsidRPr="00802D35">
        <w:rPr>
          <w:rFonts w:ascii="Times New Roman" w:hAnsi="Times New Roman" w:cs="Times New Roman"/>
          <w:sz w:val="28"/>
          <w:szCs w:val="28"/>
        </w:rPr>
        <w:t xml:space="preserve"> Следует отметить, что эффективность ресурсной базы отражает уровень надежности банка и стабильности его функционирования, выступает показателем качества услуг, становится индикатором способности банка адекватно реагировать на изменения, возникающие на финансовом рынке </w:t>
      </w:r>
      <w:r w:rsidR="00B874E3" w:rsidRPr="00802D35">
        <w:rPr>
          <w:rFonts w:ascii="Times New Roman" w:hAnsi="Times New Roman" w:cs="Times New Roman"/>
          <w:sz w:val="28"/>
          <w:szCs w:val="28"/>
        </w:rPr>
        <w:t xml:space="preserve"> [</w:t>
      </w:r>
      <w:r w:rsidR="000B0564" w:rsidRPr="00802D35">
        <w:rPr>
          <w:rFonts w:ascii="Times New Roman" w:hAnsi="Times New Roman" w:cs="Times New Roman"/>
          <w:sz w:val="28"/>
          <w:szCs w:val="28"/>
        </w:rPr>
        <w:t>45</w:t>
      </w:r>
      <w:r w:rsidR="00B874E3" w:rsidRPr="00802D35">
        <w:rPr>
          <w:rFonts w:ascii="Times New Roman" w:hAnsi="Times New Roman" w:cs="Times New Roman"/>
          <w:sz w:val="28"/>
          <w:szCs w:val="28"/>
        </w:rPr>
        <w:t>].</w:t>
      </w:r>
      <w:r w:rsidR="00E25DE9" w:rsidRPr="00802D35">
        <w:rPr>
          <w:rFonts w:ascii="Times New Roman" w:hAnsi="Times New Roman" w:cs="Times New Roman"/>
          <w:sz w:val="28"/>
          <w:szCs w:val="28"/>
        </w:rPr>
        <w:t xml:space="preserve"> </w:t>
      </w:r>
    </w:p>
    <w:p w:rsidR="00E25DE9" w:rsidRPr="00802D35" w:rsidRDefault="00E25DE9" w:rsidP="00E25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Таким образом, можно сказать, что от эффективности политики формирования ресурсной базы зависит устойчивость функционирования банка (рисунок </w:t>
      </w:r>
      <w:r w:rsidR="00A0367A" w:rsidRPr="00802D35">
        <w:rPr>
          <w:rFonts w:ascii="Times New Roman" w:hAnsi="Times New Roman" w:cs="Times New Roman"/>
          <w:sz w:val="28"/>
          <w:szCs w:val="28"/>
        </w:rPr>
        <w:t>4</w:t>
      </w:r>
      <w:r w:rsidRPr="00802D35">
        <w:rPr>
          <w:rFonts w:ascii="Times New Roman" w:hAnsi="Times New Roman" w:cs="Times New Roman"/>
          <w:sz w:val="28"/>
          <w:szCs w:val="28"/>
        </w:rPr>
        <w:t>).</w:t>
      </w:r>
    </w:p>
    <w:p w:rsidR="00E361BD" w:rsidRPr="00802D35" w:rsidRDefault="00E361BD" w:rsidP="00E25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Рисунок 4 явно демонстрирует, что эффективное фондирование выступает </w:t>
      </w:r>
      <w:r w:rsidRPr="00802D35">
        <w:rPr>
          <w:rFonts w:ascii="Times New Roman" w:hAnsi="Times New Roman" w:cs="Times New Roman"/>
          <w:sz w:val="28"/>
          <w:szCs w:val="28"/>
        </w:rPr>
        <w:lastRenderedPageBreak/>
        <w:t>движущей силой, факторами роста и фундаментом адаптивности и возможностей банка противостоять внешним и внутренним конверсиям. В результате можно свидетельствовать о том, что в фондировании важное значение приобретают формирование качественной структуры фонда ресурсов банка и стоимость этого фондирования.</w:t>
      </w:r>
    </w:p>
    <w:p w:rsidR="00E40DE9" w:rsidRPr="00802D35" w:rsidRDefault="00E40DE9" w:rsidP="00E25DE9">
      <w:pPr>
        <w:widowControl w:val="0"/>
        <w:spacing w:after="0" w:line="240" w:lineRule="auto"/>
        <w:ind w:firstLine="567"/>
        <w:jc w:val="both"/>
        <w:rPr>
          <w:rFonts w:ascii="Times New Roman" w:hAnsi="Times New Roman" w:cs="Times New Roman"/>
          <w:sz w:val="28"/>
          <w:szCs w:val="28"/>
        </w:rPr>
      </w:pPr>
    </w:p>
    <w:p w:rsidR="00B874E3" w:rsidRPr="00802D35" w:rsidRDefault="005368DA" w:rsidP="006805DC">
      <w:pPr>
        <w:widowControl w:val="0"/>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539115</wp:posOffset>
                </wp:positionH>
                <wp:positionV relativeFrom="paragraph">
                  <wp:posOffset>-1905</wp:posOffset>
                </wp:positionV>
                <wp:extent cx="1315720" cy="1315720"/>
                <wp:effectExtent l="0" t="0" r="36830" b="0"/>
                <wp:wrapNone/>
                <wp:docPr id="39" name="Круговая стрел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1315720"/>
                        </a:xfrm>
                        <a:prstGeom prst="circularArrow">
                          <a:avLst>
                            <a:gd name="adj1" fmla="val 12500"/>
                            <a:gd name="adj2" fmla="val 1142322"/>
                            <a:gd name="adj3" fmla="val 20457678"/>
                            <a:gd name="adj4" fmla="val 10800000"/>
                            <a:gd name="adj5" fmla="val 12500"/>
                          </a:avLst>
                        </a:prstGeom>
                      </wps:spPr>
                      <wps:style>
                        <a:lnRef idx="0">
                          <a:schemeClr val="accent1"/>
                        </a:lnRef>
                        <a:fillRef idx="3">
                          <a:schemeClr val="accent1"/>
                        </a:fillRef>
                        <a:effectRef idx="3">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id="Круговая стрелка 16" o:spid="_x0000_s1026" style="position:absolute;margin-left:42.45pt;margin-top:-.15pt;width:103.6pt;height:10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5720,1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" path="m82233,657860v,-286506,210704,-529399,494339,-569859c860207,47541,1130421,221832,1210530,496912r78201,-1l1151255,657860,959801,496911r76411,c959715,317085,767213,215948,575730,254983,384247,294018,246697,462439,246697,657860r-164464,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82233,657860;576572,88001;1210530,496912;1288731,496911;1151255,657860;959801,496911;1036212,496911;575730,254983;246697,657860;82233,657860" o:connectangles="0,0,0,0,0,0,0,0,0,0"/>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4322445</wp:posOffset>
                </wp:positionH>
                <wp:positionV relativeFrom="paragraph">
                  <wp:posOffset>1008380</wp:posOffset>
                </wp:positionV>
                <wp:extent cx="217805" cy="251460"/>
                <wp:effectExtent l="57150" t="38100" r="0" b="91440"/>
                <wp:wrapNone/>
                <wp:docPr id="38" name="Стрелка вверх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5" cy="251460"/>
                        </a:xfrm>
                        <a:prstGeom prst="up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9" o:spid="_x0000_s1026" type="#_x0000_t68" style="position:absolute;margin-left:340.35pt;margin-top:79.4pt;width:17.15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" adj="9355" fillcolor="#a5d5e2 [1624]" strokecolor="#40a7c2 [3048]">
                <v:fill color2="#e4f2f6 [504]" rotate="t" angle="180" colors="0 #9eeaff;22938f #bbefff;1 #e4f9ff" focus="100%" type="gradient"/>
                <v:shadow on="t" color="black" opacity="24903f" origin=",.5" offset="0,.55556mm"/>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4322445</wp:posOffset>
                </wp:positionH>
                <wp:positionV relativeFrom="paragraph">
                  <wp:posOffset>1956435</wp:posOffset>
                </wp:positionV>
                <wp:extent cx="217805" cy="251460"/>
                <wp:effectExtent l="57150" t="38100" r="0" b="91440"/>
                <wp:wrapNone/>
                <wp:docPr id="37" name="Стрелка вверх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5" cy="251460"/>
                        </a:xfrm>
                        <a:prstGeom prst="up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верх 28" o:spid="_x0000_s1026" type="#_x0000_t68" style="position:absolute;margin-left:340.35pt;margin-top:154.05pt;width:17.15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" adj="9355" fillcolor="#a5d5e2 [1624]" strokecolor="#40a7c2 [3048]">
                <v:fill color2="#e4f2f6 [504]" rotate="t" angle="180" colors="0 #9eeaff;22938f #bbefff;1 #e4f9ff" focus="100%" type="gradient"/>
                <v:shadow on="t" color="black" opacity="24903f" origin=",.5" offset="0,.55556mm"/>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102235</wp:posOffset>
                </wp:positionH>
                <wp:positionV relativeFrom="paragraph">
                  <wp:posOffset>1687195</wp:posOffset>
                </wp:positionV>
                <wp:extent cx="1132205" cy="897255"/>
                <wp:effectExtent l="57150" t="38100" r="67945" b="93345"/>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89725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C2C64" w:rsidRPr="005C1C85" w:rsidRDefault="000C2C64" w:rsidP="005C1C85">
                            <w:pPr>
                              <w:spacing w:after="0" w:line="240" w:lineRule="auto"/>
                              <w:ind w:right="-80"/>
                              <w:jc w:val="center"/>
                              <w:rPr>
                                <w:rFonts w:ascii="Times New Roman" w:hAnsi="Times New Roman" w:cs="Times New Roman"/>
                                <w:sz w:val="24"/>
                                <w:szCs w:val="24"/>
                              </w:rPr>
                            </w:pPr>
                            <w:r w:rsidRPr="005C1C85">
                              <w:rPr>
                                <w:rFonts w:ascii="Times New Roman" w:hAnsi="Times New Roman" w:cs="Times New Roman"/>
                                <w:sz w:val="24"/>
                                <w:szCs w:val="24"/>
                              </w:rPr>
                              <w:t>Выбываемые (погашаемые) источники фондирования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05pt;margin-top:132.85pt;width:89.15pt;height:7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rsidR="000C2C64" w:rsidRPr="005C1C85" w:rsidRDefault="000C2C64" w:rsidP="005C1C85">
                      <w:pPr>
                        <w:spacing w:after="0" w:line="240" w:lineRule="auto"/>
                        <w:ind w:right="-80"/>
                        <w:jc w:val="center"/>
                        <w:rPr>
                          <w:rFonts w:ascii="Times New Roman" w:hAnsi="Times New Roman" w:cs="Times New Roman"/>
                          <w:sz w:val="24"/>
                          <w:szCs w:val="24"/>
                        </w:rPr>
                      </w:pPr>
                      <w:r w:rsidRPr="005C1C85">
                        <w:rPr>
                          <w:rFonts w:ascii="Times New Roman" w:hAnsi="Times New Roman" w:cs="Times New Roman"/>
                          <w:sz w:val="24"/>
                          <w:szCs w:val="24"/>
                        </w:rPr>
                        <w:t>Выбываемые (погашаемые) источники фондирования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102235</wp:posOffset>
                </wp:positionH>
                <wp:positionV relativeFrom="paragraph">
                  <wp:posOffset>563245</wp:posOffset>
                </wp:positionV>
                <wp:extent cx="1132205" cy="796925"/>
                <wp:effectExtent l="57150" t="38100" r="67945" b="117475"/>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7969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0C2C64" w:rsidRPr="005C1C85" w:rsidRDefault="000C2C64" w:rsidP="005C1C85">
                            <w:pPr>
                              <w:spacing w:after="0" w:line="240" w:lineRule="auto"/>
                              <w:jc w:val="center"/>
                              <w:rPr>
                                <w:rFonts w:ascii="Times New Roman" w:hAnsi="Times New Roman" w:cs="Times New Roman"/>
                                <w:sz w:val="24"/>
                                <w:szCs w:val="24"/>
                              </w:rPr>
                            </w:pPr>
                            <w:r w:rsidRPr="005C1C85">
                              <w:rPr>
                                <w:rFonts w:ascii="Times New Roman" w:hAnsi="Times New Roman" w:cs="Times New Roman"/>
                                <w:sz w:val="24"/>
                                <w:szCs w:val="24"/>
                              </w:rPr>
                              <w:t>Поступаемые источники фондирования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05pt;margin-top:44.35pt;width:89.15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" fillcolor="#254163 [1636]" stroked="f">
                <v:fill color2="#4477b6 [3012]" rotate="t" angle="180" colors="0 #2c5d98;52429f #3c7bc7;1 #3a7ccb" focus="100%" type="gradient">
                  <o:fill v:ext="view" type="gradientUnscaled"/>
                </v:fill>
                <v:shadow on="t" color="black" opacity="22937f" origin=",.5" offset="0,.63889mm"/>
                <v:textbox>
                  <w:txbxContent>
                    <w:p w:rsidR="000C2C64" w:rsidRPr="005C1C85" w:rsidRDefault="000C2C64" w:rsidP="005C1C85">
                      <w:pPr>
                        <w:spacing w:after="0" w:line="240" w:lineRule="auto"/>
                        <w:jc w:val="center"/>
                        <w:rPr>
                          <w:rFonts w:ascii="Times New Roman" w:hAnsi="Times New Roman" w:cs="Times New Roman"/>
                          <w:sz w:val="24"/>
                          <w:szCs w:val="24"/>
                        </w:rPr>
                      </w:pPr>
                      <w:r w:rsidRPr="005C1C85">
                        <w:rPr>
                          <w:rFonts w:ascii="Times New Roman" w:hAnsi="Times New Roman" w:cs="Times New Roman"/>
                          <w:sz w:val="24"/>
                          <w:szCs w:val="24"/>
                        </w:rPr>
                        <w:t>Поступаемые источники фондирования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5312410</wp:posOffset>
                </wp:positionH>
                <wp:positionV relativeFrom="paragraph">
                  <wp:posOffset>379095</wp:posOffset>
                </wp:positionV>
                <wp:extent cx="402590" cy="2298700"/>
                <wp:effectExtent l="57150" t="38100" r="73660" b="12065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29870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0C2C64" w:rsidRPr="005C1C85" w:rsidRDefault="000C2C64" w:rsidP="005C1C85">
                            <w:pPr>
                              <w:jc w:val="center"/>
                              <w:rPr>
                                <w:rFonts w:ascii="Times New Roman" w:hAnsi="Times New Roman" w:cs="Times New Roman"/>
                                <w:b/>
                                <w:sz w:val="28"/>
                                <w:szCs w:val="28"/>
                              </w:rPr>
                            </w:pPr>
                            <w:r w:rsidRPr="005C1C85">
                              <w:rPr>
                                <w:rFonts w:ascii="Times New Roman" w:hAnsi="Times New Roman" w:cs="Times New Roman"/>
                                <w:b/>
                                <w:sz w:val="28"/>
                                <w:szCs w:val="28"/>
                              </w:rPr>
                              <w:t>конкурентоустойчивость</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8.3pt;margin-top:29.85pt;width:31.7pt;height:1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" fillcolor="#9a4906 [1641]" stroked="f">
                <v:fill color2="#f68a32 [3017]" rotate="t" angle="180" colors="0 #cb6c1d;52429f #ff8f2a;1 #ff8f26" focus="100%" type="gradient">
                  <o:fill v:ext="view" type="gradientUnscaled"/>
                </v:fill>
                <v:shadow on="t" color="black" opacity="22937f" origin=",.5" offset="0,.63889mm"/>
                <v:textbox style="layout-flow:vertical">
                  <w:txbxContent>
                    <w:p w:rsidR="000C2C64" w:rsidRPr="005C1C85" w:rsidRDefault="000C2C64" w:rsidP="005C1C85">
                      <w:pPr>
                        <w:jc w:val="center"/>
                        <w:rPr>
                          <w:rFonts w:ascii="Times New Roman" w:hAnsi="Times New Roman" w:cs="Times New Roman"/>
                          <w:b/>
                          <w:sz w:val="28"/>
                          <w:szCs w:val="28"/>
                        </w:rPr>
                      </w:pPr>
                      <w:r w:rsidRPr="005C1C85">
                        <w:rPr>
                          <w:rFonts w:ascii="Times New Roman" w:hAnsi="Times New Roman" w:cs="Times New Roman"/>
                          <w:b/>
                          <w:sz w:val="28"/>
                          <w:szCs w:val="28"/>
                        </w:rPr>
                        <w:t>конкурентоустойчивость</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5001895</wp:posOffset>
                </wp:positionH>
                <wp:positionV relativeFrom="paragraph">
                  <wp:posOffset>287020</wp:posOffset>
                </wp:positionV>
                <wp:extent cx="377825" cy="2474595"/>
                <wp:effectExtent l="38100" t="38100" r="22225" b="97155"/>
                <wp:wrapNone/>
                <wp:docPr id="32" name="Правая фигурная скобк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2474595"/>
                        </a:xfrm>
                        <a:prstGeom prst="rightBrace">
                          <a:avLst>
                            <a:gd name="adj1" fmla="val 37197"/>
                            <a:gd name="adj2" fmla="val 50000"/>
                          </a:avLst>
                        </a:prstGeom>
                      </wps:spPr>
                      <wps:style>
                        <a:lnRef idx="2">
                          <a:schemeClr val="accent5"/>
                        </a:lnRef>
                        <a:fillRef idx="0">
                          <a:schemeClr val="accent5"/>
                        </a:fillRef>
                        <a:effectRef idx="1">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6" o:spid="_x0000_s1026" type="#_x0000_t88" style="position:absolute;margin-left:393.85pt;margin-top:22.6pt;width:29.75pt;height:19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" adj="1227" strokecolor="#4bacc6 [3208]" strokeweight="2pt">
                <v:shadow on="t" color="black" opacity="24903f" origin=",.5" offset="0,.55556mm"/>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3919220</wp:posOffset>
                </wp:positionH>
                <wp:positionV relativeFrom="paragraph">
                  <wp:posOffset>529590</wp:posOffset>
                </wp:positionV>
                <wp:extent cx="1081405" cy="485775"/>
                <wp:effectExtent l="57150" t="38100" r="80645" b="104775"/>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4857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0C2C64" w:rsidRPr="005C1C85" w:rsidRDefault="000C2C64" w:rsidP="005C1C85">
                            <w:pPr>
                              <w:jc w:val="center"/>
                              <w:rPr>
                                <w:rFonts w:ascii="Times New Roman" w:hAnsi="Times New Roman" w:cs="Times New Roman"/>
                                <w:sz w:val="24"/>
                                <w:szCs w:val="24"/>
                              </w:rPr>
                            </w:pPr>
                            <w:r w:rsidRPr="005C1C85">
                              <w:rPr>
                                <w:rFonts w:ascii="Times New Roman" w:hAnsi="Times New Roman" w:cs="Times New Roman"/>
                                <w:sz w:val="24"/>
                                <w:szCs w:val="24"/>
                              </w:rPr>
                              <w:t>Финансовая стабильность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08.6pt;margin-top:41.7pt;width:85.1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" fillcolor="#a5d5e2 [1624]" strokecolor="#40a7c2 [3048]">
                <v:fill color2="#e4f2f6 [504]" rotate="t" angle="180" colors="0 #9eeaff;22938f #bbefff;1 #e4f9ff" focus="100%" type="gradient"/>
                <v:shadow on="t" color="black" opacity="24903f" origin=",.5" offset="0,.55556mm"/>
                <v:textbox>
                  <w:txbxContent>
                    <w:p w:rsidR="000C2C64" w:rsidRPr="005C1C85" w:rsidRDefault="000C2C64" w:rsidP="005C1C85">
                      <w:pPr>
                        <w:jc w:val="center"/>
                        <w:rPr>
                          <w:rFonts w:ascii="Times New Roman" w:hAnsi="Times New Roman" w:cs="Times New Roman"/>
                          <w:sz w:val="24"/>
                          <w:szCs w:val="24"/>
                        </w:rPr>
                      </w:pPr>
                      <w:r w:rsidRPr="005C1C85">
                        <w:rPr>
                          <w:rFonts w:ascii="Times New Roman" w:hAnsi="Times New Roman" w:cs="Times New Roman"/>
                          <w:sz w:val="24"/>
                          <w:szCs w:val="24"/>
                        </w:rPr>
                        <w:t>Финансовая стабильность</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3919220</wp:posOffset>
                </wp:positionH>
                <wp:positionV relativeFrom="paragraph">
                  <wp:posOffset>1291590</wp:posOffset>
                </wp:positionV>
                <wp:extent cx="1081405" cy="662940"/>
                <wp:effectExtent l="57150" t="38100" r="80645" b="9906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66294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0C2C64" w:rsidRPr="005C1C85" w:rsidRDefault="000C2C64" w:rsidP="005C1C85">
                            <w:pPr>
                              <w:spacing w:after="0" w:line="240" w:lineRule="auto"/>
                              <w:jc w:val="center"/>
                              <w:rPr>
                                <w:rFonts w:ascii="Times New Roman" w:hAnsi="Times New Roman" w:cs="Times New Roman"/>
                                <w:sz w:val="24"/>
                                <w:szCs w:val="24"/>
                              </w:rPr>
                            </w:pPr>
                            <w:r w:rsidRPr="005C1C85">
                              <w:rPr>
                                <w:rFonts w:ascii="Times New Roman" w:hAnsi="Times New Roman" w:cs="Times New Roman"/>
                                <w:sz w:val="24"/>
                                <w:szCs w:val="24"/>
                              </w:rPr>
                              <w:t>Денежно-кредитная стабильность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08.6pt;margin-top:101.7pt;width:85.15pt;height:5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" fillcolor="#a5d5e2 [1624]" strokecolor="#40a7c2 [3048]">
                <v:fill color2="#e4f2f6 [504]" rotate="t" angle="180" colors="0 #9eeaff;22938f #bbefff;1 #e4f9ff" focus="100%" type="gradient"/>
                <v:shadow on="t" color="black" opacity="24903f" origin=",.5" offset="0,.55556mm"/>
                <v:textbox>
                  <w:txbxContent>
                    <w:p w:rsidR="000C2C64" w:rsidRPr="005C1C85" w:rsidRDefault="000C2C64" w:rsidP="005C1C85">
                      <w:pPr>
                        <w:spacing w:after="0" w:line="240" w:lineRule="auto"/>
                        <w:jc w:val="center"/>
                        <w:rPr>
                          <w:rFonts w:ascii="Times New Roman" w:hAnsi="Times New Roman" w:cs="Times New Roman"/>
                          <w:sz w:val="24"/>
                          <w:szCs w:val="24"/>
                        </w:rPr>
                      </w:pPr>
                      <w:r w:rsidRPr="005C1C85">
                        <w:rPr>
                          <w:rFonts w:ascii="Times New Roman" w:hAnsi="Times New Roman" w:cs="Times New Roman"/>
                          <w:sz w:val="24"/>
                          <w:szCs w:val="24"/>
                        </w:rPr>
                        <w:t>Денежно-кредитная стабильность</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3919220</wp:posOffset>
                </wp:positionH>
                <wp:positionV relativeFrom="paragraph">
                  <wp:posOffset>2206625</wp:posOffset>
                </wp:positionV>
                <wp:extent cx="1081405" cy="351790"/>
                <wp:effectExtent l="57150" t="38100" r="80645" b="8636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35179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0C2C64" w:rsidRPr="005C1C85" w:rsidRDefault="000C2C64" w:rsidP="005C1C85">
                            <w:pPr>
                              <w:spacing w:after="0" w:line="240" w:lineRule="auto"/>
                              <w:jc w:val="center"/>
                              <w:rPr>
                                <w:rFonts w:ascii="Times New Roman" w:hAnsi="Times New Roman" w:cs="Times New Roman"/>
                                <w:sz w:val="24"/>
                                <w:szCs w:val="24"/>
                              </w:rPr>
                            </w:pPr>
                            <w:r w:rsidRPr="005C1C85">
                              <w:rPr>
                                <w:rFonts w:ascii="Times New Roman" w:hAnsi="Times New Roman" w:cs="Times New Roman"/>
                                <w:sz w:val="24"/>
                                <w:szCs w:val="24"/>
                              </w:rPr>
                              <w:t>Прибыль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8.6pt;margin-top:173.75pt;width:85.15pt;height:2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" fillcolor="#a5d5e2 [1624]" strokecolor="#40a7c2 [3048]">
                <v:fill color2="#e4f2f6 [504]" rotate="t" angle="180" colors="0 #9eeaff;22938f #bbefff;1 #e4f9ff" focus="100%" type="gradient"/>
                <v:shadow on="t" color="black" opacity="24903f" origin=",.5" offset="0,.55556mm"/>
                <v:textbox>
                  <w:txbxContent>
                    <w:p w:rsidR="000C2C64" w:rsidRPr="005C1C85" w:rsidRDefault="000C2C64" w:rsidP="005C1C85">
                      <w:pPr>
                        <w:spacing w:after="0" w:line="240" w:lineRule="auto"/>
                        <w:jc w:val="center"/>
                        <w:rPr>
                          <w:rFonts w:ascii="Times New Roman" w:hAnsi="Times New Roman" w:cs="Times New Roman"/>
                          <w:sz w:val="24"/>
                          <w:szCs w:val="24"/>
                        </w:rPr>
                      </w:pPr>
                      <w:r w:rsidRPr="005C1C85">
                        <w:rPr>
                          <w:rFonts w:ascii="Times New Roman" w:hAnsi="Times New Roman" w:cs="Times New Roman"/>
                          <w:sz w:val="24"/>
                          <w:szCs w:val="24"/>
                        </w:rPr>
                        <w:t>Прибыль</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3486785</wp:posOffset>
                </wp:positionH>
                <wp:positionV relativeFrom="paragraph">
                  <wp:posOffset>2248535</wp:posOffset>
                </wp:positionV>
                <wp:extent cx="537845" cy="1216025"/>
                <wp:effectExtent l="41910" t="53340" r="0" b="75565"/>
                <wp:wrapNone/>
                <wp:docPr id="26" name="Выгнутая влево стрел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031516">
                          <a:off x="0" y="0"/>
                          <a:ext cx="537845" cy="1216025"/>
                        </a:xfrm>
                        <a:prstGeom prst="curved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2" o:spid="_x0000_s1026" type="#_x0000_t102" style="position:absolute;margin-left:274.55pt;margin-top:177.05pt;width:42.35pt;height:95.75pt;rotation:-608226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" adj="16823,20406,16200" fillcolor="#a5d5e2 [1624]" strokecolor="#40a7c2 [3048]">
                <v:fill color2="#e4f2f6 [504]" rotate="t" angle="180" colors="0 #9eeaff;22938f #bbefff;1 #e4f9ff" focus="100%" type="gradient"/>
                <v:shadow on="t" color="black" opacity="24903f" origin=",.5" offset="0,.55556mm"/>
                <v:path arrowok="t"/>
              </v:shape>
            </w:pict>
          </mc:Fallback>
        </mc:AlternateContent>
      </w:r>
      <w:r w:rsidR="00DD4E0B" w:rsidRPr="00802D35">
        <w:rPr>
          <w:rFonts w:ascii="Times New Roman" w:hAnsi="Times New Roman" w:cs="Times New Roman"/>
          <w:noProof/>
          <w:sz w:val="28"/>
          <w:szCs w:val="28"/>
          <w:lang w:eastAsia="ru-RU"/>
        </w:rPr>
        <w:drawing>
          <wp:inline distT="0" distB="0" distL="0" distR="0">
            <wp:extent cx="5159229" cy="3204594"/>
            <wp:effectExtent l="0" t="0" r="0" b="1524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40DE9" w:rsidRPr="00802D35" w:rsidRDefault="00E40DE9" w:rsidP="00E25DE9">
      <w:pPr>
        <w:widowControl w:val="0"/>
        <w:spacing w:after="0" w:line="240" w:lineRule="auto"/>
        <w:jc w:val="center"/>
        <w:rPr>
          <w:rFonts w:ascii="Times New Roman" w:hAnsi="Times New Roman" w:cs="Times New Roman"/>
          <w:sz w:val="28"/>
          <w:szCs w:val="28"/>
        </w:rPr>
      </w:pPr>
    </w:p>
    <w:p w:rsidR="00B874E3" w:rsidRPr="00802D35" w:rsidRDefault="00E25DE9" w:rsidP="00E25DE9">
      <w:pPr>
        <w:widowControl w:val="0"/>
        <w:spacing w:after="0" w:line="240" w:lineRule="auto"/>
        <w:jc w:val="center"/>
        <w:rPr>
          <w:rFonts w:ascii="Times New Roman" w:hAnsi="Times New Roman" w:cs="Times New Roman"/>
          <w:sz w:val="28"/>
          <w:szCs w:val="28"/>
        </w:rPr>
      </w:pPr>
      <w:r w:rsidRPr="00802D35">
        <w:rPr>
          <w:rFonts w:ascii="Times New Roman" w:hAnsi="Times New Roman" w:cs="Times New Roman"/>
          <w:sz w:val="28"/>
          <w:szCs w:val="28"/>
        </w:rPr>
        <w:t xml:space="preserve">Рисунок </w:t>
      </w:r>
      <w:r w:rsidR="00A0367A" w:rsidRPr="00802D35">
        <w:rPr>
          <w:rFonts w:ascii="Times New Roman" w:hAnsi="Times New Roman" w:cs="Times New Roman"/>
          <w:sz w:val="28"/>
          <w:szCs w:val="28"/>
        </w:rPr>
        <w:t>4</w:t>
      </w:r>
      <w:r w:rsidRPr="00802D35">
        <w:rPr>
          <w:rFonts w:ascii="Times New Roman" w:hAnsi="Times New Roman" w:cs="Times New Roman"/>
          <w:sz w:val="28"/>
          <w:szCs w:val="28"/>
        </w:rPr>
        <w:t xml:space="preserve"> – Фондирование как драйвер конкурентоустойчивости банка</w:t>
      </w:r>
    </w:p>
    <w:p w:rsidR="00B83588" w:rsidRPr="00802D35" w:rsidRDefault="00B83588" w:rsidP="006805DC">
      <w:pPr>
        <w:widowControl w:val="0"/>
        <w:spacing w:after="0" w:line="240" w:lineRule="auto"/>
        <w:jc w:val="both"/>
        <w:rPr>
          <w:rFonts w:ascii="Times New Roman" w:hAnsi="Times New Roman" w:cs="Times New Roman"/>
          <w:sz w:val="28"/>
          <w:szCs w:val="28"/>
        </w:rPr>
      </w:pPr>
    </w:p>
    <w:p w:rsidR="00E25DE9" w:rsidRPr="00802D35" w:rsidRDefault="00E25DE9" w:rsidP="00B83588">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w:t>
      </w:r>
    </w:p>
    <w:p w:rsidR="005C1C85" w:rsidRPr="00802D35" w:rsidRDefault="005C1C85" w:rsidP="006805DC">
      <w:pPr>
        <w:widowControl w:val="0"/>
        <w:spacing w:after="0" w:line="240" w:lineRule="auto"/>
        <w:jc w:val="both"/>
        <w:rPr>
          <w:rFonts w:ascii="Times New Roman" w:hAnsi="Times New Roman" w:cs="Times New Roman"/>
          <w:sz w:val="28"/>
          <w:szCs w:val="28"/>
        </w:rPr>
      </w:pPr>
    </w:p>
    <w:p w:rsidR="005C1C85" w:rsidRPr="00802D35" w:rsidRDefault="00A41D78" w:rsidP="00E25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Поскольку деятельность банка начинается с формирования ресурсов и в последующем</w:t>
      </w:r>
      <w:r w:rsidR="002933D3" w:rsidRPr="00802D35">
        <w:rPr>
          <w:rFonts w:ascii="Times New Roman" w:hAnsi="Times New Roman" w:cs="Times New Roman"/>
          <w:sz w:val="28"/>
          <w:szCs w:val="28"/>
        </w:rPr>
        <w:t xml:space="preserve"> </w:t>
      </w:r>
      <w:r w:rsidRPr="00802D35">
        <w:rPr>
          <w:rFonts w:ascii="Times New Roman" w:hAnsi="Times New Roman" w:cs="Times New Roman"/>
          <w:sz w:val="28"/>
          <w:szCs w:val="28"/>
        </w:rPr>
        <w:t xml:space="preserve">их распределения, что в совокупности создает процесс фондирования, то фондирование становится канвой банковской деятельности. Ввиду того, что качество размещения, а значит и прибыль банка во многом зависят от размера и качества ресурсов, имеющихся в распоряжении банка, то фондирование становится базой эффективности финансовых результатов деятельности банка. Исходя из того, что, как было рассмотрено выше, конкурентоустойчивость вбирает в себя конкурентоспособность и отражает возможности банка легко адаптироваться к изменениям финансового рынка и оставаться достаточно устойчивым даже в периоды кризисов, то </w:t>
      </w:r>
      <w:r w:rsidR="00081119" w:rsidRPr="00802D35">
        <w:rPr>
          <w:rFonts w:ascii="Times New Roman" w:hAnsi="Times New Roman" w:cs="Times New Roman"/>
          <w:sz w:val="28"/>
          <w:szCs w:val="28"/>
        </w:rPr>
        <w:t>та самая конкурентоустойчивость зависит напрямую от</w:t>
      </w:r>
      <w:r w:rsidRPr="00802D35">
        <w:rPr>
          <w:rFonts w:ascii="Times New Roman" w:hAnsi="Times New Roman" w:cs="Times New Roman"/>
          <w:sz w:val="28"/>
          <w:szCs w:val="28"/>
        </w:rPr>
        <w:t xml:space="preserve"> качества р</w:t>
      </w:r>
      <w:r w:rsidR="00081119" w:rsidRPr="00802D35">
        <w:rPr>
          <w:rFonts w:ascii="Times New Roman" w:hAnsi="Times New Roman" w:cs="Times New Roman"/>
          <w:sz w:val="28"/>
          <w:szCs w:val="28"/>
        </w:rPr>
        <w:t xml:space="preserve">есурсной базы и ее размещения. Следовательно, можно утверждать, что фондирование выступает драйвером конкурентоустойчивости банка. </w:t>
      </w:r>
    </w:p>
    <w:p w:rsidR="00CE321A" w:rsidRPr="00802D35" w:rsidRDefault="00081119" w:rsidP="00842BB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Итак, б</w:t>
      </w:r>
      <w:r w:rsidR="00CE321A" w:rsidRPr="00802D35">
        <w:rPr>
          <w:rFonts w:ascii="Times New Roman" w:hAnsi="Times New Roman" w:cs="Times New Roman"/>
          <w:sz w:val="28"/>
          <w:szCs w:val="28"/>
        </w:rPr>
        <w:t>анковское фондирование может иметь различную структуру и ее эффективность во многом зависит от политики банка и организации управления ресурсами. Диверсифицированная структура фондирования и рациональное соотношение различных его видов обеспечивает основу эффективности деятельности банка и отражает степень его конкурентоустойчивости.</w:t>
      </w:r>
    </w:p>
    <w:p w:rsidR="005F1CA2" w:rsidRPr="00802D35" w:rsidRDefault="00CE321A" w:rsidP="00CE321A">
      <w:pPr>
        <w:shd w:val="clear" w:color="auto" w:fill="FFFFFF"/>
        <w:spacing w:after="0" w:line="240" w:lineRule="auto"/>
        <w:ind w:firstLine="567"/>
        <w:jc w:val="both"/>
        <w:outlineLvl w:val="1"/>
        <w:rPr>
          <w:rFonts w:ascii="Times New Roman" w:hAnsi="Times New Roman" w:cs="Times New Roman"/>
          <w:sz w:val="28"/>
          <w:szCs w:val="28"/>
        </w:rPr>
      </w:pPr>
      <w:r w:rsidRPr="00802D35">
        <w:rPr>
          <w:rFonts w:ascii="Times New Roman" w:hAnsi="Times New Roman" w:cs="Times New Roman"/>
          <w:sz w:val="28"/>
          <w:szCs w:val="28"/>
        </w:rPr>
        <w:lastRenderedPageBreak/>
        <w:t xml:space="preserve">Одновременно, при управлении фондированием важное значение отводится его стоимости. </w:t>
      </w:r>
      <w:r w:rsidR="002E3B58" w:rsidRPr="00802D35">
        <w:rPr>
          <w:rFonts w:ascii="Times New Roman" w:hAnsi="Times New Roman" w:cs="Times New Roman"/>
          <w:sz w:val="28"/>
          <w:szCs w:val="28"/>
        </w:rPr>
        <w:t xml:space="preserve">Стоимость фондирования для банка - это цена, которую он должен заплатить, чтобы возместить свои обязательства. </w:t>
      </w:r>
      <w:r w:rsidR="003B0FAF" w:rsidRPr="00802D35">
        <w:rPr>
          <w:rFonts w:ascii="Times New Roman" w:hAnsi="Times New Roman" w:cs="Times New Roman"/>
          <w:sz w:val="28"/>
          <w:szCs w:val="28"/>
        </w:rPr>
        <w:t>Данная стоимость может быть выражена в процентах, то есть определяется ставка фондирования. В идеале ставка фондирования должна устанавливаться для каждого вида сделок в банке отдельно индивидуально и зависеть от срочности и доходности активов. Однако, как показывает казахстанская практика, большинство банков применяет метод усреднения ставки фондирования, что зачастую приводит к искажениям и неверной оценки доходности и как следствие маржи банка.</w:t>
      </w:r>
    </w:p>
    <w:p w:rsidR="005C1C85" w:rsidRPr="00802D35" w:rsidRDefault="00CE321A" w:rsidP="00CE321A">
      <w:pPr>
        <w:shd w:val="clear" w:color="auto" w:fill="FFFFFF"/>
        <w:spacing w:after="0" w:line="240" w:lineRule="auto"/>
        <w:ind w:firstLine="567"/>
        <w:jc w:val="both"/>
        <w:outlineLvl w:val="1"/>
        <w:rPr>
          <w:rFonts w:ascii="Times New Roman" w:hAnsi="Times New Roman" w:cs="Times New Roman"/>
          <w:sz w:val="28"/>
          <w:szCs w:val="28"/>
        </w:rPr>
      </w:pPr>
      <w:r w:rsidRPr="00802D35">
        <w:rPr>
          <w:rFonts w:ascii="Times New Roman" w:hAnsi="Times New Roman" w:cs="Times New Roman"/>
          <w:sz w:val="28"/>
          <w:szCs w:val="28"/>
        </w:rPr>
        <w:t>Как правило, снижение стоимости фондирования обеспечивает рост прибыли банков. Более того, на макроуровне</w:t>
      </w:r>
      <w:r w:rsidR="00F91262" w:rsidRPr="00802D35">
        <w:rPr>
          <w:rFonts w:ascii="Times New Roman" w:hAnsi="Times New Roman" w:cs="Times New Roman"/>
          <w:sz w:val="28"/>
          <w:szCs w:val="28"/>
        </w:rPr>
        <w:t xml:space="preserve"> стоимость фондирования оказывает влияние не только на прибыль и финансовую устойчивость самого банка, но и значительное влияние на денежно-кредитную и финансовую стабильность государства в целом</w:t>
      </w:r>
      <w:r w:rsidRPr="00802D35">
        <w:rPr>
          <w:rFonts w:ascii="Times New Roman" w:hAnsi="Times New Roman" w:cs="Times New Roman"/>
          <w:sz w:val="28"/>
          <w:szCs w:val="28"/>
        </w:rPr>
        <w:t xml:space="preserve">, </w:t>
      </w:r>
      <w:r w:rsidR="000442DC" w:rsidRPr="00802D35">
        <w:rPr>
          <w:rFonts w:ascii="Times New Roman" w:hAnsi="Times New Roman" w:cs="Times New Roman"/>
          <w:sz w:val="28"/>
          <w:szCs w:val="28"/>
        </w:rPr>
        <w:t>поскольку эти затраты на финансирование являются неотъемлемой частью передаточного механизма денежно-кредитной политики и прогнозов роста и инфляции.</w:t>
      </w:r>
    </w:p>
    <w:p w:rsidR="00F91262" w:rsidRPr="00802D35" w:rsidRDefault="00F91262" w:rsidP="00CE321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Стоимость фондирования банков может повлиять на перспективы роста и </w:t>
      </w:r>
      <w:r w:rsidR="00CE321A" w:rsidRPr="00802D35">
        <w:rPr>
          <w:rFonts w:ascii="Times New Roman" w:hAnsi="Times New Roman" w:cs="Times New Roman"/>
          <w:sz w:val="28"/>
          <w:szCs w:val="28"/>
        </w:rPr>
        <w:t xml:space="preserve">уровень </w:t>
      </w:r>
      <w:r w:rsidRPr="00802D35">
        <w:rPr>
          <w:rFonts w:ascii="Times New Roman" w:hAnsi="Times New Roman" w:cs="Times New Roman"/>
          <w:sz w:val="28"/>
          <w:szCs w:val="28"/>
        </w:rPr>
        <w:t xml:space="preserve">инфляции и, следовательно, является важным фактором денежно-кредитной политики. </w:t>
      </w:r>
      <w:r w:rsidR="00CE321A" w:rsidRPr="00802D35">
        <w:rPr>
          <w:rFonts w:ascii="Times New Roman" w:hAnsi="Times New Roman" w:cs="Times New Roman"/>
          <w:sz w:val="28"/>
          <w:szCs w:val="28"/>
        </w:rPr>
        <w:t>Увеличение стоимости фондирования приводит к тому, что банки вынуждены повышать проценты по кредитам, что способствует сокращению поступления денег в обращение и обеспечение экономического роста</w:t>
      </w:r>
      <w:r w:rsidR="00AF111D" w:rsidRPr="00802D35">
        <w:rPr>
          <w:rFonts w:ascii="Times New Roman" w:hAnsi="Times New Roman" w:cs="Times New Roman"/>
          <w:sz w:val="28"/>
          <w:szCs w:val="28"/>
        </w:rPr>
        <w:t>.</w:t>
      </w:r>
    </w:p>
    <w:p w:rsidR="00F91262" w:rsidRPr="00802D35" w:rsidRDefault="00AF111D" w:rsidP="00AF111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Затраты банка на фондирование</w:t>
      </w:r>
      <w:r w:rsidR="00F91262" w:rsidRPr="00802D35">
        <w:rPr>
          <w:rFonts w:ascii="Times New Roman" w:hAnsi="Times New Roman" w:cs="Times New Roman"/>
          <w:sz w:val="28"/>
          <w:szCs w:val="28"/>
        </w:rPr>
        <w:t xml:space="preserve"> также имеют значение для финансовой стабильности</w:t>
      </w:r>
      <w:r w:rsidRPr="00802D35">
        <w:rPr>
          <w:rFonts w:ascii="Times New Roman" w:hAnsi="Times New Roman" w:cs="Times New Roman"/>
          <w:sz w:val="28"/>
          <w:szCs w:val="28"/>
        </w:rPr>
        <w:t xml:space="preserve"> государства</w:t>
      </w:r>
      <w:r w:rsidR="00F91262" w:rsidRPr="00802D35">
        <w:rPr>
          <w:rFonts w:ascii="Times New Roman" w:hAnsi="Times New Roman" w:cs="Times New Roman"/>
          <w:sz w:val="28"/>
          <w:szCs w:val="28"/>
        </w:rPr>
        <w:t>. Рост стоимости фондирования снижает прибыльность банка, если банк решает покрыть более высокие затраты, оставив свои ставки по кредитам неизменными. В качестве альтернативы банки могут решить переложить увеличение стоимости фондирования на заемщиков, повысив ставки, взимаемые по новым кредитам. Но эта более высокая стоимость кредита может негативно повлиять на общую экономическую активность, а при более высоких затратах на обслуживание долга количество заемщиков, которые не могут погасить свои займы, также может возрасти. Это приведет к увеличению кредитных убытков, с которыми сталкивается банк, что снова снизит его прибыльность. Со временем снижение прибыльности может разрушить буфер капитала банка, угрожая его платежеспособности и создавая риски для финансовой стабильности.</w:t>
      </w:r>
    </w:p>
    <w:p w:rsidR="00EE3CAF" w:rsidRPr="00802D35" w:rsidRDefault="00A97B4E" w:rsidP="00A97B4E">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Как было сказано ранее, </w:t>
      </w:r>
      <w:r w:rsidR="00842BBA" w:rsidRPr="00802D35">
        <w:rPr>
          <w:rFonts w:ascii="Times New Roman" w:hAnsi="Times New Roman" w:cs="Times New Roman"/>
          <w:sz w:val="28"/>
          <w:szCs w:val="28"/>
        </w:rPr>
        <w:t xml:space="preserve">банки </w:t>
      </w:r>
      <w:r w:rsidRPr="00802D35">
        <w:rPr>
          <w:rFonts w:ascii="Times New Roman" w:hAnsi="Times New Roman" w:cs="Times New Roman"/>
          <w:sz w:val="28"/>
          <w:szCs w:val="28"/>
        </w:rPr>
        <w:t>стремятся</w:t>
      </w:r>
      <w:r w:rsidR="00842BBA" w:rsidRPr="00802D35">
        <w:rPr>
          <w:rFonts w:ascii="Times New Roman" w:hAnsi="Times New Roman" w:cs="Times New Roman"/>
          <w:sz w:val="28"/>
          <w:szCs w:val="28"/>
        </w:rPr>
        <w:t xml:space="preserve"> управлять своими </w:t>
      </w:r>
      <w:r w:rsidRPr="00802D35">
        <w:rPr>
          <w:rFonts w:ascii="Times New Roman" w:hAnsi="Times New Roman" w:cs="Times New Roman"/>
          <w:sz w:val="28"/>
          <w:szCs w:val="28"/>
        </w:rPr>
        <w:t>финансами</w:t>
      </w:r>
      <w:r w:rsidR="00842BBA" w:rsidRPr="00802D35">
        <w:rPr>
          <w:rFonts w:ascii="Times New Roman" w:hAnsi="Times New Roman" w:cs="Times New Roman"/>
          <w:sz w:val="28"/>
          <w:szCs w:val="28"/>
        </w:rPr>
        <w:t xml:space="preserve"> таким образом, чтобы максимизировать прибыль, то есть разницу между доходом, полученным от активов, и любыми связанными с этим расходами. </w:t>
      </w:r>
      <w:r w:rsidRPr="00802D35">
        <w:rPr>
          <w:rFonts w:ascii="Times New Roman" w:hAnsi="Times New Roman" w:cs="Times New Roman"/>
          <w:sz w:val="28"/>
          <w:szCs w:val="28"/>
        </w:rPr>
        <w:t>В данном случае с</w:t>
      </w:r>
      <w:r w:rsidR="00842BBA" w:rsidRPr="00802D35">
        <w:rPr>
          <w:rFonts w:ascii="Times New Roman" w:hAnsi="Times New Roman" w:cs="Times New Roman"/>
          <w:sz w:val="28"/>
          <w:szCs w:val="28"/>
        </w:rPr>
        <w:t xml:space="preserve">тоимость фондирования </w:t>
      </w:r>
      <w:r w:rsidRPr="00802D35">
        <w:rPr>
          <w:rFonts w:ascii="Times New Roman" w:hAnsi="Times New Roman" w:cs="Times New Roman"/>
          <w:sz w:val="28"/>
          <w:szCs w:val="28"/>
        </w:rPr>
        <w:t>становится отправной точкой для банка</w:t>
      </w:r>
      <w:r w:rsidR="00842BBA" w:rsidRPr="00802D35">
        <w:rPr>
          <w:rFonts w:ascii="Times New Roman" w:hAnsi="Times New Roman" w:cs="Times New Roman"/>
          <w:sz w:val="28"/>
          <w:szCs w:val="28"/>
        </w:rPr>
        <w:t xml:space="preserve">. </w:t>
      </w:r>
      <w:r w:rsidRPr="00802D35">
        <w:rPr>
          <w:rFonts w:ascii="Times New Roman" w:hAnsi="Times New Roman" w:cs="Times New Roman"/>
          <w:sz w:val="28"/>
          <w:szCs w:val="28"/>
        </w:rPr>
        <w:t>Стандартно,</w:t>
      </w:r>
      <w:r w:rsidR="00842BBA" w:rsidRPr="00802D35">
        <w:rPr>
          <w:rFonts w:ascii="Times New Roman" w:hAnsi="Times New Roman" w:cs="Times New Roman"/>
          <w:sz w:val="28"/>
          <w:szCs w:val="28"/>
        </w:rPr>
        <w:t xml:space="preserve"> прибыльност</w:t>
      </w:r>
      <w:r w:rsidRPr="00802D35">
        <w:rPr>
          <w:rFonts w:ascii="Times New Roman" w:hAnsi="Times New Roman" w:cs="Times New Roman"/>
          <w:sz w:val="28"/>
          <w:szCs w:val="28"/>
        </w:rPr>
        <w:t>ь банка</w:t>
      </w:r>
      <w:r w:rsidR="00842BBA" w:rsidRPr="00802D35">
        <w:rPr>
          <w:rFonts w:ascii="Times New Roman" w:hAnsi="Times New Roman" w:cs="Times New Roman"/>
          <w:sz w:val="28"/>
          <w:szCs w:val="28"/>
        </w:rPr>
        <w:t xml:space="preserve"> рассчитывается как разница между средней ценой </w:t>
      </w:r>
      <w:r w:rsidRPr="00802D35">
        <w:rPr>
          <w:rFonts w:ascii="Times New Roman" w:hAnsi="Times New Roman" w:cs="Times New Roman"/>
          <w:sz w:val="28"/>
          <w:szCs w:val="28"/>
        </w:rPr>
        <w:t>размещения ресурсов</w:t>
      </w:r>
      <w:r w:rsidR="00842BBA" w:rsidRPr="00802D35">
        <w:rPr>
          <w:rFonts w:ascii="Times New Roman" w:hAnsi="Times New Roman" w:cs="Times New Roman"/>
          <w:sz w:val="28"/>
          <w:szCs w:val="28"/>
        </w:rPr>
        <w:t xml:space="preserve"> и средней стоимостью фондирования. </w:t>
      </w:r>
      <w:r w:rsidRPr="00802D35">
        <w:rPr>
          <w:rFonts w:ascii="Times New Roman" w:hAnsi="Times New Roman" w:cs="Times New Roman"/>
          <w:sz w:val="28"/>
          <w:szCs w:val="28"/>
        </w:rPr>
        <w:t xml:space="preserve">Данный </w:t>
      </w:r>
      <w:r w:rsidR="00842BBA" w:rsidRPr="00802D35">
        <w:rPr>
          <w:rFonts w:ascii="Times New Roman" w:hAnsi="Times New Roman" w:cs="Times New Roman"/>
          <w:sz w:val="28"/>
          <w:szCs w:val="28"/>
        </w:rPr>
        <w:t xml:space="preserve">показатель </w:t>
      </w:r>
      <w:r w:rsidRPr="00802D35">
        <w:rPr>
          <w:rFonts w:ascii="Times New Roman" w:hAnsi="Times New Roman" w:cs="Times New Roman"/>
          <w:sz w:val="28"/>
          <w:szCs w:val="28"/>
        </w:rPr>
        <w:t>также</w:t>
      </w:r>
      <w:r w:rsidR="00842BBA" w:rsidRPr="00802D35">
        <w:rPr>
          <w:rFonts w:ascii="Times New Roman" w:hAnsi="Times New Roman" w:cs="Times New Roman"/>
          <w:sz w:val="28"/>
          <w:szCs w:val="28"/>
        </w:rPr>
        <w:t xml:space="preserve"> называют «чистой процентной маржей». </w:t>
      </w:r>
      <w:r w:rsidRPr="00802D35">
        <w:rPr>
          <w:rFonts w:ascii="Times New Roman" w:hAnsi="Times New Roman" w:cs="Times New Roman"/>
          <w:sz w:val="28"/>
          <w:szCs w:val="28"/>
        </w:rPr>
        <w:t>При таком подходе получается</w:t>
      </w:r>
      <w:r w:rsidR="00842BBA" w:rsidRPr="00802D35">
        <w:rPr>
          <w:rFonts w:ascii="Times New Roman" w:hAnsi="Times New Roman" w:cs="Times New Roman"/>
          <w:sz w:val="28"/>
          <w:szCs w:val="28"/>
        </w:rPr>
        <w:t>, что если цена, которую банк должен платить за нов</w:t>
      </w:r>
      <w:r w:rsidRPr="00802D35">
        <w:rPr>
          <w:rFonts w:ascii="Times New Roman" w:hAnsi="Times New Roman" w:cs="Times New Roman"/>
          <w:sz w:val="28"/>
          <w:szCs w:val="28"/>
        </w:rPr>
        <w:t xml:space="preserve">ый </w:t>
      </w:r>
      <w:r w:rsidRPr="00802D35">
        <w:rPr>
          <w:rFonts w:ascii="Times New Roman" w:hAnsi="Times New Roman" w:cs="Times New Roman"/>
          <w:sz w:val="28"/>
          <w:szCs w:val="28"/>
        </w:rPr>
        <w:lastRenderedPageBreak/>
        <w:t>источник</w:t>
      </w:r>
      <w:r w:rsidR="00842BBA" w:rsidRPr="00802D35">
        <w:rPr>
          <w:rFonts w:ascii="Times New Roman" w:hAnsi="Times New Roman" w:cs="Times New Roman"/>
          <w:sz w:val="28"/>
          <w:szCs w:val="28"/>
        </w:rPr>
        <w:t xml:space="preserve"> </w:t>
      </w:r>
      <w:r w:rsidRPr="00802D35">
        <w:rPr>
          <w:rFonts w:ascii="Times New Roman" w:hAnsi="Times New Roman" w:cs="Times New Roman"/>
          <w:sz w:val="28"/>
          <w:szCs w:val="28"/>
        </w:rPr>
        <w:t>фондирования</w:t>
      </w:r>
      <w:r w:rsidR="00842BBA" w:rsidRPr="00802D35">
        <w:rPr>
          <w:rFonts w:ascii="Times New Roman" w:hAnsi="Times New Roman" w:cs="Times New Roman"/>
          <w:sz w:val="28"/>
          <w:szCs w:val="28"/>
        </w:rPr>
        <w:t xml:space="preserve">, вырастет, то, </w:t>
      </w:r>
      <w:r w:rsidR="006A46B8" w:rsidRPr="00802D35">
        <w:rPr>
          <w:rFonts w:ascii="Times New Roman" w:hAnsi="Times New Roman" w:cs="Times New Roman"/>
          <w:sz w:val="28"/>
          <w:szCs w:val="28"/>
        </w:rPr>
        <w:t>при сохранении прежних ставок по размещению привлеченных средств</w:t>
      </w:r>
      <w:r w:rsidR="00842BBA" w:rsidRPr="00802D35">
        <w:rPr>
          <w:rFonts w:ascii="Times New Roman" w:hAnsi="Times New Roman" w:cs="Times New Roman"/>
          <w:sz w:val="28"/>
          <w:szCs w:val="28"/>
        </w:rPr>
        <w:t xml:space="preserve">, его чистая процентная маржа </w:t>
      </w:r>
      <w:r w:rsidR="006A46B8" w:rsidRPr="00802D35">
        <w:rPr>
          <w:rFonts w:ascii="Times New Roman" w:hAnsi="Times New Roman" w:cs="Times New Roman"/>
          <w:sz w:val="28"/>
          <w:szCs w:val="28"/>
        </w:rPr>
        <w:t>(</w:t>
      </w:r>
      <w:r w:rsidR="00842BBA" w:rsidRPr="00802D35">
        <w:rPr>
          <w:rFonts w:ascii="Times New Roman" w:hAnsi="Times New Roman" w:cs="Times New Roman"/>
          <w:sz w:val="28"/>
          <w:szCs w:val="28"/>
        </w:rPr>
        <w:t>прибыльность</w:t>
      </w:r>
      <w:r w:rsidR="006A46B8" w:rsidRPr="00802D35">
        <w:rPr>
          <w:rFonts w:ascii="Times New Roman" w:hAnsi="Times New Roman" w:cs="Times New Roman"/>
          <w:sz w:val="28"/>
          <w:szCs w:val="28"/>
        </w:rPr>
        <w:t>)</w:t>
      </w:r>
      <w:r w:rsidR="00842BBA" w:rsidRPr="00802D35">
        <w:rPr>
          <w:rFonts w:ascii="Times New Roman" w:hAnsi="Times New Roman" w:cs="Times New Roman"/>
          <w:sz w:val="28"/>
          <w:szCs w:val="28"/>
        </w:rPr>
        <w:t xml:space="preserve"> упадет. </w:t>
      </w:r>
    </w:p>
    <w:p w:rsidR="00EE3CAF" w:rsidRPr="00802D35" w:rsidRDefault="00EE3CAF" w:rsidP="00A97B4E">
      <w:pPr>
        <w:widowControl w:val="0"/>
        <w:spacing w:after="0" w:line="240" w:lineRule="auto"/>
        <w:ind w:firstLine="567"/>
        <w:jc w:val="both"/>
        <w:rPr>
          <w:rFonts w:ascii="Times New Roman" w:hAnsi="Times New Roman" w:cs="Times New Roman"/>
          <w:i/>
          <w:sz w:val="28"/>
          <w:szCs w:val="28"/>
        </w:rPr>
      </w:pPr>
      <w:r w:rsidRPr="00802D35">
        <w:rPr>
          <w:rFonts w:ascii="Times New Roman" w:hAnsi="Times New Roman" w:cs="Times New Roman"/>
          <w:sz w:val="28"/>
          <w:szCs w:val="28"/>
        </w:rPr>
        <w:t xml:space="preserve">Здесь, на наш взгляд, важно выделить следующие составляющие стоимости фондирования, которые, к сожалению, в отечественной научной литературе не рассматриваются: предельная </w:t>
      </w:r>
      <w:r w:rsidR="000E40EF" w:rsidRPr="00802D35">
        <w:rPr>
          <w:rFonts w:ascii="Times New Roman" w:hAnsi="Times New Roman" w:cs="Times New Roman"/>
          <w:sz w:val="28"/>
          <w:szCs w:val="28"/>
        </w:rPr>
        <w:t>стоимость</w:t>
      </w:r>
      <w:r w:rsidR="00A86E4B" w:rsidRPr="00802D35">
        <w:rPr>
          <w:rFonts w:ascii="Times New Roman" w:hAnsi="Times New Roman" w:cs="Times New Roman"/>
          <w:sz w:val="28"/>
          <w:szCs w:val="28"/>
        </w:rPr>
        <w:t xml:space="preserve"> фондирования</w:t>
      </w:r>
      <w:r w:rsidRPr="00802D35">
        <w:rPr>
          <w:rFonts w:ascii="Times New Roman" w:hAnsi="Times New Roman" w:cs="Times New Roman"/>
          <w:sz w:val="28"/>
          <w:szCs w:val="28"/>
        </w:rPr>
        <w:t xml:space="preserve"> и стоимость </w:t>
      </w:r>
      <w:r w:rsidR="00A86E4B" w:rsidRPr="00802D35">
        <w:rPr>
          <w:rFonts w:ascii="Times New Roman" w:hAnsi="Times New Roman" w:cs="Times New Roman"/>
          <w:sz w:val="28"/>
          <w:szCs w:val="28"/>
        </w:rPr>
        <w:t>запасов фондирования.</w:t>
      </w:r>
      <w:r w:rsidR="000E40EF" w:rsidRPr="00802D35">
        <w:rPr>
          <w:rFonts w:ascii="Times New Roman" w:hAnsi="Times New Roman" w:cs="Times New Roman"/>
          <w:sz w:val="28"/>
          <w:szCs w:val="28"/>
        </w:rPr>
        <w:t xml:space="preserve"> Если рассматривать фонд ресурсов как совокупный портфель, то стоимость такого портфеля будет оцениваться как средневзвешенная стоимость всех источников фондирования. При этом, данный портфель будет постоянно обновляемым, что означает регулярное поступление новых ресурсов, новых средств фондирования. В результате возникает вопрос, какой вклад вносит каждая новая единица фондирования в данный портфель? Иными словами, какова предельная стоимость фондирования. Таким образом, </w:t>
      </w:r>
      <w:r w:rsidR="000E40EF" w:rsidRPr="00802D35">
        <w:rPr>
          <w:rFonts w:ascii="Times New Roman" w:hAnsi="Times New Roman" w:cs="Times New Roman"/>
          <w:i/>
          <w:sz w:val="28"/>
          <w:szCs w:val="28"/>
        </w:rPr>
        <w:t xml:space="preserve">под предельной стоимостью фондирования мы будем понимать стоимость дополнительной единицы фондирования и ее вклад в средневзвешенную стоимость фондирования банка в целом. </w:t>
      </w:r>
    </w:p>
    <w:p w:rsidR="00CA1B46" w:rsidRPr="00802D35" w:rsidRDefault="000E40EF" w:rsidP="00A97B4E">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Одновременно, в процессе фондирования в результате дополнительных вливаний образуется некоторый арсенал ресурсов, которые в текущий период времени еще не распределены в различного рода вложения. На практике невозможно обеспечить </w:t>
      </w:r>
      <w:r w:rsidR="0098784B" w:rsidRPr="00802D35">
        <w:rPr>
          <w:rFonts w:ascii="Times New Roman" w:hAnsi="Times New Roman" w:cs="Times New Roman"/>
          <w:sz w:val="28"/>
          <w:szCs w:val="28"/>
        </w:rPr>
        <w:t xml:space="preserve">осуществление вложений в активы сразу же по поступлении пассивов в банк. Между поступлением ресурсов и их непосредственном размещении в активы в процессе фондирования возникает разрыв во времени, в течение которого образуются провизии, стоимость в текущий момент которых мы рассматриваем как стоимость запасов фондирования. Таким образом, </w:t>
      </w:r>
      <w:r w:rsidR="0098784B" w:rsidRPr="00802D35">
        <w:rPr>
          <w:rFonts w:ascii="Times New Roman" w:hAnsi="Times New Roman" w:cs="Times New Roman"/>
          <w:i/>
          <w:sz w:val="28"/>
          <w:szCs w:val="28"/>
        </w:rPr>
        <w:t xml:space="preserve">с нашей точки зрения, стоимость запаса фондирования представляет собой цену привлеченных ресурсов банка, которые в течение определенного времени не были распределены в активы. </w:t>
      </w:r>
      <w:r w:rsidR="0098784B" w:rsidRPr="00802D35">
        <w:rPr>
          <w:rFonts w:ascii="Times New Roman" w:hAnsi="Times New Roman" w:cs="Times New Roman"/>
          <w:sz w:val="28"/>
          <w:szCs w:val="28"/>
        </w:rPr>
        <w:t>Важность оценки стоимости запасов фондирования заключается в том, что увеличение динамики их роста может свидетельствовать о наличии избыточной ликвидности и о неэффективной политике размещения средств в банке. Более того, увеличение стоимости запасов фондирования свидетельствует о росте риска неплатежеспособности банка</w:t>
      </w:r>
      <w:r w:rsidR="00BE5F71" w:rsidRPr="00802D35">
        <w:rPr>
          <w:rFonts w:ascii="Times New Roman" w:hAnsi="Times New Roman" w:cs="Times New Roman"/>
          <w:sz w:val="28"/>
          <w:szCs w:val="28"/>
        </w:rPr>
        <w:t>, поскольку эти расходы не возмещаются за счет стабильных доходов. При этом, большое значение имеет и срок, в течение которого запасы фондирования остаются нераспределенными. Чем больше данный срок, тем выше риски банка.</w:t>
      </w:r>
    </w:p>
    <w:p w:rsidR="00F91262" w:rsidRPr="00802D35" w:rsidRDefault="00842BBA" w:rsidP="00A97B4E">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Размер воздействия будет зависеть от того, насколько возрастет предельная стоимость </w:t>
      </w:r>
      <w:r w:rsidR="006A46B8" w:rsidRPr="00802D35">
        <w:rPr>
          <w:rFonts w:ascii="Times New Roman" w:hAnsi="Times New Roman" w:cs="Times New Roman"/>
          <w:sz w:val="28"/>
          <w:szCs w:val="28"/>
        </w:rPr>
        <w:t>фондирования</w:t>
      </w:r>
      <w:r w:rsidRPr="00802D35">
        <w:rPr>
          <w:rFonts w:ascii="Times New Roman" w:hAnsi="Times New Roman" w:cs="Times New Roman"/>
          <w:sz w:val="28"/>
          <w:szCs w:val="28"/>
        </w:rPr>
        <w:t xml:space="preserve">, </w:t>
      </w:r>
      <w:r w:rsidR="006A46B8" w:rsidRPr="00802D35">
        <w:rPr>
          <w:rFonts w:ascii="Times New Roman" w:hAnsi="Times New Roman" w:cs="Times New Roman"/>
          <w:sz w:val="28"/>
          <w:szCs w:val="28"/>
        </w:rPr>
        <w:t>а также</w:t>
      </w:r>
      <w:r w:rsidRPr="00802D35">
        <w:rPr>
          <w:rFonts w:ascii="Times New Roman" w:hAnsi="Times New Roman" w:cs="Times New Roman"/>
          <w:sz w:val="28"/>
          <w:szCs w:val="28"/>
        </w:rPr>
        <w:t xml:space="preserve"> от того, насколько </w:t>
      </w:r>
      <w:r w:rsidR="006A46B8" w:rsidRPr="00802D35">
        <w:rPr>
          <w:rFonts w:ascii="Times New Roman" w:hAnsi="Times New Roman" w:cs="Times New Roman"/>
          <w:sz w:val="28"/>
          <w:szCs w:val="28"/>
        </w:rPr>
        <w:t>больше текущий</w:t>
      </w:r>
      <w:r w:rsidRPr="00802D35">
        <w:rPr>
          <w:rFonts w:ascii="Times New Roman" w:hAnsi="Times New Roman" w:cs="Times New Roman"/>
          <w:sz w:val="28"/>
          <w:szCs w:val="28"/>
        </w:rPr>
        <w:t xml:space="preserve"> </w:t>
      </w:r>
      <w:r w:rsidR="006A46B8" w:rsidRPr="00802D35">
        <w:rPr>
          <w:rFonts w:ascii="Times New Roman" w:hAnsi="Times New Roman" w:cs="Times New Roman"/>
          <w:sz w:val="28"/>
          <w:szCs w:val="28"/>
        </w:rPr>
        <w:t>объем</w:t>
      </w:r>
      <w:r w:rsidRPr="00802D35">
        <w:rPr>
          <w:rFonts w:ascii="Times New Roman" w:hAnsi="Times New Roman" w:cs="Times New Roman"/>
          <w:sz w:val="28"/>
          <w:szCs w:val="28"/>
        </w:rPr>
        <w:t xml:space="preserve"> </w:t>
      </w:r>
      <w:r w:rsidR="006A46B8" w:rsidRPr="00802D35">
        <w:rPr>
          <w:rFonts w:ascii="Times New Roman" w:hAnsi="Times New Roman" w:cs="Times New Roman"/>
          <w:sz w:val="28"/>
          <w:szCs w:val="28"/>
        </w:rPr>
        <w:t>фондирования</w:t>
      </w:r>
      <w:r w:rsidRPr="00802D35">
        <w:rPr>
          <w:rFonts w:ascii="Times New Roman" w:hAnsi="Times New Roman" w:cs="Times New Roman"/>
          <w:sz w:val="28"/>
          <w:szCs w:val="28"/>
        </w:rPr>
        <w:t xml:space="preserve"> </w:t>
      </w:r>
      <w:r w:rsidR="006A46B8" w:rsidRPr="00802D35">
        <w:rPr>
          <w:rFonts w:ascii="Times New Roman" w:hAnsi="Times New Roman" w:cs="Times New Roman"/>
          <w:sz w:val="28"/>
          <w:szCs w:val="28"/>
        </w:rPr>
        <w:t>в</w:t>
      </w:r>
      <w:r w:rsidRPr="00802D35">
        <w:rPr>
          <w:rFonts w:ascii="Times New Roman" w:hAnsi="Times New Roman" w:cs="Times New Roman"/>
          <w:sz w:val="28"/>
          <w:szCs w:val="28"/>
        </w:rPr>
        <w:t xml:space="preserve"> сравнени</w:t>
      </w:r>
      <w:r w:rsidR="006A46B8" w:rsidRPr="00802D35">
        <w:rPr>
          <w:rFonts w:ascii="Times New Roman" w:hAnsi="Times New Roman" w:cs="Times New Roman"/>
          <w:sz w:val="28"/>
          <w:szCs w:val="28"/>
        </w:rPr>
        <w:t>и</w:t>
      </w:r>
      <w:r w:rsidRPr="00802D35">
        <w:rPr>
          <w:rFonts w:ascii="Times New Roman" w:hAnsi="Times New Roman" w:cs="Times New Roman"/>
          <w:sz w:val="28"/>
          <w:szCs w:val="28"/>
        </w:rPr>
        <w:t xml:space="preserve"> с объемом существующего </w:t>
      </w:r>
      <w:r w:rsidR="006A46B8" w:rsidRPr="00802D35">
        <w:rPr>
          <w:rFonts w:ascii="Times New Roman" w:hAnsi="Times New Roman" w:cs="Times New Roman"/>
          <w:sz w:val="28"/>
          <w:szCs w:val="28"/>
        </w:rPr>
        <w:t>фондирования</w:t>
      </w:r>
      <w:r w:rsidRPr="00802D35">
        <w:rPr>
          <w:rFonts w:ascii="Times New Roman" w:hAnsi="Times New Roman" w:cs="Times New Roman"/>
          <w:sz w:val="28"/>
          <w:szCs w:val="28"/>
        </w:rPr>
        <w:t>, поскольку это</w:t>
      </w:r>
      <w:r w:rsidR="006A46B8" w:rsidRPr="00802D35">
        <w:rPr>
          <w:rFonts w:ascii="Times New Roman" w:hAnsi="Times New Roman" w:cs="Times New Roman"/>
          <w:sz w:val="28"/>
          <w:szCs w:val="28"/>
        </w:rPr>
        <w:t>, в конечном итоге,</w:t>
      </w:r>
      <w:r w:rsidRPr="00802D35">
        <w:rPr>
          <w:rFonts w:ascii="Times New Roman" w:hAnsi="Times New Roman" w:cs="Times New Roman"/>
          <w:sz w:val="28"/>
          <w:szCs w:val="28"/>
        </w:rPr>
        <w:t xml:space="preserve"> определяет, </w:t>
      </w:r>
      <w:r w:rsidR="006A46B8" w:rsidRPr="00802D35">
        <w:rPr>
          <w:rFonts w:ascii="Times New Roman" w:hAnsi="Times New Roman" w:cs="Times New Roman"/>
          <w:sz w:val="28"/>
          <w:szCs w:val="28"/>
        </w:rPr>
        <w:t xml:space="preserve">как в среднем </w:t>
      </w:r>
      <w:r w:rsidRPr="00802D35">
        <w:rPr>
          <w:rFonts w:ascii="Times New Roman" w:hAnsi="Times New Roman" w:cs="Times New Roman"/>
          <w:sz w:val="28"/>
          <w:szCs w:val="28"/>
        </w:rPr>
        <w:t xml:space="preserve">предельная стоимость </w:t>
      </w:r>
      <w:r w:rsidR="006A46B8" w:rsidRPr="00802D35">
        <w:rPr>
          <w:rFonts w:ascii="Times New Roman" w:hAnsi="Times New Roman" w:cs="Times New Roman"/>
          <w:sz w:val="28"/>
          <w:szCs w:val="28"/>
        </w:rPr>
        <w:t>фондирования оказывает</w:t>
      </w:r>
      <w:r w:rsidRPr="00802D35">
        <w:rPr>
          <w:rFonts w:ascii="Times New Roman" w:hAnsi="Times New Roman" w:cs="Times New Roman"/>
          <w:sz w:val="28"/>
          <w:szCs w:val="28"/>
        </w:rPr>
        <w:t xml:space="preserve"> влия</w:t>
      </w:r>
      <w:r w:rsidR="006A46B8" w:rsidRPr="00802D35">
        <w:rPr>
          <w:rFonts w:ascii="Times New Roman" w:hAnsi="Times New Roman" w:cs="Times New Roman"/>
          <w:sz w:val="28"/>
          <w:szCs w:val="28"/>
        </w:rPr>
        <w:t>ние на</w:t>
      </w:r>
      <w:r w:rsidRPr="00802D35">
        <w:rPr>
          <w:rFonts w:ascii="Times New Roman" w:hAnsi="Times New Roman" w:cs="Times New Roman"/>
          <w:sz w:val="28"/>
          <w:szCs w:val="28"/>
        </w:rPr>
        <w:t xml:space="preserve"> стоимость </w:t>
      </w:r>
      <w:r w:rsidR="006A46B8" w:rsidRPr="00802D35">
        <w:rPr>
          <w:rFonts w:ascii="Times New Roman" w:hAnsi="Times New Roman" w:cs="Times New Roman"/>
          <w:sz w:val="28"/>
          <w:szCs w:val="28"/>
        </w:rPr>
        <w:t>фондирования в целом</w:t>
      </w:r>
      <w:r w:rsidRPr="00802D35">
        <w:rPr>
          <w:rFonts w:ascii="Times New Roman" w:hAnsi="Times New Roman" w:cs="Times New Roman"/>
          <w:sz w:val="28"/>
          <w:szCs w:val="28"/>
        </w:rPr>
        <w:t>.</w:t>
      </w:r>
    </w:p>
    <w:p w:rsidR="00D84381" w:rsidRPr="00802D35" w:rsidRDefault="00140AC7" w:rsidP="0089009E">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Следовательно, стоимость фондирования напрямую оказывает влияние не только на деятельность самого банка, но и на уровень экономического развития страны, что требует от банков грамотного и рационального подхода к политике </w:t>
      </w:r>
      <w:r w:rsidRPr="00802D35">
        <w:rPr>
          <w:rFonts w:ascii="Times New Roman" w:hAnsi="Times New Roman" w:cs="Times New Roman"/>
          <w:sz w:val="28"/>
          <w:szCs w:val="28"/>
        </w:rPr>
        <w:lastRenderedPageBreak/>
        <w:t>фондирования.</w:t>
      </w:r>
      <w:r w:rsidR="00A46A9A" w:rsidRPr="00802D35">
        <w:rPr>
          <w:rFonts w:ascii="Times New Roman" w:hAnsi="Times New Roman" w:cs="Times New Roman"/>
          <w:sz w:val="28"/>
          <w:szCs w:val="28"/>
        </w:rPr>
        <w:t xml:space="preserve"> С этой целью банки должны понимать, какие факторы оказывают влияние на стоимость фондирования</w:t>
      </w:r>
      <w:r w:rsidR="006C3577" w:rsidRPr="00802D35">
        <w:rPr>
          <w:rFonts w:ascii="Times New Roman" w:hAnsi="Times New Roman" w:cs="Times New Roman"/>
          <w:sz w:val="28"/>
          <w:szCs w:val="28"/>
        </w:rPr>
        <w:t xml:space="preserve"> (рисунок </w:t>
      </w:r>
      <w:r w:rsidR="00E361BD" w:rsidRPr="00802D35">
        <w:rPr>
          <w:rFonts w:ascii="Times New Roman" w:hAnsi="Times New Roman" w:cs="Times New Roman"/>
          <w:sz w:val="28"/>
          <w:szCs w:val="28"/>
        </w:rPr>
        <w:t>5</w:t>
      </w:r>
      <w:r w:rsidR="006C3577" w:rsidRPr="00802D35">
        <w:rPr>
          <w:rFonts w:ascii="Times New Roman" w:hAnsi="Times New Roman" w:cs="Times New Roman"/>
          <w:sz w:val="28"/>
          <w:szCs w:val="28"/>
        </w:rPr>
        <w:t>).</w:t>
      </w:r>
    </w:p>
    <w:p w:rsidR="00E40DE9" w:rsidRPr="00802D35" w:rsidRDefault="00E40DE9" w:rsidP="0089009E">
      <w:pPr>
        <w:widowControl w:val="0"/>
        <w:spacing w:after="0" w:line="240" w:lineRule="auto"/>
        <w:ind w:firstLine="567"/>
        <w:jc w:val="both"/>
        <w:rPr>
          <w:rFonts w:ascii="Times New Roman" w:hAnsi="Times New Roman" w:cs="Times New Roman"/>
          <w:sz w:val="28"/>
          <w:szCs w:val="28"/>
        </w:rPr>
      </w:pPr>
    </w:p>
    <w:p w:rsidR="006C3577" w:rsidRPr="00802D35" w:rsidRDefault="006C3577" w:rsidP="00984095">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noProof/>
          <w:sz w:val="28"/>
          <w:szCs w:val="28"/>
          <w:lang w:eastAsia="ru-RU"/>
        </w:rPr>
        <w:drawing>
          <wp:inline distT="0" distB="0" distL="0" distR="0">
            <wp:extent cx="6082018" cy="2944536"/>
            <wp:effectExtent l="0" t="57150" r="0" b="12255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40DE9" w:rsidRPr="00802D35" w:rsidRDefault="00E40DE9" w:rsidP="00B83588">
      <w:pPr>
        <w:widowControl w:val="0"/>
        <w:spacing w:after="0" w:line="240" w:lineRule="auto"/>
        <w:ind w:firstLine="567"/>
        <w:jc w:val="center"/>
        <w:rPr>
          <w:rFonts w:ascii="Times New Roman" w:hAnsi="Times New Roman" w:cs="Times New Roman"/>
          <w:sz w:val="28"/>
          <w:szCs w:val="28"/>
        </w:rPr>
      </w:pPr>
    </w:p>
    <w:p w:rsidR="00A46A9A" w:rsidRPr="00802D35" w:rsidRDefault="00984095" w:rsidP="00B83588">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 xml:space="preserve">Рисунок </w:t>
      </w:r>
      <w:r w:rsidR="00E361BD" w:rsidRPr="00802D35">
        <w:rPr>
          <w:rFonts w:ascii="Times New Roman" w:hAnsi="Times New Roman" w:cs="Times New Roman"/>
          <w:sz w:val="28"/>
          <w:szCs w:val="28"/>
        </w:rPr>
        <w:t>5</w:t>
      </w:r>
      <w:r w:rsidRPr="00802D35">
        <w:rPr>
          <w:rFonts w:ascii="Times New Roman" w:hAnsi="Times New Roman" w:cs="Times New Roman"/>
          <w:sz w:val="28"/>
          <w:szCs w:val="28"/>
        </w:rPr>
        <w:t xml:space="preserve"> – Факторы, влияющие на стоимость фондирования банков</w:t>
      </w:r>
    </w:p>
    <w:p w:rsidR="00B83588" w:rsidRPr="00802D35" w:rsidRDefault="00B83588" w:rsidP="0089009E">
      <w:pPr>
        <w:widowControl w:val="0"/>
        <w:spacing w:after="0" w:line="240" w:lineRule="auto"/>
        <w:ind w:firstLine="567"/>
        <w:jc w:val="both"/>
        <w:rPr>
          <w:rFonts w:ascii="Times New Roman" w:hAnsi="Times New Roman" w:cs="Times New Roman"/>
          <w:sz w:val="28"/>
          <w:szCs w:val="28"/>
        </w:rPr>
      </w:pPr>
    </w:p>
    <w:p w:rsidR="00984095" w:rsidRPr="00802D35" w:rsidRDefault="00984095" w:rsidP="0089009E">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w:t>
      </w:r>
    </w:p>
    <w:p w:rsidR="00984095" w:rsidRPr="00802D35" w:rsidRDefault="00984095" w:rsidP="0089009E">
      <w:pPr>
        <w:widowControl w:val="0"/>
        <w:spacing w:after="0" w:line="240" w:lineRule="auto"/>
        <w:ind w:firstLine="567"/>
        <w:jc w:val="both"/>
        <w:rPr>
          <w:rFonts w:ascii="Times New Roman" w:hAnsi="Times New Roman" w:cs="Times New Roman"/>
          <w:sz w:val="28"/>
          <w:szCs w:val="28"/>
        </w:rPr>
      </w:pPr>
    </w:p>
    <w:p w:rsidR="005033EB" w:rsidRPr="00802D35" w:rsidRDefault="005033EB" w:rsidP="005033EB">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Важное значение при формировании стоимости фондирования и устойчивости банка к ее изменениям имеет его капитализация, выступающая одним из показателей устойчивости и надежности банка.</w:t>
      </w:r>
    </w:p>
    <w:p w:rsidR="0089009E" w:rsidRPr="00802D35" w:rsidRDefault="006C3577" w:rsidP="008B5C25">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правило</w:t>
      </w:r>
      <w:r w:rsidR="00A46A9A" w:rsidRPr="00802D35">
        <w:rPr>
          <w:rFonts w:ascii="Times New Roman" w:hAnsi="Times New Roman" w:cs="Times New Roman"/>
          <w:sz w:val="28"/>
          <w:szCs w:val="28"/>
        </w:rPr>
        <w:t>, стоимость фондирования для более капитализированных банков будет оставаться относительно более низкой и более стабильной после потрясений в стоимости их базовых активов.</w:t>
      </w:r>
      <w:r w:rsidRPr="00802D35">
        <w:rPr>
          <w:rFonts w:ascii="Times New Roman" w:hAnsi="Times New Roman" w:cs="Times New Roman"/>
          <w:sz w:val="28"/>
          <w:szCs w:val="28"/>
        </w:rPr>
        <w:t xml:space="preserve"> </w:t>
      </w:r>
    </w:p>
    <w:p w:rsidR="008B5C25" w:rsidRPr="00802D35" w:rsidRDefault="008B5C25" w:rsidP="008B5C25">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Политика центральных банков также оказывает влияние на стоимость фондирования. В данном случае это осуществляется с двух позиций: определение ставки </w:t>
      </w:r>
      <w:r w:rsidR="003E4E00" w:rsidRPr="00802D35">
        <w:rPr>
          <w:rFonts w:ascii="Times New Roman" w:hAnsi="Times New Roman" w:cs="Times New Roman"/>
          <w:sz w:val="28"/>
          <w:szCs w:val="28"/>
        </w:rPr>
        <w:t xml:space="preserve">рефинансирования </w:t>
      </w:r>
      <w:r w:rsidRPr="00802D35">
        <w:rPr>
          <w:rFonts w:ascii="Times New Roman" w:hAnsi="Times New Roman" w:cs="Times New Roman"/>
          <w:sz w:val="28"/>
          <w:szCs w:val="28"/>
        </w:rPr>
        <w:t xml:space="preserve">на рынке страны (безрисковой) и пруденциальные нормативы. В первом случае, банки будут вынуждены поднять проценты по вкладам, что напрямую отразится на увеличении стоимости фондирования. Также увеличение коснется и процентов по вновь эмитируемым ценным бумагам, поскольку банку необходимо сделать их более привлекательными. </w:t>
      </w:r>
    </w:p>
    <w:p w:rsidR="008B5C25" w:rsidRPr="00802D35" w:rsidRDefault="008B5C25" w:rsidP="008B5C25">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Сравнительно низкие вознаграждения по привлекаемым ресурсам могут позволить себе банки с высоким рейтингом, присвоенным им международными рейтинговыми агентствами. Высокий рейтинг свидетельствует о надежности банка, и многие клиенты и инвесторы предпочтут наличие гарантии, а значит более низки</w:t>
      </w:r>
      <w:r w:rsidR="00984095" w:rsidRPr="00802D35">
        <w:rPr>
          <w:rFonts w:ascii="Times New Roman" w:hAnsi="Times New Roman" w:cs="Times New Roman"/>
          <w:sz w:val="28"/>
          <w:szCs w:val="28"/>
        </w:rPr>
        <w:t>е</w:t>
      </w:r>
      <w:r w:rsidRPr="00802D35">
        <w:rPr>
          <w:rFonts w:ascii="Times New Roman" w:hAnsi="Times New Roman" w:cs="Times New Roman"/>
          <w:sz w:val="28"/>
          <w:szCs w:val="28"/>
        </w:rPr>
        <w:t xml:space="preserve"> риск</w:t>
      </w:r>
      <w:r w:rsidR="00984095" w:rsidRPr="00802D35">
        <w:rPr>
          <w:rFonts w:ascii="Times New Roman" w:hAnsi="Times New Roman" w:cs="Times New Roman"/>
          <w:sz w:val="28"/>
          <w:szCs w:val="28"/>
        </w:rPr>
        <w:t xml:space="preserve">и. </w:t>
      </w:r>
    </w:p>
    <w:p w:rsidR="004D2738" w:rsidRPr="00802D35" w:rsidRDefault="003E4E00" w:rsidP="004D273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Большое значение при формировании стоимости фондирования имеют затраты банка</w:t>
      </w:r>
      <w:r w:rsidR="004D2738" w:rsidRPr="00802D35">
        <w:rPr>
          <w:rFonts w:ascii="Times New Roman" w:hAnsi="Times New Roman" w:cs="Times New Roman"/>
          <w:sz w:val="28"/>
          <w:szCs w:val="28"/>
        </w:rPr>
        <w:t xml:space="preserve">. При этом, все затраты по фондированию стандартно делятся на </w:t>
      </w:r>
      <w:r w:rsidR="004D2738" w:rsidRPr="00802D35">
        <w:rPr>
          <w:rFonts w:ascii="Times New Roman" w:hAnsi="Times New Roman" w:cs="Times New Roman"/>
          <w:sz w:val="28"/>
          <w:szCs w:val="28"/>
        </w:rPr>
        <w:lastRenderedPageBreak/>
        <w:t xml:space="preserve">прямые и косвенные. </w:t>
      </w:r>
      <w:r w:rsidR="00597986" w:rsidRPr="00802D35">
        <w:rPr>
          <w:rFonts w:ascii="Times New Roman" w:hAnsi="Times New Roman" w:cs="Times New Roman"/>
          <w:sz w:val="28"/>
          <w:szCs w:val="28"/>
        </w:rPr>
        <w:t>Прям</w:t>
      </w:r>
      <w:r w:rsidR="004D2738" w:rsidRPr="00802D35">
        <w:rPr>
          <w:rFonts w:ascii="Times New Roman" w:hAnsi="Times New Roman" w:cs="Times New Roman"/>
          <w:sz w:val="28"/>
          <w:szCs w:val="28"/>
        </w:rPr>
        <w:t>ые</w:t>
      </w:r>
      <w:r w:rsidR="00597986" w:rsidRPr="00802D35">
        <w:rPr>
          <w:rFonts w:ascii="Times New Roman" w:hAnsi="Times New Roman" w:cs="Times New Roman"/>
          <w:sz w:val="28"/>
          <w:szCs w:val="28"/>
        </w:rPr>
        <w:t xml:space="preserve"> </w:t>
      </w:r>
      <w:r w:rsidR="004D2738" w:rsidRPr="00802D35">
        <w:rPr>
          <w:rFonts w:ascii="Times New Roman" w:hAnsi="Times New Roman" w:cs="Times New Roman"/>
          <w:sz w:val="28"/>
          <w:szCs w:val="28"/>
        </w:rPr>
        <w:t>затраты фондирования</w:t>
      </w:r>
      <w:r w:rsidR="00597986" w:rsidRPr="00802D35">
        <w:rPr>
          <w:rFonts w:ascii="Times New Roman" w:hAnsi="Times New Roman" w:cs="Times New Roman"/>
          <w:sz w:val="28"/>
          <w:szCs w:val="28"/>
        </w:rPr>
        <w:t xml:space="preserve"> </w:t>
      </w:r>
      <w:r w:rsidR="004D2738" w:rsidRPr="00802D35">
        <w:rPr>
          <w:rFonts w:ascii="Times New Roman" w:hAnsi="Times New Roman" w:cs="Times New Roman"/>
          <w:sz w:val="28"/>
          <w:szCs w:val="28"/>
        </w:rPr>
        <w:t>–</w:t>
      </w:r>
      <w:r w:rsidR="00597986" w:rsidRPr="00802D35">
        <w:rPr>
          <w:rFonts w:ascii="Times New Roman" w:hAnsi="Times New Roman" w:cs="Times New Roman"/>
          <w:sz w:val="28"/>
          <w:szCs w:val="28"/>
        </w:rPr>
        <w:t xml:space="preserve"> это</w:t>
      </w:r>
      <w:r w:rsidR="004D2738" w:rsidRPr="00802D35">
        <w:rPr>
          <w:rFonts w:ascii="Times New Roman" w:hAnsi="Times New Roman" w:cs="Times New Roman"/>
          <w:sz w:val="28"/>
          <w:szCs w:val="28"/>
        </w:rPr>
        <w:t xml:space="preserve"> </w:t>
      </w:r>
      <w:r w:rsidR="00597986" w:rsidRPr="00802D35">
        <w:rPr>
          <w:rFonts w:ascii="Times New Roman" w:hAnsi="Times New Roman" w:cs="Times New Roman"/>
          <w:sz w:val="28"/>
          <w:szCs w:val="28"/>
        </w:rPr>
        <w:t xml:space="preserve">проценты, которые банк должен платить за </w:t>
      </w:r>
      <w:r w:rsidR="004D2738" w:rsidRPr="00802D35">
        <w:rPr>
          <w:rFonts w:ascii="Times New Roman" w:hAnsi="Times New Roman" w:cs="Times New Roman"/>
          <w:sz w:val="28"/>
          <w:szCs w:val="28"/>
        </w:rPr>
        <w:t>получаемые ресурсы</w:t>
      </w:r>
      <w:r w:rsidR="00597986" w:rsidRPr="00802D35">
        <w:rPr>
          <w:rFonts w:ascii="Times New Roman" w:hAnsi="Times New Roman" w:cs="Times New Roman"/>
          <w:sz w:val="28"/>
          <w:szCs w:val="28"/>
        </w:rPr>
        <w:t xml:space="preserve">. </w:t>
      </w:r>
      <w:r w:rsidR="004D2738" w:rsidRPr="00802D35">
        <w:rPr>
          <w:rFonts w:ascii="Times New Roman" w:hAnsi="Times New Roman" w:cs="Times New Roman"/>
          <w:sz w:val="28"/>
          <w:szCs w:val="28"/>
        </w:rPr>
        <w:t xml:space="preserve">Так, по вкладам эти затраты представлены вознаграждениями в виде процентов, по акциям – дивидендами, по облигациям – купонами, по межбанковским займам – процентами и т.п. </w:t>
      </w:r>
    </w:p>
    <w:p w:rsidR="00597986" w:rsidRPr="00802D35" w:rsidRDefault="004D2738" w:rsidP="009A14E9">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Помимо прямых затрат банки несут дополнительные затраты по фондированию. </w:t>
      </w:r>
      <w:r w:rsidR="00597986" w:rsidRPr="00802D35">
        <w:rPr>
          <w:rFonts w:ascii="Times New Roman" w:hAnsi="Times New Roman" w:cs="Times New Roman"/>
          <w:sz w:val="28"/>
          <w:szCs w:val="28"/>
        </w:rPr>
        <w:t xml:space="preserve">Существуют различные косвенные затраты, включая комиссионные, уплачиваемые </w:t>
      </w:r>
      <w:r w:rsidRPr="00802D35">
        <w:rPr>
          <w:rFonts w:ascii="Times New Roman" w:hAnsi="Times New Roman" w:cs="Times New Roman"/>
          <w:sz w:val="28"/>
          <w:szCs w:val="28"/>
        </w:rPr>
        <w:t>за</w:t>
      </w:r>
      <w:r w:rsidR="00597986" w:rsidRPr="00802D35">
        <w:rPr>
          <w:rFonts w:ascii="Times New Roman" w:hAnsi="Times New Roman" w:cs="Times New Roman"/>
          <w:sz w:val="28"/>
          <w:szCs w:val="28"/>
        </w:rPr>
        <w:t xml:space="preserve"> </w:t>
      </w:r>
      <w:r w:rsidRPr="00802D35">
        <w:rPr>
          <w:rFonts w:ascii="Times New Roman" w:hAnsi="Times New Roman" w:cs="Times New Roman"/>
          <w:sz w:val="28"/>
          <w:szCs w:val="28"/>
        </w:rPr>
        <w:t>оказанные услуги</w:t>
      </w:r>
      <w:r w:rsidR="00597986" w:rsidRPr="00802D35">
        <w:rPr>
          <w:rFonts w:ascii="Times New Roman" w:hAnsi="Times New Roman" w:cs="Times New Roman"/>
          <w:sz w:val="28"/>
          <w:szCs w:val="28"/>
        </w:rPr>
        <w:t xml:space="preserve">; сборы, уплаченные за регистрацию </w:t>
      </w:r>
      <w:r w:rsidRPr="00802D35">
        <w:rPr>
          <w:rFonts w:ascii="Times New Roman" w:hAnsi="Times New Roman" w:cs="Times New Roman"/>
          <w:sz w:val="28"/>
          <w:szCs w:val="28"/>
        </w:rPr>
        <w:t xml:space="preserve">акций и </w:t>
      </w:r>
      <w:r w:rsidR="00597986" w:rsidRPr="00802D35">
        <w:rPr>
          <w:rFonts w:ascii="Times New Roman" w:hAnsi="Times New Roman" w:cs="Times New Roman"/>
          <w:sz w:val="28"/>
          <w:szCs w:val="28"/>
        </w:rPr>
        <w:t>облигаций в листинговом органе; и сборы, уплачиваемые рейтинго</w:t>
      </w:r>
      <w:r w:rsidRPr="00802D35">
        <w:rPr>
          <w:rFonts w:ascii="Times New Roman" w:hAnsi="Times New Roman" w:cs="Times New Roman"/>
          <w:sz w:val="28"/>
          <w:szCs w:val="28"/>
        </w:rPr>
        <w:t xml:space="preserve">вым агентствам за оценку долга; </w:t>
      </w:r>
      <w:r w:rsidR="00597986" w:rsidRPr="00802D35">
        <w:rPr>
          <w:rFonts w:ascii="Times New Roman" w:hAnsi="Times New Roman" w:cs="Times New Roman"/>
          <w:sz w:val="28"/>
          <w:szCs w:val="28"/>
        </w:rPr>
        <w:t xml:space="preserve">юридические </w:t>
      </w:r>
      <w:r w:rsidRPr="00802D35">
        <w:rPr>
          <w:rFonts w:ascii="Times New Roman" w:hAnsi="Times New Roman" w:cs="Times New Roman"/>
          <w:sz w:val="28"/>
          <w:szCs w:val="28"/>
        </w:rPr>
        <w:t>расходы</w:t>
      </w:r>
      <w:r w:rsidR="00597986" w:rsidRPr="00802D35">
        <w:rPr>
          <w:rFonts w:ascii="Times New Roman" w:hAnsi="Times New Roman" w:cs="Times New Roman"/>
          <w:sz w:val="28"/>
          <w:szCs w:val="28"/>
        </w:rPr>
        <w:t>, связанные со структурированием сделки и подготовкой юридической документации</w:t>
      </w:r>
      <w:r w:rsidRPr="00802D35">
        <w:rPr>
          <w:rFonts w:ascii="Times New Roman" w:hAnsi="Times New Roman" w:cs="Times New Roman"/>
          <w:sz w:val="28"/>
          <w:szCs w:val="28"/>
        </w:rPr>
        <w:t xml:space="preserve">; </w:t>
      </w:r>
      <w:r w:rsidR="00597986" w:rsidRPr="00802D35">
        <w:rPr>
          <w:rFonts w:ascii="Times New Roman" w:hAnsi="Times New Roman" w:cs="Times New Roman"/>
          <w:sz w:val="28"/>
          <w:szCs w:val="28"/>
        </w:rPr>
        <w:t xml:space="preserve">расходы, связанные с </w:t>
      </w:r>
      <w:r w:rsidRPr="00802D35">
        <w:rPr>
          <w:rFonts w:ascii="Times New Roman" w:hAnsi="Times New Roman" w:cs="Times New Roman"/>
          <w:sz w:val="28"/>
          <w:szCs w:val="28"/>
        </w:rPr>
        <w:t>реализацией залогов и др.</w:t>
      </w:r>
      <w:r w:rsidR="00597986" w:rsidRPr="00802D35">
        <w:rPr>
          <w:rFonts w:ascii="Times New Roman" w:hAnsi="Times New Roman" w:cs="Times New Roman"/>
          <w:sz w:val="28"/>
          <w:szCs w:val="28"/>
        </w:rPr>
        <w:t xml:space="preserve"> </w:t>
      </w:r>
      <w:r w:rsidR="009A14E9" w:rsidRPr="00802D35">
        <w:rPr>
          <w:rFonts w:ascii="Times New Roman" w:hAnsi="Times New Roman" w:cs="Times New Roman"/>
          <w:sz w:val="28"/>
          <w:szCs w:val="28"/>
        </w:rPr>
        <w:t>[</w:t>
      </w:r>
      <w:r w:rsidR="000B0564" w:rsidRPr="00802D35">
        <w:rPr>
          <w:rFonts w:ascii="Times New Roman" w:hAnsi="Times New Roman" w:cs="Times New Roman"/>
          <w:sz w:val="28"/>
          <w:szCs w:val="28"/>
        </w:rPr>
        <w:t>46</w:t>
      </w:r>
      <w:r w:rsidR="009A14E9" w:rsidRPr="00802D35">
        <w:rPr>
          <w:rFonts w:ascii="Times New Roman" w:hAnsi="Times New Roman" w:cs="Times New Roman"/>
          <w:sz w:val="28"/>
          <w:szCs w:val="28"/>
        </w:rPr>
        <w:t>]</w:t>
      </w:r>
      <w:r w:rsidR="00597986" w:rsidRPr="00802D35">
        <w:rPr>
          <w:rFonts w:ascii="Times New Roman" w:hAnsi="Times New Roman" w:cs="Times New Roman"/>
          <w:sz w:val="28"/>
          <w:szCs w:val="28"/>
        </w:rPr>
        <w:t>.</w:t>
      </w:r>
      <w:r w:rsidR="00BF65C5" w:rsidRPr="00802D35">
        <w:rPr>
          <w:rFonts w:ascii="Times New Roman" w:hAnsi="Times New Roman" w:cs="Times New Roman"/>
          <w:sz w:val="28"/>
          <w:szCs w:val="28"/>
        </w:rPr>
        <w:t xml:space="preserve"> Естественно, что </w:t>
      </w:r>
      <w:r w:rsidR="00214EDA" w:rsidRPr="00802D35">
        <w:rPr>
          <w:rFonts w:ascii="Times New Roman" w:hAnsi="Times New Roman" w:cs="Times New Roman"/>
          <w:sz w:val="28"/>
          <w:szCs w:val="28"/>
        </w:rPr>
        <w:t>увеличение любых затрат, как прямых, так и косвенных</w:t>
      </w:r>
      <w:r w:rsidR="00136CF5" w:rsidRPr="00802D35">
        <w:rPr>
          <w:rFonts w:ascii="Times New Roman" w:hAnsi="Times New Roman" w:cs="Times New Roman"/>
          <w:sz w:val="28"/>
          <w:szCs w:val="28"/>
        </w:rPr>
        <w:t>,</w:t>
      </w:r>
      <w:r w:rsidR="00214EDA" w:rsidRPr="00802D35">
        <w:rPr>
          <w:rFonts w:ascii="Times New Roman" w:hAnsi="Times New Roman" w:cs="Times New Roman"/>
          <w:sz w:val="28"/>
          <w:szCs w:val="28"/>
        </w:rPr>
        <w:t xml:space="preserve"> напрямую оказывает влияние на стоимость фондирования.  </w:t>
      </w:r>
    </w:p>
    <w:p w:rsidR="00136CF5" w:rsidRPr="00802D35" w:rsidRDefault="00136CF5" w:rsidP="009A14E9">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Стоимость фондирования может также зависеть и от наличия конкуренции между банками за определенный источник фондирования. Некоторые банки в такой борьбе увеличивают вознаграждения (прямые затраты), что аналогичным образом оказывает непосредственное влияние на стоимость фондирования в конечном итоге.</w:t>
      </w:r>
    </w:p>
    <w:p w:rsidR="00136CF5" w:rsidRPr="00802D35" w:rsidRDefault="00D82B8C" w:rsidP="009A14E9">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Влияние на уровень процентов оказывают и </w:t>
      </w:r>
      <w:r w:rsidR="0002221B" w:rsidRPr="00802D35">
        <w:rPr>
          <w:rFonts w:ascii="Times New Roman" w:hAnsi="Times New Roman" w:cs="Times New Roman"/>
          <w:sz w:val="28"/>
          <w:szCs w:val="28"/>
        </w:rPr>
        <w:t>изменение спроса на другие альтернативные возможности инвестирования. Например, если валютный рынок отличается высокой волатильностью в определенный период времени, то он становится более привлекательным для инвесторов. Это способствует перетоку капитала на валютный рынок. В результате может снизиться спрос на такие продукты как депозиты, облигации банка и др. Снижение спроса спровоцирует недостаток таких ресурсов и усилит конкуренцию банков за эти средства.</w:t>
      </w:r>
    </w:p>
    <w:p w:rsidR="00935D62" w:rsidRPr="00802D35" w:rsidRDefault="00935D62" w:rsidP="009A14E9">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результате, следует отметить, что стоимость фондирования базируется на ставке рефинансирования центрального банка, к которой банк должен добавить часть расходов по покрытию кредитных рисков</w:t>
      </w:r>
      <w:r w:rsidR="00224499" w:rsidRPr="00802D35">
        <w:rPr>
          <w:rFonts w:ascii="Times New Roman" w:hAnsi="Times New Roman" w:cs="Times New Roman"/>
          <w:sz w:val="28"/>
          <w:szCs w:val="28"/>
        </w:rPr>
        <w:t xml:space="preserve">, </w:t>
      </w:r>
      <w:r w:rsidRPr="00802D35">
        <w:rPr>
          <w:rFonts w:ascii="Times New Roman" w:hAnsi="Times New Roman" w:cs="Times New Roman"/>
          <w:sz w:val="28"/>
          <w:szCs w:val="28"/>
        </w:rPr>
        <w:t>рисков ликвидности</w:t>
      </w:r>
      <w:r w:rsidR="00BF1391" w:rsidRPr="00802D35">
        <w:rPr>
          <w:rFonts w:ascii="Times New Roman" w:hAnsi="Times New Roman" w:cs="Times New Roman"/>
          <w:sz w:val="28"/>
          <w:szCs w:val="28"/>
        </w:rPr>
        <w:t xml:space="preserve"> </w:t>
      </w:r>
      <w:r w:rsidR="00224499" w:rsidRPr="00802D35">
        <w:rPr>
          <w:rFonts w:ascii="Times New Roman" w:hAnsi="Times New Roman" w:cs="Times New Roman"/>
          <w:sz w:val="28"/>
          <w:szCs w:val="28"/>
        </w:rPr>
        <w:t xml:space="preserve"> и др. </w:t>
      </w:r>
      <w:r w:rsidR="00BF1391" w:rsidRPr="00802D35">
        <w:rPr>
          <w:rFonts w:ascii="Times New Roman" w:hAnsi="Times New Roman" w:cs="Times New Roman"/>
          <w:sz w:val="28"/>
          <w:szCs w:val="28"/>
        </w:rPr>
        <w:t xml:space="preserve">в виде премии за </w:t>
      </w:r>
      <w:r w:rsidR="00E6194F" w:rsidRPr="00802D35">
        <w:rPr>
          <w:rFonts w:ascii="Times New Roman" w:hAnsi="Times New Roman" w:cs="Times New Roman"/>
          <w:sz w:val="28"/>
          <w:szCs w:val="28"/>
        </w:rPr>
        <w:t xml:space="preserve">соответствующий </w:t>
      </w:r>
      <w:r w:rsidR="00BF1391" w:rsidRPr="00802D35">
        <w:rPr>
          <w:rFonts w:ascii="Times New Roman" w:hAnsi="Times New Roman" w:cs="Times New Roman"/>
          <w:sz w:val="28"/>
          <w:szCs w:val="28"/>
        </w:rPr>
        <w:t>риск.</w:t>
      </w:r>
    </w:p>
    <w:p w:rsidR="003E39AC" w:rsidRPr="00802D35" w:rsidRDefault="003E39AC" w:rsidP="009A14E9">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Таким образом, на стоимость фондирования оказывают как экзогенные, так и эндогенные факторы на макро и микроуровне. Следовательно, обобщив все данные аспекты, можно отметить, что при формировании итоговой стоимости фондирования банку следует учесть </w:t>
      </w:r>
      <w:r w:rsidR="00224499" w:rsidRPr="00802D35">
        <w:rPr>
          <w:rFonts w:ascii="Times New Roman" w:hAnsi="Times New Roman" w:cs="Times New Roman"/>
          <w:sz w:val="28"/>
          <w:szCs w:val="28"/>
        </w:rPr>
        <w:t xml:space="preserve">безрисковую ставку, </w:t>
      </w:r>
    </w:p>
    <w:p w:rsidR="003E39AC" w:rsidRPr="00802D35" w:rsidRDefault="003E39AC" w:rsidP="009A14E9">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итоге, </w:t>
      </w:r>
      <w:r w:rsidR="00B309FA" w:rsidRPr="00802D35">
        <w:rPr>
          <w:rFonts w:ascii="Times New Roman" w:hAnsi="Times New Roman" w:cs="Times New Roman"/>
          <w:sz w:val="28"/>
          <w:szCs w:val="28"/>
        </w:rPr>
        <w:t xml:space="preserve">формирование </w:t>
      </w:r>
      <w:r w:rsidRPr="00802D35">
        <w:rPr>
          <w:rFonts w:ascii="Times New Roman" w:hAnsi="Times New Roman" w:cs="Times New Roman"/>
          <w:sz w:val="28"/>
          <w:szCs w:val="28"/>
        </w:rPr>
        <w:t>стоимост</w:t>
      </w:r>
      <w:r w:rsidR="00B309FA" w:rsidRPr="00802D35">
        <w:rPr>
          <w:rFonts w:ascii="Times New Roman" w:hAnsi="Times New Roman" w:cs="Times New Roman"/>
          <w:sz w:val="28"/>
          <w:szCs w:val="28"/>
        </w:rPr>
        <w:t>и</w:t>
      </w:r>
      <w:r w:rsidRPr="00802D35">
        <w:rPr>
          <w:rFonts w:ascii="Times New Roman" w:hAnsi="Times New Roman" w:cs="Times New Roman"/>
          <w:sz w:val="28"/>
          <w:szCs w:val="28"/>
        </w:rPr>
        <w:t xml:space="preserve"> фондирования можно представить следующим образом (рисунок </w:t>
      </w:r>
      <w:r w:rsidR="00E361BD" w:rsidRPr="00802D35">
        <w:rPr>
          <w:rFonts w:ascii="Times New Roman" w:hAnsi="Times New Roman" w:cs="Times New Roman"/>
          <w:sz w:val="28"/>
          <w:szCs w:val="28"/>
        </w:rPr>
        <w:t>6</w:t>
      </w:r>
      <w:r w:rsidRPr="00802D35">
        <w:rPr>
          <w:rFonts w:ascii="Times New Roman" w:hAnsi="Times New Roman" w:cs="Times New Roman"/>
          <w:sz w:val="28"/>
          <w:szCs w:val="28"/>
        </w:rPr>
        <w:t>).</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Исходя из данных рисунка 6 можно отметить, что отправной точкой определения стоимости фондирования выступает ставка рефинансирования, устанавливаемая Национальным банком, которую можно также рассматривать как безрисковую ставку процента. Эта часть стоимости фондирования не зависит от банка и является неуправляемой частью со стороны самого банка. это фактор политик центральных банков государства.</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Премия за риск зависит от многих факторов, как на макро уровне, так и факторов, являющихся специфическими для каждого банка. На макроуровне, </w:t>
      </w:r>
      <w:r w:rsidRPr="00802D35">
        <w:rPr>
          <w:rFonts w:ascii="Times New Roman" w:hAnsi="Times New Roman" w:cs="Times New Roman"/>
          <w:sz w:val="28"/>
          <w:szCs w:val="28"/>
        </w:rPr>
        <w:lastRenderedPageBreak/>
        <w:t xml:space="preserve">как правило, возникают рыночные риски, оказывающие влияние на фондирование, например, уровень развития банковского сектора, экономики страны в целом, риски повышения процентных ставок на рынке в результате изменения политики центрального банка и др. специфическим (нерыночными) рисками являются те, которые непосредственно связаны с деятельностью самого банка, например, методика оценки кредитоспособности заемщиков, бизнес-модель банка, рейтинг, финансовое состояние и т.п. </w:t>
      </w:r>
    </w:p>
    <w:p w:rsidR="003E39AC" w:rsidRPr="00802D35" w:rsidRDefault="003E39AC" w:rsidP="009A14E9">
      <w:pPr>
        <w:autoSpaceDE w:val="0"/>
        <w:autoSpaceDN w:val="0"/>
        <w:adjustRightInd w:val="0"/>
        <w:spacing w:after="0" w:line="240" w:lineRule="auto"/>
        <w:ind w:firstLine="567"/>
        <w:jc w:val="both"/>
        <w:rPr>
          <w:rFonts w:ascii="Times New Roman" w:hAnsi="Times New Roman" w:cs="Times New Roman"/>
          <w:sz w:val="28"/>
          <w:szCs w:val="28"/>
        </w:rPr>
      </w:pPr>
    </w:p>
    <w:p w:rsidR="00B309FA" w:rsidRPr="00802D35" w:rsidRDefault="00B309FA" w:rsidP="009A14E9">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noProof/>
          <w:sz w:val="28"/>
          <w:szCs w:val="28"/>
          <w:lang w:eastAsia="ru-RU"/>
        </w:rPr>
        <w:drawing>
          <wp:inline distT="0" distB="0" distL="0" distR="0">
            <wp:extent cx="5486400" cy="1929468"/>
            <wp:effectExtent l="57150" t="57150" r="76200" b="109220"/>
            <wp:docPr id="289" name="Схема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A14E9" w:rsidRPr="00802D35" w:rsidRDefault="009A14E9" w:rsidP="009A14E9">
      <w:pPr>
        <w:autoSpaceDE w:val="0"/>
        <w:autoSpaceDN w:val="0"/>
        <w:adjustRightInd w:val="0"/>
        <w:spacing w:after="0" w:line="240" w:lineRule="auto"/>
        <w:ind w:firstLine="567"/>
        <w:jc w:val="both"/>
        <w:rPr>
          <w:rFonts w:ascii="Times New Roman" w:hAnsi="Times New Roman" w:cs="Times New Roman"/>
          <w:sz w:val="28"/>
          <w:szCs w:val="28"/>
        </w:rPr>
      </w:pPr>
    </w:p>
    <w:p w:rsidR="00842BBA" w:rsidRPr="00802D35" w:rsidRDefault="003B0FAF" w:rsidP="003B0FAF">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 xml:space="preserve">Рисунок </w:t>
      </w:r>
      <w:r w:rsidR="00E361BD" w:rsidRPr="00802D35">
        <w:rPr>
          <w:rFonts w:ascii="Times New Roman" w:hAnsi="Times New Roman" w:cs="Times New Roman"/>
          <w:sz w:val="28"/>
          <w:szCs w:val="28"/>
        </w:rPr>
        <w:t>6</w:t>
      </w:r>
      <w:r w:rsidRPr="00802D35">
        <w:rPr>
          <w:rFonts w:ascii="Times New Roman" w:hAnsi="Times New Roman" w:cs="Times New Roman"/>
          <w:sz w:val="28"/>
          <w:szCs w:val="28"/>
        </w:rPr>
        <w:t xml:space="preserve"> – Структура стоимости фондирования банка</w:t>
      </w:r>
    </w:p>
    <w:p w:rsidR="00B83588" w:rsidRPr="00802D35" w:rsidRDefault="00B83588" w:rsidP="009A14E9">
      <w:pPr>
        <w:widowControl w:val="0"/>
        <w:spacing w:after="0" w:line="240" w:lineRule="auto"/>
        <w:ind w:firstLine="567"/>
        <w:jc w:val="both"/>
        <w:rPr>
          <w:rFonts w:ascii="Times New Roman" w:hAnsi="Times New Roman" w:cs="Times New Roman"/>
          <w:sz w:val="28"/>
          <w:szCs w:val="28"/>
        </w:rPr>
      </w:pPr>
    </w:p>
    <w:p w:rsidR="003B0FAF" w:rsidRPr="00802D35" w:rsidRDefault="003B0FAF" w:rsidP="009A14E9">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w:t>
      </w:r>
    </w:p>
    <w:p w:rsidR="00E40DE9" w:rsidRPr="00802D35" w:rsidRDefault="00E40DE9" w:rsidP="009A14E9">
      <w:pPr>
        <w:widowControl w:val="0"/>
        <w:spacing w:after="0" w:line="240" w:lineRule="auto"/>
        <w:ind w:firstLine="567"/>
        <w:jc w:val="both"/>
        <w:rPr>
          <w:rFonts w:ascii="Times New Roman" w:hAnsi="Times New Roman" w:cs="Times New Roman"/>
          <w:sz w:val="28"/>
          <w:szCs w:val="28"/>
        </w:rPr>
      </w:pPr>
    </w:p>
    <w:p w:rsidR="00E40DE9" w:rsidRPr="00802D35" w:rsidRDefault="00E40DE9" w:rsidP="00146670">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Следует отметить, что единой методики оценки премии за риск в настоящее время не существует, но все они опираются на нормативы Базеля и центральных банков государств.</w:t>
      </w:r>
    </w:p>
    <w:p w:rsidR="00785683" w:rsidRPr="00802D35" w:rsidRDefault="00C273FF" w:rsidP="00146670">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совокупности </w:t>
      </w:r>
      <w:r w:rsidR="00785683" w:rsidRPr="00802D35">
        <w:rPr>
          <w:rFonts w:ascii="Times New Roman" w:hAnsi="Times New Roman" w:cs="Times New Roman"/>
          <w:sz w:val="28"/>
          <w:szCs w:val="28"/>
        </w:rPr>
        <w:t xml:space="preserve">безрисковая ставка и премия за риск обычно составляют основную часть </w:t>
      </w:r>
      <w:r w:rsidRPr="00802D35">
        <w:rPr>
          <w:rFonts w:ascii="Times New Roman" w:hAnsi="Times New Roman" w:cs="Times New Roman"/>
          <w:sz w:val="28"/>
          <w:szCs w:val="28"/>
        </w:rPr>
        <w:t>стоимости фондирования</w:t>
      </w:r>
      <w:r w:rsidR="00785683" w:rsidRPr="00802D35">
        <w:rPr>
          <w:rFonts w:ascii="Times New Roman" w:hAnsi="Times New Roman" w:cs="Times New Roman"/>
          <w:sz w:val="28"/>
          <w:szCs w:val="28"/>
        </w:rPr>
        <w:t xml:space="preserve">. </w:t>
      </w:r>
      <w:r w:rsidR="009262CC" w:rsidRPr="00802D35">
        <w:rPr>
          <w:rFonts w:ascii="Times New Roman" w:hAnsi="Times New Roman" w:cs="Times New Roman"/>
          <w:sz w:val="28"/>
          <w:szCs w:val="28"/>
        </w:rPr>
        <w:t xml:space="preserve">Одновременно, каждый банк закладывает косвенные затраты, такие как обслуживание и оформление депозитов, кредитов и прочих услуг, комиссии посредникам, если банк прибегал к таковым, и многие другие. Следует отметить, что косвенные расходы являются сугубо индивидуальными для каждого банка в отдельности и в большей степени именно они могут служить причиной увеличения стоимости фондирования. </w:t>
      </w:r>
    </w:p>
    <w:p w:rsidR="009262CC" w:rsidRPr="00802D35" w:rsidRDefault="009262CC" w:rsidP="00146670">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Возвращаясь к такому понятию как премия за риск, следует внести определенные пояснения и определить возможности ее оценки в банках второго уровня. Совокупная премия за риск может включать в себя отдельные ее виды: премию за кредитный риск, за риск ликвидности, за инвестиционный риск и др. </w:t>
      </w:r>
    </w:p>
    <w:p w:rsidR="00A46A9A" w:rsidRPr="00802D35" w:rsidRDefault="009262CC"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правило, п</w:t>
      </w:r>
      <w:r w:rsidR="00A46A9A" w:rsidRPr="00802D35">
        <w:rPr>
          <w:rFonts w:ascii="Times New Roman" w:hAnsi="Times New Roman" w:cs="Times New Roman"/>
          <w:sz w:val="28"/>
          <w:szCs w:val="28"/>
        </w:rPr>
        <w:t xml:space="preserve">ри покупке банковского долга инвесторы требуют компенсации за риск того, что банк не выполнит свои </w:t>
      </w:r>
      <w:r w:rsidR="00863B83" w:rsidRPr="00802D35">
        <w:rPr>
          <w:rFonts w:ascii="Times New Roman" w:hAnsi="Times New Roman" w:cs="Times New Roman"/>
          <w:sz w:val="28"/>
          <w:szCs w:val="28"/>
        </w:rPr>
        <w:t>обязательства</w:t>
      </w:r>
      <w:r w:rsidR="00A46A9A" w:rsidRPr="00802D35">
        <w:rPr>
          <w:rFonts w:ascii="Times New Roman" w:hAnsi="Times New Roman" w:cs="Times New Roman"/>
          <w:sz w:val="28"/>
          <w:szCs w:val="28"/>
        </w:rPr>
        <w:t xml:space="preserve"> сверх безрисковой нормы прибыли. Эта компенсация представляет собой премию за кредитный риск. Он может </w:t>
      </w:r>
      <w:r w:rsidR="00863B83" w:rsidRPr="00802D35">
        <w:rPr>
          <w:rFonts w:ascii="Times New Roman" w:hAnsi="Times New Roman" w:cs="Times New Roman"/>
          <w:sz w:val="28"/>
          <w:szCs w:val="28"/>
        </w:rPr>
        <w:t>увеличиться</w:t>
      </w:r>
      <w:r w:rsidR="00A46A9A" w:rsidRPr="00802D35">
        <w:rPr>
          <w:rFonts w:ascii="Times New Roman" w:hAnsi="Times New Roman" w:cs="Times New Roman"/>
          <w:sz w:val="28"/>
          <w:szCs w:val="28"/>
        </w:rPr>
        <w:t xml:space="preserve">, если инвесторы сочтут, что по сравнению с размером капитала банка использование банком его активов стало </w:t>
      </w:r>
      <w:r w:rsidR="00A46A9A" w:rsidRPr="00802D35">
        <w:rPr>
          <w:rFonts w:ascii="Times New Roman" w:hAnsi="Times New Roman" w:cs="Times New Roman"/>
          <w:sz w:val="28"/>
          <w:szCs w:val="28"/>
        </w:rPr>
        <w:lastRenderedPageBreak/>
        <w:t>более рискованным.</w:t>
      </w:r>
      <w:r w:rsidR="00863B83" w:rsidRPr="00802D35">
        <w:rPr>
          <w:rFonts w:ascii="Times New Roman" w:hAnsi="Times New Roman" w:cs="Times New Roman"/>
          <w:sz w:val="28"/>
          <w:szCs w:val="28"/>
        </w:rPr>
        <w:t xml:space="preserve"> </w:t>
      </w:r>
      <w:r w:rsidR="00A46A9A" w:rsidRPr="00802D35">
        <w:rPr>
          <w:rFonts w:ascii="Times New Roman" w:hAnsi="Times New Roman" w:cs="Times New Roman"/>
          <w:sz w:val="28"/>
          <w:szCs w:val="28"/>
        </w:rPr>
        <w:t>Это связано с тем, что чем больше риски банк берет на себя относительно своего буфера капитала, поглощающего убытки, тем больше риски для самих инвесторов при финансировании банка.</w:t>
      </w:r>
    </w:p>
    <w:p w:rsidR="002D3186" w:rsidRPr="00802D35" w:rsidRDefault="00EE72C7" w:rsidP="002D3186">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hAnsi="Times New Roman" w:cs="Times New Roman"/>
          <w:sz w:val="28"/>
          <w:szCs w:val="28"/>
        </w:rPr>
        <w:t xml:space="preserve">Как правило, первостепенное значение в фондировании будут иметь кредитный риск и риск ликвидности. </w:t>
      </w:r>
      <w:r w:rsidR="002D3186" w:rsidRPr="00802D35">
        <w:rPr>
          <w:rFonts w:ascii="Times New Roman" w:hAnsi="Times New Roman" w:cs="Times New Roman"/>
          <w:sz w:val="28"/>
          <w:szCs w:val="28"/>
          <w:shd w:val="clear" w:color="auto" w:fill="FFFFFF"/>
        </w:rPr>
        <w:t>Включение в стоимость фондирования других компонентов риска существенно отличается у различных банков и зависит от особенностей инструмента фондирования или необходимости обязательного учета определенных рисков вне управления бизнес-единицей.</w:t>
      </w:r>
    </w:p>
    <w:p w:rsidR="00A46A9A" w:rsidRPr="00802D35" w:rsidRDefault="00A46A9A"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Премия за кредитный риск отдельного банка будет расти по сравнению с другими банками, если инвесторы считают, что он стал относительно более рискованным. </w:t>
      </w:r>
      <w:r w:rsidR="00863B83" w:rsidRPr="00802D35">
        <w:rPr>
          <w:rFonts w:ascii="Times New Roman" w:hAnsi="Times New Roman" w:cs="Times New Roman"/>
          <w:sz w:val="28"/>
          <w:szCs w:val="28"/>
        </w:rPr>
        <w:t>Е</w:t>
      </w:r>
      <w:r w:rsidRPr="00802D35">
        <w:rPr>
          <w:rFonts w:ascii="Times New Roman" w:hAnsi="Times New Roman" w:cs="Times New Roman"/>
          <w:sz w:val="28"/>
          <w:szCs w:val="28"/>
        </w:rPr>
        <w:t xml:space="preserve">сли </w:t>
      </w:r>
      <w:r w:rsidR="00863B83" w:rsidRPr="00802D35">
        <w:rPr>
          <w:rFonts w:ascii="Times New Roman" w:hAnsi="Times New Roman" w:cs="Times New Roman"/>
          <w:sz w:val="28"/>
          <w:szCs w:val="28"/>
        </w:rPr>
        <w:t>рынок показывает</w:t>
      </w:r>
      <w:r w:rsidRPr="00802D35">
        <w:rPr>
          <w:rFonts w:ascii="Times New Roman" w:hAnsi="Times New Roman" w:cs="Times New Roman"/>
          <w:sz w:val="28"/>
          <w:szCs w:val="28"/>
        </w:rPr>
        <w:t>, что банковский сектор в целом станов</w:t>
      </w:r>
      <w:r w:rsidR="00863B83" w:rsidRPr="00802D35">
        <w:rPr>
          <w:rFonts w:ascii="Times New Roman" w:hAnsi="Times New Roman" w:cs="Times New Roman"/>
          <w:sz w:val="28"/>
          <w:szCs w:val="28"/>
        </w:rPr>
        <w:t>и</w:t>
      </w:r>
      <w:r w:rsidRPr="00802D35">
        <w:rPr>
          <w:rFonts w:ascii="Times New Roman" w:hAnsi="Times New Roman" w:cs="Times New Roman"/>
          <w:sz w:val="28"/>
          <w:szCs w:val="28"/>
        </w:rPr>
        <w:t>тся более рискованным</w:t>
      </w:r>
      <w:r w:rsidR="00863B83" w:rsidRPr="00802D35">
        <w:rPr>
          <w:rFonts w:ascii="Times New Roman" w:hAnsi="Times New Roman" w:cs="Times New Roman"/>
          <w:sz w:val="28"/>
          <w:szCs w:val="28"/>
        </w:rPr>
        <w:t>, то премия за кредитный риск будет расти у всех банков данной страны</w:t>
      </w:r>
      <w:r w:rsidRPr="00802D35">
        <w:rPr>
          <w:rFonts w:ascii="Times New Roman" w:hAnsi="Times New Roman" w:cs="Times New Roman"/>
          <w:sz w:val="28"/>
          <w:szCs w:val="28"/>
        </w:rPr>
        <w:t xml:space="preserve">. </w:t>
      </w:r>
      <w:r w:rsidR="00863B83" w:rsidRPr="00802D35">
        <w:rPr>
          <w:rFonts w:ascii="Times New Roman" w:hAnsi="Times New Roman" w:cs="Times New Roman"/>
          <w:sz w:val="28"/>
          <w:szCs w:val="28"/>
        </w:rPr>
        <w:t>Такая ситуация может быть</w:t>
      </w:r>
      <w:r w:rsidRPr="00802D35">
        <w:rPr>
          <w:rFonts w:ascii="Times New Roman" w:hAnsi="Times New Roman" w:cs="Times New Roman"/>
          <w:sz w:val="28"/>
          <w:szCs w:val="28"/>
        </w:rPr>
        <w:t xml:space="preserve"> связан</w:t>
      </w:r>
      <w:r w:rsidR="00863B83" w:rsidRPr="00802D35">
        <w:rPr>
          <w:rFonts w:ascii="Times New Roman" w:hAnsi="Times New Roman" w:cs="Times New Roman"/>
          <w:sz w:val="28"/>
          <w:szCs w:val="28"/>
        </w:rPr>
        <w:t>а</w:t>
      </w:r>
      <w:r w:rsidRPr="00802D35">
        <w:rPr>
          <w:rFonts w:ascii="Times New Roman" w:hAnsi="Times New Roman" w:cs="Times New Roman"/>
          <w:sz w:val="28"/>
          <w:szCs w:val="28"/>
        </w:rPr>
        <w:t xml:space="preserve"> с изменениями в макроэкономической </w:t>
      </w:r>
      <w:r w:rsidR="00863B83" w:rsidRPr="00802D35">
        <w:rPr>
          <w:rFonts w:ascii="Times New Roman" w:hAnsi="Times New Roman" w:cs="Times New Roman"/>
          <w:sz w:val="28"/>
          <w:szCs w:val="28"/>
        </w:rPr>
        <w:t>сфере:</w:t>
      </w:r>
      <w:r w:rsidRPr="00802D35">
        <w:rPr>
          <w:rFonts w:ascii="Times New Roman" w:hAnsi="Times New Roman" w:cs="Times New Roman"/>
          <w:sz w:val="28"/>
          <w:szCs w:val="28"/>
        </w:rPr>
        <w:t xml:space="preserve"> </w:t>
      </w:r>
      <w:r w:rsidR="00863B83" w:rsidRPr="00802D35">
        <w:rPr>
          <w:rFonts w:ascii="Times New Roman" w:hAnsi="Times New Roman" w:cs="Times New Roman"/>
          <w:sz w:val="28"/>
          <w:szCs w:val="28"/>
        </w:rPr>
        <w:t>кризис в стране в целом</w:t>
      </w:r>
      <w:r w:rsidRPr="00802D35">
        <w:rPr>
          <w:rFonts w:ascii="Times New Roman" w:hAnsi="Times New Roman" w:cs="Times New Roman"/>
          <w:sz w:val="28"/>
          <w:szCs w:val="28"/>
        </w:rPr>
        <w:t xml:space="preserve">, </w:t>
      </w:r>
      <w:r w:rsidR="00863B83" w:rsidRPr="00802D35">
        <w:rPr>
          <w:rFonts w:ascii="Times New Roman" w:hAnsi="Times New Roman" w:cs="Times New Roman"/>
          <w:sz w:val="28"/>
          <w:szCs w:val="28"/>
        </w:rPr>
        <w:t xml:space="preserve">при котором </w:t>
      </w:r>
      <w:r w:rsidRPr="00802D35">
        <w:rPr>
          <w:rFonts w:ascii="Times New Roman" w:hAnsi="Times New Roman" w:cs="Times New Roman"/>
          <w:sz w:val="28"/>
          <w:szCs w:val="28"/>
        </w:rPr>
        <w:t>большая часть домохозяйств и компаний будет испытывать трудности с выплатой кредитов по сравнению с периодом экономического роста</w:t>
      </w:r>
      <w:r w:rsidR="00863B83" w:rsidRPr="00802D35">
        <w:rPr>
          <w:rFonts w:ascii="Times New Roman" w:hAnsi="Times New Roman" w:cs="Times New Roman"/>
          <w:sz w:val="28"/>
          <w:szCs w:val="28"/>
        </w:rPr>
        <w:t xml:space="preserve">, что, в свою очередь, </w:t>
      </w:r>
      <w:r w:rsidRPr="00802D35">
        <w:rPr>
          <w:rFonts w:ascii="Times New Roman" w:hAnsi="Times New Roman" w:cs="Times New Roman"/>
          <w:sz w:val="28"/>
          <w:szCs w:val="28"/>
        </w:rPr>
        <w:t xml:space="preserve">приведет к </w:t>
      </w:r>
      <w:r w:rsidR="00863B83" w:rsidRPr="00802D35">
        <w:rPr>
          <w:rFonts w:ascii="Times New Roman" w:hAnsi="Times New Roman" w:cs="Times New Roman"/>
          <w:sz w:val="28"/>
          <w:szCs w:val="28"/>
        </w:rPr>
        <w:t>росту проблемных кредитов у банков</w:t>
      </w:r>
      <w:r w:rsidRPr="00802D35">
        <w:rPr>
          <w:rFonts w:ascii="Times New Roman" w:hAnsi="Times New Roman" w:cs="Times New Roman"/>
          <w:sz w:val="28"/>
          <w:szCs w:val="28"/>
        </w:rPr>
        <w:t>.</w:t>
      </w:r>
    </w:p>
    <w:p w:rsidR="00863B83" w:rsidRPr="00802D35" w:rsidRDefault="00863B83"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Также большое значение будет иметь фондирование банков</w:t>
      </w:r>
      <w:r w:rsidR="00A46A9A" w:rsidRPr="00802D35">
        <w:rPr>
          <w:rFonts w:ascii="Times New Roman" w:hAnsi="Times New Roman" w:cs="Times New Roman"/>
          <w:sz w:val="28"/>
          <w:szCs w:val="28"/>
        </w:rPr>
        <w:t xml:space="preserve"> на обеспеченной или необеспеченной основе. </w:t>
      </w:r>
      <w:r w:rsidRPr="00802D35">
        <w:rPr>
          <w:rFonts w:ascii="Times New Roman" w:hAnsi="Times New Roman" w:cs="Times New Roman"/>
          <w:sz w:val="28"/>
          <w:szCs w:val="28"/>
        </w:rPr>
        <w:t xml:space="preserve">В частности, если инвесторы фондируют банк за счет обеспеченных средств, то имеется гарантия возврата за счет обеспечения, что существенно снизит премию за кредитный риск и, наоборот. </w:t>
      </w:r>
    </w:p>
    <w:p w:rsidR="00A46A9A" w:rsidRPr="00802D35" w:rsidRDefault="00863B83"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известно</w:t>
      </w:r>
      <w:r w:rsidR="00A46A9A" w:rsidRPr="00802D35">
        <w:rPr>
          <w:rFonts w:ascii="Times New Roman" w:hAnsi="Times New Roman" w:cs="Times New Roman"/>
          <w:sz w:val="28"/>
          <w:szCs w:val="28"/>
        </w:rPr>
        <w:t xml:space="preserve">, риск ликвидности - это риск того, что актив </w:t>
      </w:r>
      <w:r w:rsidRPr="00802D35">
        <w:rPr>
          <w:rFonts w:ascii="Times New Roman" w:hAnsi="Times New Roman" w:cs="Times New Roman"/>
          <w:sz w:val="28"/>
          <w:szCs w:val="28"/>
        </w:rPr>
        <w:t xml:space="preserve">не </w:t>
      </w:r>
      <w:r w:rsidR="00A46A9A" w:rsidRPr="00802D35">
        <w:rPr>
          <w:rFonts w:ascii="Times New Roman" w:hAnsi="Times New Roman" w:cs="Times New Roman"/>
          <w:sz w:val="28"/>
          <w:szCs w:val="28"/>
        </w:rPr>
        <w:t>может быть конвертирован в денежные средства только в короткие сроки при условии существенного снижения его цены. Поскольку долговые инструменты, выпущенные банками, удерживаются инвесторами как активы, предполагаемая ликвидность этих активов влияет на цену, которую инвесторы готовы заплатить за них.</w:t>
      </w:r>
    </w:p>
    <w:p w:rsidR="00A46A9A" w:rsidRPr="00802D35" w:rsidRDefault="00863B83"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Те, кто фондируют банк,</w:t>
      </w:r>
      <w:r w:rsidR="00A46A9A" w:rsidRPr="00802D35">
        <w:rPr>
          <w:rFonts w:ascii="Times New Roman" w:hAnsi="Times New Roman" w:cs="Times New Roman"/>
          <w:sz w:val="28"/>
          <w:szCs w:val="28"/>
        </w:rPr>
        <w:t xml:space="preserve"> требуют ликвидности, потому что они не уверены в том, </w:t>
      </w:r>
      <w:r w:rsidRPr="00802D35">
        <w:rPr>
          <w:rFonts w:ascii="Times New Roman" w:hAnsi="Times New Roman" w:cs="Times New Roman"/>
          <w:sz w:val="28"/>
          <w:szCs w:val="28"/>
        </w:rPr>
        <w:t xml:space="preserve">что </w:t>
      </w:r>
      <w:r w:rsidR="00A46A9A" w:rsidRPr="00802D35">
        <w:rPr>
          <w:rFonts w:ascii="Times New Roman" w:hAnsi="Times New Roman" w:cs="Times New Roman"/>
          <w:sz w:val="28"/>
          <w:szCs w:val="28"/>
        </w:rPr>
        <w:t>когда им может понадобиться доступ к своим фондам</w:t>
      </w:r>
      <w:r w:rsidRPr="00802D35">
        <w:rPr>
          <w:rFonts w:ascii="Times New Roman" w:hAnsi="Times New Roman" w:cs="Times New Roman"/>
          <w:sz w:val="28"/>
          <w:szCs w:val="28"/>
        </w:rPr>
        <w:t xml:space="preserve">, они смогут без проблем вернуть вложенные ими средства. </w:t>
      </w:r>
      <w:r w:rsidR="00A46A9A" w:rsidRPr="00802D35">
        <w:rPr>
          <w:rFonts w:ascii="Times New Roman" w:hAnsi="Times New Roman" w:cs="Times New Roman"/>
          <w:sz w:val="28"/>
          <w:szCs w:val="28"/>
        </w:rPr>
        <w:t>Чем более ликвидными являются активы у инвесторов, тем больше инвесторов эффективно застраховано от этой неопределенности. И наоборот, инвесторы требуют компенсации в виде премии за риск ликвидности в обмен на вложения в неликвидные активы. Это относится к облигациям, выпущенным банками, а также к другим финансовым активам, находящимся в собственности инвесторов.</w:t>
      </w:r>
    </w:p>
    <w:p w:rsidR="00863B83" w:rsidRPr="00802D35" w:rsidRDefault="00A46A9A"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Ключевым фактором, определяющим премию за риск ликвидности, является срок погашения актива. При прочих равных, инвестор обычно требует большей компенсации за владение активом, срок погашения которого составляет один год, чем за владение идентичным в остальном активом, срок погашения которого составляет один месяц</w:t>
      </w:r>
      <w:r w:rsidR="00863B83" w:rsidRPr="00802D35">
        <w:rPr>
          <w:rFonts w:ascii="Times New Roman" w:hAnsi="Times New Roman" w:cs="Times New Roman"/>
          <w:sz w:val="28"/>
          <w:szCs w:val="28"/>
        </w:rPr>
        <w:t xml:space="preserve">. </w:t>
      </w:r>
    </w:p>
    <w:p w:rsidR="00E40DE9" w:rsidRPr="00802D35" w:rsidRDefault="00A46A9A"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Как и в случае </w:t>
      </w:r>
      <w:r w:rsidR="00863B83" w:rsidRPr="00802D35">
        <w:rPr>
          <w:rFonts w:ascii="Times New Roman" w:hAnsi="Times New Roman" w:cs="Times New Roman"/>
          <w:sz w:val="28"/>
          <w:szCs w:val="28"/>
        </w:rPr>
        <w:t xml:space="preserve">с </w:t>
      </w:r>
      <w:r w:rsidRPr="00802D35">
        <w:rPr>
          <w:rFonts w:ascii="Times New Roman" w:hAnsi="Times New Roman" w:cs="Times New Roman"/>
          <w:sz w:val="28"/>
          <w:szCs w:val="28"/>
        </w:rPr>
        <w:t>преми</w:t>
      </w:r>
      <w:r w:rsidR="00863B83" w:rsidRPr="00802D35">
        <w:rPr>
          <w:rFonts w:ascii="Times New Roman" w:hAnsi="Times New Roman" w:cs="Times New Roman"/>
          <w:sz w:val="28"/>
          <w:szCs w:val="28"/>
        </w:rPr>
        <w:t>е</w:t>
      </w:r>
      <w:r w:rsidRPr="00802D35">
        <w:rPr>
          <w:rFonts w:ascii="Times New Roman" w:hAnsi="Times New Roman" w:cs="Times New Roman"/>
          <w:sz w:val="28"/>
          <w:szCs w:val="28"/>
        </w:rPr>
        <w:t>й за кредитный риск, преми</w:t>
      </w:r>
      <w:r w:rsidR="00863B83" w:rsidRPr="00802D35">
        <w:rPr>
          <w:rFonts w:ascii="Times New Roman" w:hAnsi="Times New Roman" w:cs="Times New Roman"/>
          <w:sz w:val="28"/>
          <w:szCs w:val="28"/>
        </w:rPr>
        <w:t>я</w:t>
      </w:r>
      <w:r w:rsidRPr="00802D35">
        <w:rPr>
          <w:rFonts w:ascii="Times New Roman" w:hAnsi="Times New Roman" w:cs="Times New Roman"/>
          <w:sz w:val="28"/>
          <w:szCs w:val="28"/>
        </w:rPr>
        <w:t xml:space="preserve"> за риск ликвидности завис</w:t>
      </w:r>
      <w:r w:rsidR="008275B2" w:rsidRPr="00802D35">
        <w:rPr>
          <w:rFonts w:ascii="Times New Roman" w:hAnsi="Times New Roman" w:cs="Times New Roman"/>
          <w:sz w:val="28"/>
          <w:szCs w:val="28"/>
        </w:rPr>
        <w:t>и</w:t>
      </w:r>
      <w:r w:rsidRPr="00802D35">
        <w:rPr>
          <w:rFonts w:ascii="Times New Roman" w:hAnsi="Times New Roman" w:cs="Times New Roman"/>
          <w:sz w:val="28"/>
          <w:szCs w:val="28"/>
        </w:rPr>
        <w:t xml:space="preserve">т как от </w:t>
      </w:r>
      <w:r w:rsidR="008275B2" w:rsidRPr="00802D35">
        <w:rPr>
          <w:rFonts w:ascii="Times New Roman" w:hAnsi="Times New Roman" w:cs="Times New Roman"/>
          <w:sz w:val="28"/>
          <w:szCs w:val="28"/>
        </w:rPr>
        <w:t>индивидуальных</w:t>
      </w:r>
      <w:r w:rsidRPr="00802D35">
        <w:rPr>
          <w:rFonts w:ascii="Times New Roman" w:hAnsi="Times New Roman" w:cs="Times New Roman"/>
          <w:sz w:val="28"/>
          <w:szCs w:val="28"/>
        </w:rPr>
        <w:t xml:space="preserve">, так и от макро-факторов риска. </w:t>
      </w:r>
      <w:r w:rsidR="008275B2" w:rsidRPr="00802D35">
        <w:rPr>
          <w:rFonts w:ascii="Times New Roman" w:hAnsi="Times New Roman" w:cs="Times New Roman"/>
          <w:sz w:val="28"/>
          <w:szCs w:val="28"/>
        </w:rPr>
        <w:lastRenderedPageBreak/>
        <w:t xml:space="preserve">Специфический </w:t>
      </w:r>
      <w:r w:rsidRPr="00802D35">
        <w:rPr>
          <w:rFonts w:ascii="Times New Roman" w:hAnsi="Times New Roman" w:cs="Times New Roman"/>
          <w:sz w:val="28"/>
          <w:szCs w:val="28"/>
        </w:rPr>
        <w:t xml:space="preserve">компонент премии за риск ликвидности зависит от таких факторов, как частота обращения долговых обязательств банка на вторичных рынках. </w:t>
      </w:r>
    </w:p>
    <w:p w:rsidR="00A46A9A" w:rsidRPr="00802D35" w:rsidRDefault="00A46A9A"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Инвесторы, скорее всего, потребуют более высокой премии за ликвидность при инвестировании в облигации, выпущенные небольшим </w:t>
      </w:r>
      <w:r w:rsidR="008275B2" w:rsidRPr="00802D35">
        <w:rPr>
          <w:rFonts w:ascii="Times New Roman" w:hAnsi="Times New Roman" w:cs="Times New Roman"/>
          <w:sz w:val="28"/>
          <w:szCs w:val="28"/>
        </w:rPr>
        <w:t>банком</w:t>
      </w:r>
      <w:r w:rsidRPr="00802D35">
        <w:rPr>
          <w:rFonts w:ascii="Times New Roman" w:hAnsi="Times New Roman" w:cs="Times New Roman"/>
          <w:sz w:val="28"/>
          <w:szCs w:val="28"/>
        </w:rPr>
        <w:t>, котор</w:t>
      </w:r>
      <w:r w:rsidR="008275B2" w:rsidRPr="00802D35">
        <w:rPr>
          <w:rFonts w:ascii="Times New Roman" w:hAnsi="Times New Roman" w:cs="Times New Roman"/>
          <w:sz w:val="28"/>
          <w:szCs w:val="28"/>
        </w:rPr>
        <w:t>ый</w:t>
      </w:r>
      <w:r w:rsidRPr="00802D35">
        <w:rPr>
          <w:rFonts w:ascii="Times New Roman" w:hAnsi="Times New Roman" w:cs="Times New Roman"/>
          <w:sz w:val="28"/>
          <w:szCs w:val="28"/>
        </w:rPr>
        <w:t xml:space="preserve"> имеет несколько других выпущенных инструментов, по сравнению с инвестированием в облигации, выпущенные крупным </w:t>
      </w:r>
      <w:r w:rsidR="008275B2" w:rsidRPr="00802D35">
        <w:rPr>
          <w:rFonts w:ascii="Times New Roman" w:hAnsi="Times New Roman" w:cs="Times New Roman"/>
          <w:sz w:val="28"/>
          <w:szCs w:val="28"/>
        </w:rPr>
        <w:t>банком</w:t>
      </w:r>
      <w:r w:rsidRPr="00802D35">
        <w:rPr>
          <w:rFonts w:ascii="Times New Roman" w:hAnsi="Times New Roman" w:cs="Times New Roman"/>
          <w:sz w:val="28"/>
          <w:szCs w:val="28"/>
        </w:rPr>
        <w:t xml:space="preserve">. Это связано с тем, что </w:t>
      </w:r>
      <w:r w:rsidR="008275B2" w:rsidRPr="00802D35">
        <w:rPr>
          <w:rFonts w:ascii="Times New Roman" w:hAnsi="Times New Roman" w:cs="Times New Roman"/>
          <w:sz w:val="28"/>
          <w:szCs w:val="28"/>
        </w:rPr>
        <w:t>спрос на облигации мелкого банка будет в результате ниже и, следовательно, ее сложнее будет продать на вторичном рынке в случае необходимости. Это увеличивает риск ликвидности, а значит и премию.</w:t>
      </w:r>
    </w:p>
    <w:p w:rsidR="00A46A9A" w:rsidRPr="00802D35" w:rsidRDefault="00A46A9A"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Между тем, премии за риск ликвидности могут вырасти по всему банковскому сектору в целом, когда инвесторы станут менее уверены в том, что инструмент банковского финансирования, в который они вкладывают средства, сохранит свою ценность. Например, во время экономического спада, финансового или политического кризиса </w:t>
      </w:r>
      <w:r w:rsidR="008275B2" w:rsidRPr="00802D35">
        <w:rPr>
          <w:rFonts w:ascii="Times New Roman" w:hAnsi="Times New Roman" w:cs="Times New Roman"/>
          <w:sz w:val="28"/>
          <w:szCs w:val="28"/>
        </w:rPr>
        <w:t>интерес к такому инструменту фондирования как облигации может существенно снизиться</w:t>
      </w:r>
      <w:r w:rsidRPr="00802D35">
        <w:rPr>
          <w:rFonts w:ascii="Times New Roman" w:hAnsi="Times New Roman" w:cs="Times New Roman"/>
          <w:sz w:val="28"/>
          <w:szCs w:val="28"/>
        </w:rPr>
        <w:t>.</w:t>
      </w:r>
    </w:p>
    <w:p w:rsidR="008275B2" w:rsidRPr="00802D35" w:rsidRDefault="008275B2"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проведенное выше обобщение содержания понятия премии за риск, включаемой в стоимость фондирования, позволяет предложить</w:t>
      </w:r>
      <w:r w:rsidR="00945E89" w:rsidRPr="00802D35">
        <w:rPr>
          <w:rFonts w:ascii="Times New Roman" w:hAnsi="Times New Roman" w:cs="Times New Roman"/>
          <w:sz w:val="28"/>
          <w:szCs w:val="28"/>
        </w:rPr>
        <w:t xml:space="preserve"> следующий подход к ее оценке, по сути, базирующийся на моделях САРМ и WACC. Конечно же, премия за риск будет зависеть от инструмента фондирования. Однако, с нашей точки зрения, если рассматривать все инструменты фондирования с двух позиций: долговые или долевые, - то можно все привести к единому алгоритму.</w:t>
      </w:r>
    </w:p>
    <w:p w:rsidR="00E61B97" w:rsidRPr="00802D35" w:rsidRDefault="00E61B97"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Вместе с тем, прежде чем говорить о долевых и долговых инструментах фондирования, следует ввести данное понятие. Дело в том, что в экономической литературе как такового определения инструмента фондирования, как показал анализ и обобщение мировой и отечественной научной литературы, не существует, несмотря на то, что данное понятие используется. Также, многие авторы проводят аналогию </w:t>
      </w:r>
      <w:r w:rsidRPr="00802D35">
        <w:rPr>
          <w:rFonts w:ascii="Times New Roman" w:hAnsi="Times New Roman" w:cs="Times New Roman"/>
          <w:i/>
          <w:sz w:val="28"/>
          <w:szCs w:val="28"/>
        </w:rPr>
        <w:t>инструмента</w:t>
      </w:r>
      <w:r w:rsidRPr="00802D35">
        <w:rPr>
          <w:rFonts w:ascii="Times New Roman" w:hAnsi="Times New Roman" w:cs="Times New Roman"/>
          <w:sz w:val="28"/>
          <w:szCs w:val="28"/>
        </w:rPr>
        <w:t xml:space="preserve"> фондирования с понятием </w:t>
      </w:r>
      <w:r w:rsidRPr="00802D35">
        <w:rPr>
          <w:rFonts w:ascii="Times New Roman" w:hAnsi="Times New Roman" w:cs="Times New Roman"/>
          <w:i/>
          <w:sz w:val="28"/>
          <w:szCs w:val="28"/>
        </w:rPr>
        <w:t>источника</w:t>
      </w:r>
      <w:r w:rsidRPr="00802D35">
        <w:rPr>
          <w:rFonts w:ascii="Times New Roman" w:hAnsi="Times New Roman" w:cs="Times New Roman"/>
          <w:sz w:val="28"/>
          <w:szCs w:val="28"/>
        </w:rPr>
        <w:t xml:space="preserve"> фондирования. </w:t>
      </w:r>
    </w:p>
    <w:p w:rsidR="00E61B97" w:rsidRPr="00802D35" w:rsidRDefault="00E61B97"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Однако, на наш взгляд, следует провести четкие границы между понятием «источник фондирования» и «инструмент фондирования». Рассматривая сущность и содержание </w:t>
      </w:r>
      <w:r w:rsidRPr="00802D35">
        <w:rPr>
          <w:rFonts w:ascii="Times New Roman" w:hAnsi="Times New Roman" w:cs="Times New Roman"/>
          <w:i/>
          <w:sz w:val="28"/>
          <w:szCs w:val="28"/>
        </w:rPr>
        <w:t>источников фондирования</w:t>
      </w:r>
      <w:r w:rsidRPr="00802D35">
        <w:rPr>
          <w:rFonts w:ascii="Times New Roman" w:hAnsi="Times New Roman" w:cs="Times New Roman"/>
          <w:sz w:val="28"/>
          <w:szCs w:val="28"/>
        </w:rPr>
        <w:t>, как правило, речь идет о ресурсах, основе их происхождения. Иными словами, источник фондирования предполагает, откуда берутся те или иные ресурсы для финансирования деятельности банков. Источниками фондирования могут быть собственные ресурсы банка, привлеченные, заемные различных видов.</w:t>
      </w:r>
    </w:p>
    <w:p w:rsidR="00E61B97" w:rsidRPr="00802D35" w:rsidRDefault="00E61B97" w:rsidP="00945E8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Между тем, когда речь идет об </w:t>
      </w:r>
      <w:r w:rsidRPr="00802D35">
        <w:rPr>
          <w:rFonts w:ascii="Times New Roman" w:hAnsi="Times New Roman" w:cs="Times New Roman"/>
          <w:i/>
          <w:sz w:val="28"/>
          <w:szCs w:val="28"/>
        </w:rPr>
        <w:t>инструментах фондирования</w:t>
      </w:r>
      <w:r w:rsidRPr="00802D35">
        <w:rPr>
          <w:rFonts w:ascii="Times New Roman" w:hAnsi="Times New Roman" w:cs="Times New Roman"/>
          <w:sz w:val="28"/>
          <w:szCs w:val="28"/>
        </w:rPr>
        <w:t>, их суть заключается в способе и методе обеспечения деятельности банка соответствующими ресурсами. Здесь возникает вопрос, как обеспечить поступление ресурсов в банк для осуществления деятельности. Инструментами фондирования становятся депозиты, облигации, IPO, банковские займы и др.</w:t>
      </w:r>
      <w:r w:rsidR="00541CB9" w:rsidRPr="00802D35">
        <w:rPr>
          <w:rFonts w:ascii="Times New Roman" w:hAnsi="Times New Roman" w:cs="Times New Roman"/>
          <w:sz w:val="28"/>
          <w:szCs w:val="28"/>
        </w:rPr>
        <w:t xml:space="preserve"> То есть банк, посредством депозитов привлекает свободные средства населения.</w:t>
      </w:r>
    </w:p>
    <w:p w:rsidR="00E61B97" w:rsidRPr="00802D35" w:rsidRDefault="00541CB9" w:rsidP="00F734C5">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w:t>
      </w:r>
      <w:r w:rsidR="00E61B97" w:rsidRPr="00802D35">
        <w:rPr>
          <w:rFonts w:ascii="Times New Roman" w:hAnsi="Times New Roman" w:cs="Times New Roman"/>
          <w:sz w:val="28"/>
          <w:szCs w:val="28"/>
        </w:rPr>
        <w:t xml:space="preserve">, </w:t>
      </w:r>
      <w:r w:rsidRPr="00802D35">
        <w:rPr>
          <w:rFonts w:ascii="Times New Roman" w:hAnsi="Times New Roman" w:cs="Times New Roman"/>
          <w:sz w:val="28"/>
          <w:szCs w:val="28"/>
        </w:rPr>
        <w:t xml:space="preserve">можно отметить, что </w:t>
      </w:r>
      <w:r w:rsidR="00E61B97" w:rsidRPr="00802D35">
        <w:rPr>
          <w:rFonts w:ascii="Times New Roman" w:hAnsi="Times New Roman" w:cs="Times New Roman"/>
          <w:sz w:val="28"/>
          <w:szCs w:val="28"/>
        </w:rPr>
        <w:t xml:space="preserve">банки постоянно находятся в поисках </w:t>
      </w:r>
      <w:r w:rsidR="00E61B97" w:rsidRPr="00802D35">
        <w:rPr>
          <w:rFonts w:ascii="Times New Roman" w:hAnsi="Times New Roman" w:cs="Times New Roman"/>
          <w:sz w:val="28"/>
          <w:szCs w:val="28"/>
        </w:rPr>
        <w:lastRenderedPageBreak/>
        <w:t xml:space="preserve">новых </w:t>
      </w:r>
      <w:r w:rsidR="00E61B97" w:rsidRPr="00802D35">
        <w:rPr>
          <w:rFonts w:ascii="Times New Roman" w:hAnsi="Times New Roman" w:cs="Times New Roman"/>
          <w:i/>
          <w:sz w:val="28"/>
          <w:szCs w:val="28"/>
        </w:rPr>
        <w:t>инструментов фондирования</w:t>
      </w:r>
      <w:r w:rsidR="00E61B97" w:rsidRPr="00802D35">
        <w:rPr>
          <w:rFonts w:ascii="Times New Roman" w:hAnsi="Times New Roman" w:cs="Times New Roman"/>
          <w:sz w:val="28"/>
          <w:szCs w:val="28"/>
        </w:rPr>
        <w:t xml:space="preserve">, с помощью которых, они смогли бы привлекать средства из различных </w:t>
      </w:r>
      <w:r w:rsidR="00E61B97" w:rsidRPr="00802D35">
        <w:rPr>
          <w:rFonts w:ascii="Times New Roman" w:hAnsi="Times New Roman" w:cs="Times New Roman"/>
          <w:i/>
          <w:sz w:val="28"/>
          <w:szCs w:val="28"/>
        </w:rPr>
        <w:t>источников фондирования</w:t>
      </w:r>
      <w:r w:rsidRPr="00802D35">
        <w:rPr>
          <w:rFonts w:ascii="Times New Roman" w:hAnsi="Times New Roman" w:cs="Times New Roman"/>
          <w:i/>
          <w:sz w:val="28"/>
          <w:szCs w:val="28"/>
        </w:rPr>
        <w:t xml:space="preserve"> </w:t>
      </w:r>
      <w:r w:rsidRPr="00802D35">
        <w:rPr>
          <w:rFonts w:ascii="Times New Roman" w:hAnsi="Times New Roman" w:cs="Times New Roman"/>
          <w:sz w:val="28"/>
          <w:szCs w:val="28"/>
        </w:rPr>
        <w:t xml:space="preserve">(таблица </w:t>
      </w:r>
      <w:r w:rsidR="00E361BD" w:rsidRPr="00802D35">
        <w:rPr>
          <w:rFonts w:ascii="Times New Roman" w:hAnsi="Times New Roman" w:cs="Times New Roman"/>
          <w:sz w:val="28"/>
          <w:szCs w:val="28"/>
        </w:rPr>
        <w:t>1</w:t>
      </w:r>
      <w:r w:rsidRPr="00802D35">
        <w:rPr>
          <w:rFonts w:ascii="Times New Roman" w:hAnsi="Times New Roman" w:cs="Times New Roman"/>
          <w:sz w:val="28"/>
          <w:szCs w:val="28"/>
        </w:rPr>
        <w:t>)</w:t>
      </w:r>
      <w:r w:rsidR="00E61B97" w:rsidRPr="00802D35">
        <w:rPr>
          <w:rFonts w:ascii="Times New Roman" w:hAnsi="Times New Roman" w:cs="Times New Roman"/>
          <w:sz w:val="28"/>
          <w:szCs w:val="28"/>
        </w:rPr>
        <w:t>.</w:t>
      </w:r>
    </w:p>
    <w:p w:rsidR="00E40DE9" w:rsidRPr="00802D35" w:rsidRDefault="00E40DE9" w:rsidP="00F734C5">
      <w:pPr>
        <w:widowControl w:val="0"/>
        <w:spacing w:after="0" w:line="240" w:lineRule="auto"/>
        <w:ind w:firstLine="567"/>
        <w:jc w:val="both"/>
        <w:rPr>
          <w:rFonts w:ascii="Times New Roman" w:hAnsi="Times New Roman" w:cs="Times New Roman"/>
          <w:sz w:val="28"/>
          <w:szCs w:val="28"/>
        </w:rPr>
      </w:pPr>
    </w:p>
    <w:p w:rsidR="00541CB9" w:rsidRPr="00802D35" w:rsidRDefault="00541CB9" w:rsidP="00F734C5">
      <w:pPr>
        <w:widowControl w:val="0"/>
        <w:spacing w:after="0" w:line="240" w:lineRule="auto"/>
        <w:rPr>
          <w:rFonts w:ascii="Times New Roman" w:hAnsi="Times New Roman" w:cs="Times New Roman"/>
          <w:sz w:val="28"/>
          <w:szCs w:val="28"/>
        </w:rPr>
      </w:pPr>
      <w:r w:rsidRPr="00802D35">
        <w:rPr>
          <w:rFonts w:ascii="Times New Roman" w:hAnsi="Times New Roman" w:cs="Times New Roman"/>
          <w:sz w:val="28"/>
          <w:szCs w:val="28"/>
        </w:rPr>
        <w:t xml:space="preserve">Таблица </w:t>
      </w:r>
      <w:r w:rsidR="00E361BD" w:rsidRPr="00802D35">
        <w:rPr>
          <w:rFonts w:ascii="Times New Roman" w:hAnsi="Times New Roman" w:cs="Times New Roman"/>
          <w:sz w:val="28"/>
          <w:szCs w:val="28"/>
        </w:rPr>
        <w:t>1</w:t>
      </w:r>
      <w:r w:rsidRPr="00802D35">
        <w:rPr>
          <w:rFonts w:ascii="Times New Roman" w:hAnsi="Times New Roman" w:cs="Times New Roman"/>
          <w:sz w:val="28"/>
          <w:szCs w:val="28"/>
        </w:rPr>
        <w:t xml:space="preserve"> – Различия между источниками и инструментами фондирования</w:t>
      </w:r>
    </w:p>
    <w:p w:rsidR="00F734C5" w:rsidRPr="00802D35" w:rsidRDefault="00F734C5" w:rsidP="00F734C5">
      <w:pPr>
        <w:widowControl w:val="0"/>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915"/>
        <w:gridCol w:w="4076"/>
      </w:tblGrid>
      <w:tr w:rsidR="00541CB9" w:rsidRPr="00802D35" w:rsidTr="00C22913">
        <w:tc>
          <w:tcPr>
            <w:tcW w:w="1863" w:type="dxa"/>
          </w:tcPr>
          <w:p w:rsidR="00541CB9" w:rsidRPr="00802D35" w:rsidRDefault="00541CB9" w:rsidP="00C22913">
            <w:pPr>
              <w:widowControl w:val="0"/>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Критерий</w:t>
            </w:r>
          </w:p>
        </w:tc>
        <w:tc>
          <w:tcPr>
            <w:tcW w:w="3915" w:type="dxa"/>
          </w:tcPr>
          <w:p w:rsidR="00541CB9" w:rsidRPr="00802D35" w:rsidRDefault="00541CB9" w:rsidP="00C22913">
            <w:pPr>
              <w:widowControl w:val="0"/>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Источник фондирования</w:t>
            </w:r>
          </w:p>
        </w:tc>
        <w:tc>
          <w:tcPr>
            <w:tcW w:w="4076" w:type="dxa"/>
          </w:tcPr>
          <w:p w:rsidR="00541CB9" w:rsidRPr="00802D35" w:rsidRDefault="00541CB9" w:rsidP="00C22913">
            <w:pPr>
              <w:widowControl w:val="0"/>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Инструмент фондирования</w:t>
            </w:r>
          </w:p>
        </w:tc>
      </w:tr>
      <w:tr w:rsidR="00541CB9" w:rsidRPr="00802D35" w:rsidTr="00C22913">
        <w:tc>
          <w:tcPr>
            <w:tcW w:w="1863" w:type="dxa"/>
            <w:vAlign w:val="center"/>
          </w:tcPr>
          <w:p w:rsidR="00541CB9" w:rsidRPr="00802D35" w:rsidRDefault="00541CB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 xml:space="preserve">Происхождение </w:t>
            </w:r>
          </w:p>
        </w:tc>
        <w:tc>
          <w:tcPr>
            <w:tcW w:w="3915" w:type="dxa"/>
          </w:tcPr>
          <w:p w:rsidR="00541CB9" w:rsidRPr="00802D35" w:rsidRDefault="00541CB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Первичное</w:t>
            </w:r>
          </w:p>
        </w:tc>
        <w:tc>
          <w:tcPr>
            <w:tcW w:w="4076" w:type="dxa"/>
          </w:tcPr>
          <w:p w:rsidR="00541CB9" w:rsidRPr="00802D35" w:rsidRDefault="00541CB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 xml:space="preserve">Вторичное </w:t>
            </w:r>
          </w:p>
        </w:tc>
      </w:tr>
      <w:tr w:rsidR="00541CB9" w:rsidRPr="00802D35" w:rsidTr="00C22913">
        <w:tc>
          <w:tcPr>
            <w:tcW w:w="1863" w:type="dxa"/>
            <w:vAlign w:val="center"/>
          </w:tcPr>
          <w:p w:rsidR="00541CB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 xml:space="preserve">Природа </w:t>
            </w:r>
          </w:p>
        </w:tc>
        <w:tc>
          <w:tcPr>
            <w:tcW w:w="3915" w:type="dxa"/>
            <w:vAlign w:val="center"/>
          </w:tcPr>
          <w:p w:rsidR="00541CB9" w:rsidRPr="00802D35" w:rsidRDefault="00541CB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Совокупность ресурсов, оцениваемых в денежной форме</w:t>
            </w:r>
          </w:p>
        </w:tc>
        <w:tc>
          <w:tcPr>
            <w:tcW w:w="4076" w:type="dxa"/>
            <w:vAlign w:val="center"/>
          </w:tcPr>
          <w:p w:rsidR="00541CB9" w:rsidRPr="00802D35" w:rsidRDefault="00541CB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Совокупность методов, способов, форм, посредством которых осуществляется поступление совокупности ресурсов</w:t>
            </w:r>
            <w:r w:rsidR="00C55EA9" w:rsidRPr="00802D35">
              <w:rPr>
                <w:rFonts w:ascii="Times New Roman" w:hAnsi="Times New Roman" w:cs="Times New Roman"/>
                <w:sz w:val="24"/>
                <w:szCs w:val="24"/>
              </w:rPr>
              <w:t xml:space="preserve"> в банк</w:t>
            </w:r>
          </w:p>
        </w:tc>
      </w:tr>
      <w:tr w:rsidR="00C55EA9" w:rsidRPr="00802D35" w:rsidTr="00C22913">
        <w:tc>
          <w:tcPr>
            <w:tcW w:w="1863" w:type="dxa"/>
            <w:vAlign w:val="center"/>
          </w:tcPr>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 xml:space="preserve">Цель </w:t>
            </w:r>
          </w:p>
        </w:tc>
        <w:tc>
          <w:tcPr>
            <w:tcW w:w="3915" w:type="dxa"/>
            <w:vAlign w:val="center"/>
          </w:tcPr>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Поиск свободных ресурсов</w:t>
            </w:r>
          </w:p>
        </w:tc>
        <w:tc>
          <w:tcPr>
            <w:tcW w:w="4076" w:type="dxa"/>
            <w:vAlign w:val="center"/>
          </w:tcPr>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Поиск способа, посредством которого обеспечивается поступление свободных ресурсов</w:t>
            </w:r>
          </w:p>
        </w:tc>
      </w:tr>
      <w:tr w:rsidR="00541CB9" w:rsidRPr="00802D35" w:rsidTr="00C22913">
        <w:tc>
          <w:tcPr>
            <w:tcW w:w="1863" w:type="dxa"/>
            <w:vAlign w:val="center"/>
          </w:tcPr>
          <w:p w:rsidR="00541CB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 xml:space="preserve">Виды </w:t>
            </w:r>
          </w:p>
        </w:tc>
        <w:tc>
          <w:tcPr>
            <w:tcW w:w="3915" w:type="dxa"/>
            <w:vAlign w:val="center"/>
          </w:tcPr>
          <w:p w:rsidR="00541CB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Свободные средства банков, правительства, населения, компаний и пр. субъектов экономики</w:t>
            </w:r>
          </w:p>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Накопления, формируемые в финансовых институтах (например, пенсионные накопления, страховые резервы и т.п.)</w:t>
            </w:r>
          </w:p>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Собственные средства, например, нераспределенная прибыль</w:t>
            </w:r>
          </w:p>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И др.</w:t>
            </w:r>
          </w:p>
        </w:tc>
        <w:tc>
          <w:tcPr>
            <w:tcW w:w="4076" w:type="dxa"/>
            <w:vAlign w:val="center"/>
          </w:tcPr>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Вклады</w:t>
            </w:r>
          </w:p>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 xml:space="preserve">Банковские сертификаты </w:t>
            </w:r>
          </w:p>
          <w:p w:rsidR="00541CB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Акции</w:t>
            </w:r>
          </w:p>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Облигации</w:t>
            </w:r>
          </w:p>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Ноты</w:t>
            </w:r>
          </w:p>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Займы</w:t>
            </w:r>
          </w:p>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Структурные продукты</w:t>
            </w:r>
          </w:p>
          <w:p w:rsidR="00C55EA9" w:rsidRPr="00802D35" w:rsidRDefault="00C55EA9" w:rsidP="00C22913">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Секьюритизированные продукты и др.</w:t>
            </w:r>
          </w:p>
          <w:p w:rsidR="00C55EA9" w:rsidRPr="00802D35" w:rsidRDefault="00C55EA9" w:rsidP="00C22913">
            <w:pPr>
              <w:widowControl w:val="0"/>
              <w:spacing w:after="0" w:line="240" w:lineRule="auto"/>
              <w:rPr>
                <w:rFonts w:ascii="Times New Roman" w:hAnsi="Times New Roman" w:cs="Times New Roman"/>
                <w:sz w:val="24"/>
                <w:szCs w:val="24"/>
              </w:rPr>
            </w:pPr>
          </w:p>
        </w:tc>
      </w:tr>
      <w:tr w:rsidR="00C55EA9" w:rsidRPr="00802D35" w:rsidTr="00C22913">
        <w:tc>
          <w:tcPr>
            <w:tcW w:w="9854" w:type="dxa"/>
            <w:gridSpan w:val="3"/>
          </w:tcPr>
          <w:p w:rsidR="00C55EA9" w:rsidRPr="00802D35" w:rsidRDefault="00C55EA9" w:rsidP="001F130A">
            <w:pPr>
              <w:widowControl w:val="0"/>
              <w:spacing w:after="0" w:line="240" w:lineRule="auto"/>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разработано автором</w:t>
            </w:r>
          </w:p>
        </w:tc>
      </w:tr>
    </w:tbl>
    <w:p w:rsidR="00F734C5" w:rsidRPr="00802D35" w:rsidRDefault="00F734C5" w:rsidP="00F734C5">
      <w:pPr>
        <w:pStyle w:val="1"/>
        <w:spacing w:before="0" w:line="240" w:lineRule="auto"/>
        <w:ind w:firstLine="567"/>
        <w:rPr>
          <w:rFonts w:ascii="Times New Roman" w:hAnsi="Times New Roman" w:cs="Times New Roman"/>
          <w:b w:val="0"/>
          <w:color w:val="auto"/>
        </w:rPr>
      </w:pPr>
    </w:p>
    <w:p w:rsidR="000B0564" w:rsidRPr="00802D35" w:rsidRDefault="000B0564" w:rsidP="000B0564">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hAnsi="Times New Roman" w:cs="Times New Roman"/>
          <w:sz w:val="28"/>
          <w:szCs w:val="28"/>
        </w:rPr>
        <w:t xml:space="preserve">Поскольку, как говорилось ранее, банки второго уровня преимущественно функционируют за счет привлеченных ресурсов, то постоянный поток фондирования имеет жизненно важное значение для эффективности деятельности банка. В этой связи был определен норматив, обязательный для выполнения БВУ РК, коэффициент нетто стабильного фондирования </w:t>
      </w:r>
      <w:r w:rsidRPr="00802D35">
        <w:rPr>
          <w:rFonts w:ascii="Times New Roman" w:eastAsia="Times New Roman" w:hAnsi="Times New Roman" w:cs="Times New Roman"/>
          <w:sz w:val="28"/>
          <w:szCs w:val="28"/>
          <w:lang w:eastAsia="ru-RU"/>
        </w:rPr>
        <w:t xml:space="preserve">(NSFR) из </w:t>
      </w:r>
      <w:r w:rsidRPr="00802D35">
        <w:rPr>
          <w:rFonts w:ascii="Times New Roman" w:hAnsi="Times New Roman" w:cs="Times New Roman"/>
          <w:sz w:val="28"/>
          <w:szCs w:val="28"/>
          <w:shd w:val="clear" w:color="auto" w:fill="FFFFFF"/>
        </w:rPr>
        <w:t>стандартов Базель III</w:t>
      </w:r>
      <w:r w:rsidRPr="00802D35">
        <w:rPr>
          <w:rFonts w:ascii="Times New Roman" w:eastAsia="Times New Roman" w:hAnsi="Times New Roman" w:cs="Times New Roman"/>
          <w:sz w:val="28"/>
          <w:szCs w:val="28"/>
          <w:lang w:eastAsia="ru-RU"/>
        </w:rPr>
        <w:t>, который представляет собой соотношение ресурсов и активов банка и отражает имеющиеся у банка возможности покрытия активных операций стабильным поступлением фондирования [47].</w:t>
      </w:r>
    </w:p>
    <w:p w:rsidR="00B67851" w:rsidRPr="00802D35" w:rsidRDefault="00827F69" w:rsidP="00F734C5">
      <w:pPr>
        <w:pStyle w:val="1"/>
        <w:spacing w:before="0" w:line="240" w:lineRule="auto"/>
        <w:ind w:firstLine="567"/>
        <w:jc w:val="both"/>
        <w:rPr>
          <w:rFonts w:ascii="Times New Roman" w:eastAsia="Times New Roman" w:hAnsi="Times New Roman" w:cs="Times New Roman"/>
          <w:lang w:eastAsia="ru-RU"/>
        </w:rPr>
      </w:pPr>
      <w:r w:rsidRPr="00802D35">
        <w:rPr>
          <w:rFonts w:ascii="Times New Roman" w:eastAsia="Times New Roman" w:hAnsi="Times New Roman" w:cs="Times New Roman"/>
          <w:b w:val="0"/>
          <w:color w:val="auto"/>
          <w:lang w:eastAsia="ru-RU"/>
        </w:rPr>
        <w:t>При этом, учитывается структура пассивов и активов</w:t>
      </w:r>
      <w:r w:rsidR="00B67851" w:rsidRPr="00802D35">
        <w:rPr>
          <w:rFonts w:ascii="Times New Roman" w:eastAsia="Times New Roman" w:hAnsi="Times New Roman" w:cs="Times New Roman"/>
          <w:b w:val="0"/>
          <w:color w:val="auto"/>
          <w:lang w:eastAsia="ru-RU"/>
        </w:rPr>
        <w:t>. Согласно нормативов НБРК NSFR рассчитывается следующим образом</w:t>
      </w:r>
      <w:r w:rsidR="005E6CD5" w:rsidRPr="00802D35">
        <w:rPr>
          <w:rFonts w:ascii="Times New Roman" w:eastAsia="Times New Roman" w:hAnsi="Times New Roman" w:cs="Times New Roman"/>
          <w:b w:val="0"/>
          <w:color w:val="auto"/>
          <w:lang w:eastAsia="ru-RU"/>
        </w:rPr>
        <w:t xml:space="preserve"> [</w:t>
      </w:r>
      <w:r w:rsidR="000B0564" w:rsidRPr="00802D35">
        <w:rPr>
          <w:rFonts w:ascii="Times New Roman" w:eastAsia="Times New Roman" w:hAnsi="Times New Roman" w:cs="Times New Roman"/>
          <w:b w:val="0"/>
          <w:color w:val="auto"/>
          <w:lang w:eastAsia="ru-RU"/>
        </w:rPr>
        <w:t>48</w:t>
      </w:r>
      <w:r w:rsidR="005E6CD5" w:rsidRPr="00802D35">
        <w:rPr>
          <w:rFonts w:ascii="Times New Roman" w:eastAsia="Times New Roman" w:hAnsi="Times New Roman" w:cs="Times New Roman"/>
          <w:lang w:eastAsia="ru-RU"/>
        </w:rPr>
        <w:t>]</w:t>
      </w:r>
      <w:r w:rsidR="00B67851" w:rsidRPr="00802D35">
        <w:rPr>
          <w:rFonts w:ascii="Times New Roman" w:eastAsia="Times New Roman" w:hAnsi="Times New Roman" w:cs="Times New Roman"/>
          <w:lang w:eastAsia="ru-RU"/>
        </w:rPr>
        <w:t>:</w:t>
      </w:r>
    </w:p>
    <w:p w:rsidR="00B67851" w:rsidRPr="00802D35" w:rsidRDefault="00B67851" w:rsidP="00F734C5">
      <w:pPr>
        <w:widowControl w:val="0"/>
        <w:spacing w:after="0" w:line="240" w:lineRule="auto"/>
        <w:ind w:firstLine="567"/>
        <w:rPr>
          <w:rFonts w:ascii="Times New Roman" w:eastAsia="Times New Roman" w:hAnsi="Times New Roman" w:cs="Times New Roman"/>
          <w:sz w:val="28"/>
          <w:szCs w:val="28"/>
          <w:lang w:eastAsia="ru-RU"/>
        </w:rPr>
      </w:pPr>
    </w:p>
    <w:p w:rsidR="008275B2" w:rsidRPr="00802D35" w:rsidRDefault="00B67851" w:rsidP="00B67851">
      <w:pPr>
        <w:widowControl w:val="0"/>
        <w:spacing w:after="0" w:line="240" w:lineRule="auto"/>
        <w:ind w:firstLine="567"/>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 xml:space="preserve">NSFR= </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SF</m:t>
                </m:r>
              </m:e>
              <m:sub>
                <m:r>
                  <w:rPr>
                    <w:rFonts w:ascii="Cambria Math" w:eastAsia="Times New Roman" w:hAnsi="Cambria Math" w:cs="Times New Roman"/>
                    <w:sz w:val="28"/>
                    <w:szCs w:val="28"/>
                    <w:lang w:eastAsia="ru-RU"/>
                  </w:rPr>
                  <m:t>t</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SF</m:t>
                </m:r>
              </m:e>
              <m:sub>
                <m:r>
                  <w:rPr>
                    <w:rFonts w:ascii="Cambria Math" w:eastAsia="Times New Roman" w:hAnsi="Cambria Math" w:cs="Times New Roman"/>
                    <w:sz w:val="28"/>
                    <w:szCs w:val="28"/>
                    <w:lang w:eastAsia="ru-RU"/>
                  </w:rPr>
                  <m:t>0</m:t>
                </m:r>
              </m:sub>
            </m:sSub>
          </m:den>
        </m:f>
        <m:r>
          <w:rPr>
            <w:rFonts w:ascii="Cambria Math" w:eastAsia="Times New Roman" w:hAnsi="Cambria Math" w:cs="Times New Roman"/>
            <w:sz w:val="28"/>
            <w:szCs w:val="28"/>
            <w:lang w:eastAsia="ru-RU"/>
          </w:rPr>
          <m:t xml:space="preserve"> ≥1</m:t>
        </m:r>
      </m:oMath>
      <w:r w:rsidR="005E6CD5" w:rsidRPr="00802D35">
        <w:rPr>
          <w:rFonts w:ascii="Times New Roman" w:eastAsia="Times New Roman" w:hAnsi="Times New Roman" w:cs="Times New Roman"/>
          <w:sz w:val="28"/>
          <w:szCs w:val="28"/>
          <w:lang w:eastAsia="ru-RU"/>
        </w:rPr>
        <w:t xml:space="preserve"> </w:t>
      </w:r>
      <w:r w:rsidR="00827F69" w:rsidRPr="00802D35">
        <w:rPr>
          <w:rFonts w:ascii="Times New Roman" w:eastAsia="Times New Roman" w:hAnsi="Times New Roman" w:cs="Times New Roman"/>
          <w:sz w:val="28"/>
          <w:szCs w:val="28"/>
          <w:lang w:eastAsia="ru-RU"/>
        </w:rPr>
        <w:t xml:space="preserve">  </w:t>
      </w:r>
      <w:r w:rsidRPr="00802D35">
        <w:rPr>
          <w:rFonts w:ascii="Times New Roman" w:eastAsia="Times New Roman" w:hAnsi="Times New Roman" w:cs="Times New Roman"/>
          <w:sz w:val="28"/>
          <w:szCs w:val="28"/>
          <w:lang w:eastAsia="ru-RU"/>
        </w:rPr>
        <w:t xml:space="preserve">                                           (</w:t>
      </w:r>
      <w:r w:rsidR="00E361BD" w:rsidRPr="00802D35">
        <w:rPr>
          <w:rFonts w:ascii="Times New Roman" w:eastAsia="Times New Roman" w:hAnsi="Times New Roman" w:cs="Times New Roman"/>
          <w:sz w:val="28"/>
          <w:szCs w:val="28"/>
          <w:lang w:eastAsia="ru-RU"/>
        </w:rPr>
        <w:t>1</w:t>
      </w:r>
      <w:r w:rsidRPr="00802D35">
        <w:rPr>
          <w:rFonts w:ascii="Times New Roman" w:eastAsia="Times New Roman" w:hAnsi="Times New Roman" w:cs="Times New Roman"/>
          <w:sz w:val="28"/>
          <w:szCs w:val="28"/>
          <w:lang w:eastAsia="ru-RU"/>
        </w:rPr>
        <w:t>),</w:t>
      </w:r>
    </w:p>
    <w:p w:rsidR="00B67851" w:rsidRPr="00802D35" w:rsidRDefault="00B67851" w:rsidP="00827F69">
      <w:pPr>
        <w:widowControl w:val="0"/>
        <w:spacing w:after="0" w:line="240" w:lineRule="auto"/>
        <w:ind w:firstLine="567"/>
        <w:jc w:val="both"/>
        <w:rPr>
          <w:rFonts w:ascii="Times New Roman" w:eastAsia="Times New Roman" w:hAnsi="Times New Roman" w:cs="Times New Roman"/>
          <w:sz w:val="28"/>
          <w:szCs w:val="28"/>
          <w:lang w:eastAsia="ru-RU"/>
        </w:rPr>
      </w:pPr>
    </w:p>
    <w:p w:rsidR="00B67851" w:rsidRPr="00802D35" w:rsidRDefault="00B67851"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где:</w:t>
      </w:r>
    </w:p>
    <w:p w:rsidR="00B67851" w:rsidRPr="00802D35" w:rsidRDefault="00B67851"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SF</w:t>
      </w:r>
      <w:r w:rsidRPr="00802D35">
        <w:rPr>
          <w:rFonts w:ascii="Times New Roman" w:eastAsia="Times New Roman" w:hAnsi="Times New Roman" w:cs="Times New Roman"/>
          <w:sz w:val="28"/>
          <w:szCs w:val="28"/>
          <w:vertAlign w:val="subscript"/>
          <w:lang w:eastAsia="ru-RU"/>
        </w:rPr>
        <w:t>t</w:t>
      </w:r>
      <w:r w:rsidRPr="00802D35">
        <w:rPr>
          <w:rFonts w:ascii="Times New Roman" w:eastAsia="Times New Roman" w:hAnsi="Times New Roman" w:cs="Times New Roman"/>
          <w:sz w:val="28"/>
          <w:szCs w:val="28"/>
          <w:lang w:eastAsia="ru-RU"/>
        </w:rPr>
        <w:t xml:space="preserve"> – доступное стабильное фондирование;</w:t>
      </w:r>
    </w:p>
    <w:p w:rsidR="00B67851" w:rsidRPr="00802D35" w:rsidRDefault="00B67851"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SF</w:t>
      </w:r>
      <w:r w:rsidRPr="00802D35">
        <w:rPr>
          <w:rFonts w:ascii="Times New Roman" w:eastAsia="Times New Roman" w:hAnsi="Times New Roman" w:cs="Times New Roman"/>
          <w:sz w:val="28"/>
          <w:szCs w:val="28"/>
          <w:vertAlign w:val="subscript"/>
          <w:lang w:eastAsia="ru-RU"/>
        </w:rPr>
        <w:t>0</w:t>
      </w:r>
      <w:r w:rsidRPr="00802D35">
        <w:rPr>
          <w:rFonts w:ascii="Times New Roman" w:eastAsia="Times New Roman" w:hAnsi="Times New Roman" w:cs="Times New Roman"/>
          <w:sz w:val="28"/>
          <w:szCs w:val="28"/>
          <w:lang w:eastAsia="ru-RU"/>
        </w:rPr>
        <w:t xml:space="preserve"> – требуемое стабильное фондирование.</w:t>
      </w:r>
    </w:p>
    <w:p w:rsidR="00B67851" w:rsidRPr="00802D35" w:rsidRDefault="00B67851" w:rsidP="00827F69">
      <w:pPr>
        <w:widowControl w:val="0"/>
        <w:spacing w:after="0" w:line="240" w:lineRule="auto"/>
        <w:ind w:firstLine="567"/>
        <w:jc w:val="both"/>
        <w:rPr>
          <w:rFonts w:ascii="Times New Roman" w:eastAsia="Times New Roman" w:hAnsi="Times New Roman" w:cs="Times New Roman"/>
          <w:sz w:val="28"/>
          <w:szCs w:val="28"/>
          <w:lang w:eastAsia="ru-RU"/>
        </w:rPr>
      </w:pPr>
    </w:p>
    <w:p w:rsidR="00B67851" w:rsidRPr="00802D35" w:rsidRDefault="00B67851"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В свою очередь, каждый из указанных показателей оценивается соответственно:</w:t>
      </w:r>
    </w:p>
    <w:p w:rsidR="00B67851" w:rsidRPr="00802D35" w:rsidRDefault="00B67851" w:rsidP="00827F69">
      <w:pPr>
        <w:widowControl w:val="0"/>
        <w:spacing w:after="0" w:line="240" w:lineRule="auto"/>
        <w:ind w:firstLine="567"/>
        <w:jc w:val="both"/>
        <w:rPr>
          <w:rFonts w:ascii="Times New Roman" w:eastAsia="Times New Roman" w:hAnsi="Times New Roman" w:cs="Times New Roman"/>
          <w:sz w:val="28"/>
          <w:szCs w:val="28"/>
          <w:lang w:eastAsia="ru-RU"/>
        </w:rPr>
      </w:pPr>
    </w:p>
    <w:p w:rsidR="00B67851" w:rsidRPr="00802D35" w:rsidRDefault="00FF4C7E" w:rsidP="00827F69">
      <w:pPr>
        <w:widowControl w:val="0"/>
        <w:spacing w:after="0" w:line="240" w:lineRule="auto"/>
        <w:ind w:firstLine="567"/>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SF</m:t>
              </m:r>
            </m:e>
            <m:sub>
              <m:r>
                <w:rPr>
                  <w:rFonts w:ascii="Cambria Math" w:eastAsia="Times New Roman" w:hAnsi="Cambria Math" w:cs="Times New Roman"/>
                  <w:sz w:val="28"/>
                  <w:szCs w:val="28"/>
                  <w:lang w:eastAsia="ru-RU"/>
                </w:rPr>
                <m:t>t</m:t>
              </m:r>
            </m:sub>
          </m:sSub>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i</m:t>
                  </m:r>
                </m:sub>
              </m:sSub>
            </m:e>
          </m:nary>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i</m:t>
              </m:r>
            </m:sub>
          </m:sSub>
        </m:oMath>
      </m:oMathPara>
    </w:p>
    <w:p w:rsidR="00B67851" w:rsidRPr="00802D35" w:rsidRDefault="005E6CD5" w:rsidP="005E6CD5">
      <w:pPr>
        <w:widowControl w:val="0"/>
        <w:spacing w:after="0" w:line="240" w:lineRule="auto"/>
        <w:ind w:firstLine="567"/>
        <w:jc w:val="right"/>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w:t>
      </w:r>
      <w:r w:rsidR="00E361BD" w:rsidRPr="00802D35">
        <w:rPr>
          <w:rFonts w:ascii="Times New Roman" w:eastAsia="Times New Roman" w:hAnsi="Times New Roman" w:cs="Times New Roman"/>
          <w:sz w:val="28"/>
          <w:szCs w:val="28"/>
          <w:lang w:eastAsia="ru-RU"/>
        </w:rPr>
        <w:t>2</w:t>
      </w:r>
      <w:r w:rsidRPr="00802D35">
        <w:rPr>
          <w:rFonts w:ascii="Times New Roman" w:eastAsia="Times New Roman" w:hAnsi="Times New Roman" w:cs="Times New Roman"/>
          <w:sz w:val="28"/>
          <w:szCs w:val="28"/>
          <w:lang w:eastAsia="ru-RU"/>
        </w:rPr>
        <w:t>),</w:t>
      </w:r>
    </w:p>
    <w:p w:rsidR="00B67851" w:rsidRPr="00802D35" w:rsidRDefault="00FF4C7E" w:rsidP="00827F69">
      <w:pPr>
        <w:widowControl w:val="0"/>
        <w:spacing w:after="0" w:line="240" w:lineRule="auto"/>
        <w:ind w:firstLine="567"/>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SF</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j=1</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j</m:t>
                  </m:r>
                </m:sub>
              </m:sSub>
            </m:e>
          </m:nary>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j</m:t>
              </m:r>
            </m:sub>
          </m:sSub>
        </m:oMath>
      </m:oMathPara>
    </w:p>
    <w:p w:rsidR="00B67851" w:rsidRPr="00802D35" w:rsidRDefault="00B67851" w:rsidP="00827F69">
      <w:pPr>
        <w:widowControl w:val="0"/>
        <w:spacing w:after="0" w:line="240" w:lineRule="auto"/>
        <w:ind w:firstLine="567"/>
        <w:jc w:val="both"/>
        <w:rPr>
          <w:rFonts w:ascii="Times New Roman" w:eastAsia="Times New Roman" w:hAnsi="Times New Roman" w:cs="Times New Roman"/>
          <w:sz w:val="28"/>
          <w:szCs w:val="28"/>
          <w:lang w:eastAsia="ru-RU"/>
        </w:rPr>
      </w:pPr>
    </w:p>
    <w:p w:rsidR="00B67851" w:rsidRPr="00802D35" w:rsidRDefault="00B67851" w:rsidP="00B67851">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где:</w:t>
      </w:r>
    </w:p>
    <w:p w:rsidR="00B67851" w:rsidRPr="00802D35" w:rsidRDefault="00B67851" w:rsidP="00B67851">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 xml:space="preserve"> – обязательства и собственный капитал до вычета инвестиций;</w:t>
      </w:r>
    </w:p>
    <w:p w:rsidR="00B67851" w:rsidRPr="00802D35" w:rsidRDefault="00B67851" w:rsidP="00B67851">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K</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 xml:space="preserve"> – </w:t>
      </w:r>
      <w:r w:rsidR="005E6CD5" w:rsidRPr="00802D35">
        <w:rPr>
          <w:rFonts w:ascii="Times New Roman" w:hAnsi="Times New Roman" w:cs="Times New Roman"/>
          <w:spacing w:val="2"/>
          <w:sz w:val="28"/>
          <w:szCs w:val="28"/>
        </w:rPr>
        <w:t>коэффициенты доступного стабильного фондирования;</w:t>
      </w:r>
    </w:p>
    <w:p w:rsidR="005E6CD5" w:rsidRPr="00802D35" w:rsidRDefault="005E6CD5" w:rsidP="005E6CD5">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K</w:t>
      </w:r>
      <w:r w:rsidRPr="00802D35">
        <w:rPr>
          <w:rFonts w:ascii="Times New Roman" w:eastAsia="Times New Roman" w:hAnsi="Times New Roman" w:cs="Times New Roman"/>
          <w:sz w:val="28"/>
          <w:szCs w:val="28"/>
          <w:vertAlign w:val="subscript"/>
          <w:lang w:eastAsia="ru-RU"/>
        </w:rPr>
        <w:t>j</w:t>
      </w:r>
      <w:r w:rsidRPr="00802D35">
        <w:rPr>
          <w:rFonts w:ascii="Times New Roman" w:eastAsia="Times New Roman" w:hAnsi="Times New Roman" w:cs="Times New Roman"/>
          <w:sz w:val="28"/>
          <w:szCs w:val="28"/>
          <w:lang w:eastAsia="ru-RU"/>
        </w:rPr>
        <w:t xml:space="preserve"> – </w:t>
      </w:r>
      <w:r w:rsidRPr="00802D35">
        <w:rPr>
          <w:rFonts w:ascii="Times New Roman" w:hAnsi="Times New Roman" w:cs="Times New Roman"/>
          <w:spacing w:val="2"/>
          <w:sz w:val="28"/>
          <w:szCs w:val="28"/>
        </w:rPr>
        <w:t>коэффициенты требуемого стабильного фондирования;</w:t>
      </w:r>
    </w:p>
    <w:p w:rsidR="00B67851" w:rsidRPr="00802D35" w:rsidRDefault="00B67851" w:rsidP="00B67851">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005E6CD5" w:rsidRPr="00802D35">
        <w:rPr>
          <w:rFonts w:ascii="Times New Roman" w:eastAsia="Times New Roman" w:hAnsi="Times New Roman" w:cs="Times New Roman"/>
          <w:sz w:val="28"/>
          <w:szCs w:val="28"/>
          <w:vertAlign w:val="subscript"/>
          <w:lang w:eastAsia="ru-RU"/>
        </w:rPr>
        <w:t>j</w:t>
      </w:r>
      <w:r w:rsidRPr="00802D35">
        <w:rPr>
          <w:rFonts w:ascii="Times New Roman" w:eastAsia="Times New Roman" w:hAnsi="Times New Roman" w:cs="Times New Roman"/>
          <w:sz w:val="28"/>
          <w:szCs w:val="28"/>
          <w:lang w:eastAsia="ru-RU"/>
        </w:rPr>
        <w:t xml:space="preserve"> – </w:t>
      </w:r>
      <w:r w:rsidR="005E6CD5" w:rsidRPr="00802D35">
        <w:rPr>
          <w:rFonts w:ascii="Times New Roman" w:eastAsia="Times New Roman" w:hAnsi="Times New Roman" w:cs="Times New Roman"/>
          <w:sz w:val="28"/>
          <w:szCs w:val="28"/>
          <w:lang w:eastAsia="ru-RU"/>
        </w:rPr>
        <w:t>активы, условные и возможные обязательства.</w:t>
      </w:r>
    </w:p>
    <w:p w:rsidR="00B67851" w:rsidRPr="00802D35" w:rsidRDefault="00B67851" w:rsidP="00B67851">
      <w:pPr>
        <w:widowControl w:val="0"/>
        <w:spacing w:after="0" w:line="240" w:lineRule="auto"/>
        <w:ind w:firstLine="567"/>
        <w:jc w:val="both"/>
        <w:rPr>
          <w:rFonts w:ascii="Times New Roman" w:eastAsia="Times New Roman" w:hAnsi="Times New Roman" w:cs="Times New Roman"/>
          <w:sz w:val="28"/>
          <w:szCs w:val="28"/>
          <w:lang w:eastAsia="ru-RU"/>
        </w:rPr>
      </w:pPr>
    </w:p>
    <w:p w:rsidR="00F528FB" w:rsidRPr="00802D35" w:rsidRDefault="00F528FB"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Также важным</w:t>
      </w:r>
      <w:r w:rsidR="005E6CD5" w:rsidRPr="00802D35">
        <w:rPr>
          <w:rFonts w:ascii="Times New Roman" w:eastAsia="Times New Roman" w:hAnsi="Times New Roman" w:cs="Times New Roman"/>
          <w:sz w:val="28"/>
          <w:szCs w:val="28"/>
          <w:lang w:eastAsia="ru-RU"/>
        </w:rPr>
        <w:t>и</w:t>
      </w:r>
      <w:r w:rsidRPr="00802D35">
        <w:rPr>
          <w:rFonts w:ascii="Times New Roman" w:eastAsia="Times New Roman" w:hAnsi="Times New Roman" w:cs="Times New Roman"/>
          <w:sz w:val="28"/>
          <w:szCs w:val="28"/>
          <w:lang w:eastAsia="ru-RU"/>
        </w:rPr>
        <w:t xml:space="preserve"> показател</w:t>
      </w:r>
      <w:r w:rsidR="005E6CD5" w:rsidRPr="00802D35">
        <w:rPr>
          <w:rFonts w:ascii="Times New Roman" w:eastAsia="Times New Roman" w:hAnsi="Times New Roman" w:cs="Times New Roman"/>
          <w:sz w:val="28"/>
          <w:szCs w:val="28"/>
          <w:lang w:eastAsia="ru-RU"/>
        </w:rPr>
        <w:t>ями фондирования</w:t>
      </w:r>
      <w:r w:rsidRPr="00802D35">
        <w:rPr>
          <w:rFonts w:ascii="Times New Roman" w:eastAsia="Times New Roman" w:hAnsi="Times New Roman" w:cs="Times New Roman"/>
          <w:sz w:val="28"/>
          <w:szCs w:val="28"/>
          <w:lang w:eastAsia="ru-RU"/>
        </w:rPr>
        <w:t xml:space="preserve"> явля</w:t>
      </w:r>
      <w:r w:rsidR="005E6CD5" w:rsidRPr="00802D35">
        <w:rPr>
          <w:rFonts w:ascii="Times New Roman" w:eastAsia="Times New Roman" w:hAnsi="Times New Roman" w:cs="Times New Roman"/>
          <w:sz w:val="28"/>
          <w:szCs w:val="28"/>
          <w:lang w:eastAsia="ru-RU"/>
        </w:rPr>
        <w:t>ю</w:t>
      </w:r>
      <w:r w:rsidRPr="00802D35">
        <w:rPr>
          <w:rFonts w:ascii="Times New Roman" w:eastAsia="Times New Roman" w:hAnsi="Times New Roman" w:cs="Times New Roman"/>
          <w:sz w:val="28"/>
          <w:szCs w:val="28"/>
          <w:lang w:eastAsia="ru-RU"/>
        </w:rPr>
        <w:t>тся коэффициент достаточности основного (</w:t>
      </w:r>
      <w:r w:rsidR="009C21CD" w:rsidRPr="00802D35">
        <w:rPr>
          <w:rFonts w:ascii="Times New Roman" w:eastAsia="Times New Roman" w:hAnsi="Times New Roman" w:cs="Times New Roman"/>
          <w:sz w:val="28"/>
          <w:szCs w:val="28"/>
          <w:lang w:eastAsia="ru-RU"/>
        </w:rPr>
        <w:t>k</w:t>
      </w:r>
      <w:r w:rsidRPr="00802D35">
        <w:rPr>
          <w:rFonts w:ascii="Times New Roman" w:eastAsia="Times New Roman" w:hAnsi="Times New Roman" w:cs="Times New Roman"/>
          <w:sz w:val="28"/>
          <w:szCs w:val="28"/>
          <w:lang w:eastAsia="ru-RU"/>
        </w:rPr>
        <w:t xml:space="preserve">-1), </w:t>
      </w:r>
      <w:r w:rsidR="0017502D" w:rsidRPr="00802D35">
        <w:rPr>
          <w:rFonts w:ascii="Times New Roman" w:eastAsia="Times New Roman" w:hAnsi="Times New Roman" w:cs="Times New Roman"/>
          <w:sz w:val="28"/>
          <w:szCs w:val="28"/>
          <w:lang w:eastAsia="ru-RU"/>
        </w:rPr>
        <w:t xml:space="preserve">минимальное значение которого составляет 6,5% (с июля 2021 г. – 7,5%), </w:t>
      </w:r>
      <w:r w:rsidRPr="00802D35">
        <w:rPr>
          <w:rFonts w:ascii="Times New Roman" w:eastAsia="Times New Roman" w:hAnsi="Times New Roman" w:cs="Times New Roman"/>
          <w:sz w:val="28"/>
          <w:szCs w:val="28"/>
          <w:lang w:eastAsia="ru-RU"/>
        </w:rPr>
        <w:t>собственного капитала (</w:t>
      </w:r>
      <w:r w:rsidR="009C21CD" w:rsidRPr="00802D35">
        <w:rPr>
          <w:rFonts w:ascii="Times New Roman" w:eastAsia="Times New Roman" w:hAnsi="Times New Roman" w:cs="Times New Roman"/>
          <w:sz w:val="28"/>
          <w:szCs w:val="28"/>
          <w:lang w:eastAsia="ru-RU"/>
        </w:rPr>
        <w:t>k</w:t>
      </w:r>
      <w:r w:rsidRPr="00802D35">
        <w:rPr>
          <w:rFonts w:ascii="Times New Roman" w:eastAsia="Times New Roman" w:hAnsi="Times New Roman" w:cs="Times New Roman"/>
          <w:sz w:val="28"/>
          <w:szCs w:val="28"/>
          <w:lang w:eastAsia="ru-RU"/>
        </w:rPr>
        <w:t>-2)</w:t>
      </w:r>
      <w:r w:rsidR="0017502D" w:rsidRPr="00802D35">
        <w:rPr>
          <w:rFonts w:ascii="Times New Roman" w:eastAsia="Times New Roman" w:hAnsi="Times New Roman" w:cs="Times New Roman"/>
          <w:sz w:val="28"/>
          <w:szCs w:val="28"/>
          <w:lang w:eastAsia="ru-RU"/>
        </w:rPr>
        <w:t>, минимальное значение которого составляет 9% (с июля 2021 г. – 10%),</w:t>
      </w:r>
      <w:r w:rsidRPr="00802D35">
        <w:rPr>
          <w:rFonts w:ascii="Times New Roman" w:eastAsia="Times New Roman" w:hAnsi="Times New Roman" w:cs="Times New Roman"/>
          <w:sz w:val="28"/>
          <w:szCs w:val="28"/>
          <w:lang w:eastAsia="ru-RU"/>
        </w:rPr>
        <w:t xml:space="preserve"> и капитала первого уровня (</w:t>
      </w:r>
      <w:r w:rsidR="009C21CD" w:rsidRPr="00802D35">
        <w:rPr>
          <w:rFonts w:ascii="Times New Roman" w:eastAsia="Times New Roman" w:hAnsi="Times New Roman" w:cs="Times New Roman"/>
          <w:sz w:val="28"/>
          <w:szCs w:val="28"/>
          <w:lang w:eastAsia="ru-RU"/>
        </w:rPr>
        <w:t>k</w:t>
      </w:r>
      <w:r w:rsidRPr="00802D35">
        <w:rPr>
          <w:rFonts w:ascii="Times New Roman" w:eastAsia="Times New Roman" w:hAnsi="Times New Roman" w:cs="Times New Roman"/>
          <w:sz w:val="28"/>
          <w:szCs w:val="28"/>
          <w:lang w:eastAsia="ru-RU"/>
        </w:rPr>
        <w:t>1-2)</w:t>
      </w:r>
      <w:r w:rsidR="0017502D" w:rsidRPr="00802D35">
        <w:rPr>
          <w:rFonts w:ascii="Times New Roman" w:eastAsia="Times New Roman" w:hAnsi="Times New Roman" w:cs="Times New Roman"/>
          <w:sz w:val="28"/>
          <w:szCs w:val="28"/>
          <w:lang w:eastAsia="ru-RU"/>
        </w:rPr>
        <w:t>, минимальное значение которого составляет 7,5% (с июля 2021 г. – 8,5%)</w:t>
      </w:r>
      <w:r w:rsidRPr="00802D35">
        <w:rPr>
          <w:rFonts w:ascii="Times New Roman" w:eastAsia="Times New Roman" w:hAnsi="Times New Roman" w:cs="Times New Roman"/>
          <w:sz w:val="28"/>
          <w:szCs w:val="28"/>
          <w:lang w:eastAsia="ru-RU"/>
        </w:rPr>
        <w:t xml:space="preserve">. </w:t>
      </w:r>
    </w:p>
    <w:p w:rsidR="0017502D" w:rsidRPr="00802D35" w:rsidRDefault="0017502D"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Одним из нормативов Национального банка, аналогично касающегося фондирования, можно отметить обязательства перед нерезидентами РК, коэффициент </w:t>
      </w:r>
      <w:r w:rsidR="009C21CD" w:rsidRPr="00802D35">
        <w:rPr>
          <w:rFonts w:ascii="Times New Roman" w:eastAsia="Times New Roman" w:hAnsi="Times New Roman" w:cs="Times New Roman"/>
          <w:sz w:val="28"/>
          <w:szCs w:val="28"/>
          <w:lang w:eastAsia="ru-RU"/>
        </w:rPr>
        <w:t>k</w:t>
      </w:r>
      <w:r w:rsidRPr="00802D35">
        <w:rPr>
          <w:rFonts w:ascii="Times New Roman" w:eastAsia="Times New Roman" w:hAnsi="Times New Roman" w:cs="Times New Roman"/>
          <w:sz w:val="28"/>
          <w:szCs w:val="28"/>
          <w:lang w:eastAsia="ru-RU"/>
        </w:rPr>
        <w:t>-7, который оценивается следующим образом:</w:t>
      </w:r>
    </w:p>
    <w:p w:rsidR="0017502D" w:rsidRPr="00802D35" w:rsidRDefault="0017502D" w:rsidP="00827F69">
      <w:pPr>
        <w:widowControl w:val="0"/>
        <w:spacing w:after="0" w:line="240" w:lineRule="auto"/>
        <w:ind w:firstLine="567"/>
        <w:jc w:val="both"/>
        <w:rPr>
          <w:rFonts w:ascii="Times New Roman" w:eastAsia="Times New Roman" w:hAnsi="Times New Roman" w:cs="Times New Roman"/>
          <w:sz w:val="28"/>
          <w:szCs w:val="28"/>
          <w:lang w:eastAsia="ru-RU"/>
        </w:rPr>
      </w:pPr>
    </w:p>
    <w:p w:rsidR="0017502D" w:rsidRPr="00802D35" w:rsidRDefault="00FF4C7E" w:rsidP="00344D1D">
      <w:pPr>
        <w:widowControl w:val="0"/>
        <w:spacing w:after="0" w:line="240" w:lineRule="auto"/>
        <w:ind w:firstLine="567"/>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k7</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L</m:t>
                    </m:r>
                  </m:e>
                  <m:sub>
                    <m:r>
                      <w:rPr>
                        <w:rFonts w:ascii="Cambria Math" w:eastAsia="Times New Roman" w:hAnsi="Cambria Math" w:cs="Times New Roman"/>
                        <w:sz w:val="28"/>
                        <w:szCs w:val="28"/>
                        <w:lang w:eastAsia="ru-RU"/>
                      </w:rPr>
                      <m:t>sht</m:t>
                    </m:r>
                  </m:sub>
                </m:sSub>
              </m:e>
            </m:nary>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B</m:t>
                </m:r>
              </m:sub>
            </m:sSub>
          </m:den>
        </m:f>
        <m:r>
          <w:rPr>
            <w:rFonts w:ascii="Cambria Math" w:eastAsia="Times New Roman" w:hAnsi="Cambria Math" w:cs="Times New Roman"/>
            <w:sz w:val="28"/>
            <w:szCs w:val="28"/>
            <w:lang w:eastAsia="ru-RU"/>
          </w:rPr>
          <m:t>≤1</m:t>
        </m:r>
      </m:oMath>
      <w:r w:rsidR="00344D1D" w:rsidRPr="00802D35">
        <w:rPr>
          <w:rFonts w:ascii="Times New Roman" w:eastAsia="Times New Roman" w:hAnsi="Times New Roman" w:cs="Times New Roman"/>
          <w:sz w:val="28"/>
          <w:szCs w:val="28"/>
          <w:lang w:eastAsia="ru-RU"/>
        </w:rPr>
        <w:t xml:space="preserve">                                               (</w:t>
      </w:r>
      <w:r w:rsidR="00E361BD" w:rsidRPr="00802D35">
        <w:rPr>
          <w:rFonts w:ascii="Times New Roman" w:eastAsia="Times New Roman" w:hAnsi="Times New Roman" w:cs="Times New Roman"/>
          <w:sz w:val="28"/>
          <w:szCs w:val="28"/>
          <w:lang w:eastAsia="ru-RU"/>
        </w:rPr>
        <w:t>3</w:t>
      </w:r>
      <w:r w:rsidR="00344D1D" w:rsidRPr="00802D35">
        <w:rPr>
          <w:rFonts w:ascii="Times New Roman" w:eastAsia="Times New Roman" w:hAnsi="Times New Roman" w:cs="Times New Roman"/>
          <w:sz w:val="28"/>
          <w:szCs w:val="28"/>
          <w:lang w:eastAsia="ru-RU"/>
        </w:rPr>
        <w:t>),</w:t>
      </w:r>
    </w:p>
    <w:p w:rsidR="00344D1D" w:rsidRPr="00802D35" w:rsidRDefault="00344D1D" w:rsidP="00344D1D">
      <w:pPr>
        <w:widowControl w:val="0"/>
        <w:spacing w:after="0" w:line="240" w:lineRule="auto"/>
        <w:ind w:firstLine="567"/>
        <w:jc w:val="both"/>
        <w:rPr>
          <w:rFonts w:ascii="Times New Roman" w:eastAsia="Times New Roman" w:hAnsi="Times New Roman" w:cs="Times New Roman"/>
          <w:sz w:val="28"/>
          <w:szCs w:val="28"/>
          <w:lang w:eastAsia="ru-RU"/>
        </w:rPr>
      </w:pPr>
    </w:p>
    <w:p w:rsidR="00344D1D" w:rsidRPr="00802D35" w:rsidRDefault="00344D1D" w:rsidP="00344D1D">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где:</w:t>
      </w:r>
    </w:p>
    <w:p w:rsidR="00344D1D" w:rsidRPr="00802D35" w:rsidRDefault="00344D1D"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sht</w:t>
      </w:r>
      <w:r w:rsidRPr="00802D35">
        <w:rPr>
          <w:rFonts w:ascii="Times New Roman" w:eastAsia="Times New Roman" w:hAnsi="Times New Roman" w:cs="Times New Roman"/>
          <w:sz w:val="28"/>
          <w:szCs w:val="28"/>
          <w:lang w:eastAsia="ru-RU"/>
        </w:rPr>
        <w:t xml:space="preserve"> – краткосрочные обязательства банка перед нерезидентами Казахстана;</w:t>
      </w:r>
    </w:p>
    <w:p w:rsidR="00344D1D" w:rsidRPr="00802D35" w:rsidRDefault="00344D1D"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E</w:t>
      </w:r>
      <w:r w:rsidRPr="00802D35">
        <w:rPr>
          <w:rFonts w:ascii="Times New Roman" w:eastAsia="Times New Roman" w:hAnsi="Times New Roman" w:cs="Times New Roman"/>
          <w:sz w:val="28"/>
          <w:szCs w:val="28"/>
          <w:vertAlign w:val="subscript"/>
          <w:lang w:eastAsia="ru-RU"/>
        </w:rPr>
        <w:t>B</w:t>
      </w:r>
      <w:r w:rsidRPr="00802D35">
        <w:rPr>
          <w:rFonts w:ascii="Times New Roman" w:eastAsia="Times New Roman" w:hAnsi="Times New Roman" w:cs="Times New Roman"/>
          <w:sz w:val="28"/>
          <w:szCs w:val="28"/>
          <w:lang w:eastAsia="ru-RU"/>
        </w:rPr>
        <w:t xml:space="preserve"> – собственный капитал банка.</w:t>
      </w:r>
    </w:p>
    <w:p w:rsidR="00344D1D" w:rsidRPr="00802D35" w:rsidRDefault="00344D1D" w:rsidP="00827F69">
      <w:pPr>
        <w:widowControl w:val="0"/>
        <w:spacing w:after="0" w:line="240" w:lineRule="auto"/>
        <w:ind w:firstLine="567"/>
        <w:jc w:val="both"/>
        <w:rPr>
          <w:rFonts w:ascii="Times New Roman" w:eastAsia="Times New Roman" w:hAnsi="Times New Roman" w:cs="Times New Roman"/>
          <w:sz w:val="28"/>
          <w:szCs w:val="28"/>
          <w:lang w:eastAsia="ru-RU"/>
        </w:rPr>
      </w:pPr>
    </w:p>
    <w:p w:rsidR="00037C7D" w:rsidRPr="00802D35" w:rsidRDefault="00037C7D" w:rsidP="00037C7D">
      <w:pPr>
        <w:widowControl w:val="0"/>
        <w:tabs>
          <w:tab w:val="left" w:pos="8942"/>
        </w:tabs>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 xml:space="preserve">Таким образом, учитывая потребность в бесперебойном поступлении ресурсов для эффективности деятельности банка и исходя из этого необходимость соблюдения нормативов НБРК, можно отметить, что в целях обеспечения конкурентоустойчивости БВУ следует определить </w:t>
      </w:r>
      <w:r w:rsidRPr="00802D35">
        <w:rPr>
          <w:rFonts w:ascii="Times New Roman" w:hAnsi="Times New Roman" w:cs="Times New Roman"/>
          <w:sz w:val="28"/>
          <w:szCs w:val="28"/>
        </w:rPr>
        <w:t xml:space="preserve">квинтэссенции банковского фондирования (рисунок </w:t>
      </w:r>
      <w:r w:rsidR="00E361BD" w:rsidRPr="00802D35">
        <w:rPr>
          <w:rFonts w:ascii="Times New Roman" w:hAnsi="Times New Roman" w:cs="Times New Roman"/>
          <w:sz w:val="28"/>
          <w:szCs w:val="28"/>
        </w:rPr>
        <w:t>7</w:t>
      </w:r>
      <w:r w:rsidRPr="00802D35">
        <w:rPr>
          <w:rFonts w:ascii="Times New Roman" w:hAnsi="Times New Roman" w:cs="Times New Roman"/>
          <w:sz w:val="28"/>
          <w:szCs w:val="28"/>
        </w:rPr>
        <w:t>).</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Возможности использования, в том числе комбинирования, имеющихся на финансовом рынке инструментов должны быть максимальными. Чем больше разнообразие инструментов фондирования применяет банк, тем больше обеспечивается каналов поступления ресурсов в банк, что, в свою очередь повышает конкурентоустойчивость БВУ.</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Сбалансированная структура фондирования позволяет снизить стоимость фондирования за счет диверсификации источников и сроков, что также способствует росту конкурентоустойчивости банка.</w:t>
      </w:r>
    </w:p>
    <w:p w:rsidR="00037C7D" w:rsidRPr="00802D35" w:rsidRDefault="00037C7D" w:rsidP="00037C7D">
      <w:pPr>
        <w:widowControl w:val="0"/>
        <w:tabs>
          <w:tab w:val="left" w:pos="8942"/>
        </w:tabs>
        <w:spacing w:after="0" w:line="240" w:lineRule="auto"/>
        <w:ind w:firstLine="567"/>
        <w:jc w:val="both"/>
        <w:rPr>
          <w:rFonts w:ascii="Times New Roman" w:hAnsi="Times New Roman" w:cs="Times New Roman"/>
          <w:b/>
          <w:sz w:val="28"/>
          <w:szCs w:val="28"/>
        </w:rPr>
      </w:pPr>
    </w:p>
    <w:p w:rsidR="00037C7D" w:rsidRPr="00802D35" w:rsidRDefault="00037C7D" w:rsidP="002A24DE">
      <w:pPr>
        <w:widowControl w:val="0"/>
        <w:tabs>
          <w:tab w:val="left" w:pos="8942"/>
        </w:tabs>
        <w:spacing w:after="0" w:line="240" w:lineRule="auto"/>
        <w:jc w:val="both"/>
        <w:rPr>
          <w:rFonts w:ascii="Times New Roman" w:hAnsi="Times New Roman" w:cs="Times New Roman"/>
          <w:b/>
          <w:sz w:val="28"/>
          <w:szCs w:val="28"/>
        </w:rPr>
      </w:pPr>
      <w:r w:rsidRPr="00802D35">
        <w:rPr>
          <w:rFonts w:ascii="Times New Roman" w:hAnsi="Times New Roman" w:cs="Times New Roman"/>
          <w:b/>
          <w:noProof/>
          <w:sz w:val="28"/>
          <w:szCs w:val="28"/>
          <w:lang w:eastAsia="ru-RU"/>
        </w:rPr>
        <w:lastRenderedPageBreak/>
        <w:drawing>
          <wp:inline distT="0" distB="0" distL="0" distR="0">
            <wp:extent cx="6115574" cy="2676088"/>
            <wp:effectExtent l="0" t="76200" r="0" b="10541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E40DE9" w:rsidRPr="00802D35" w:rsidRDefault="00E40DE9" w:rsidP="002A24DE">
      <w:pPr>
        <w:widowControl w:val="0"/>
        <w:spacing w:after="0" w:line="240" w:lineRule="auto"/>
        <w:ind w:firstLine="567"/>
        <w:jc w:val="center"/>
        <w:rPr>
          <w:rFonts w:ascii="Times New Roman" w:eastAsia="Times New Roman" w:hAnsi="Times New Roman" w:cs="Times New Roman"/>
          <w:sz w:val="28"/>
          <w:szCs w:val="28"/>
          <w:lang w:eastAsia="ru-RU"/>
        </w:rPr>
      </w:pPr>
    </w:p>
    <w:p w:rsidR="00037C7D" w:rsidRPr="00802D35" w:rsidRDefault="002A24DE" w:rsidP="002A24DE">
      <w:pPr>
        <w:widowControl w:val="0"/>
        <w:spacing w:after="0" w:line="240" w:lineRule="auto"/>
        <w:ind w:firstLine="567"/>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Рисунок </w:t>
      </w:r>
      <w:r w:rsidR="00E361BD" w:rsidRPr="00802D35">
        <w:rPr>
          <w:rFonts w:ascii="Times New Roman" w:eastAsia="Times New Roman" w:hAnsi="Times New Roman" w:cs="Times New Roman"/>
          <w:sz w:val="28"/>
          <w:szCs w:val="28"/>
          <w:lang w:eastAsia="ru-RU"/>
        </w:rPr>
        <w:t xml:space="preserve">7 </w:t>
      </w:r>
      <w:r w:rsidRPr="00802D35">
        <w:rPr>
          <w:rFonts w:ascii="Times New Roman" w:eastAsia="Times New Roman" w:hAnsi="Times New Roman" w:cs="Times New Roman"/>
          <w:sz w:val="28"/>
          <w:szCs w:val="28"/>
          <w:lang w:eastAsia="ru-RU"/>
        </w:rPr>
        <w:t xml:space="preserve">- </w:t>
      </w:r>
      <w:r w:rsidRPr="00802D35">
        <w:rPr>
          <w:rFonts w:ascii="Times New Roman" w:hAnsi="Times New Roman" w:cs="Times New Roman"/>
          <w:sz w:val="28"/>
          <w:szCs w:val="28"/>
        </w:rPr>
        <w:t>Квинтэссенции банковского фондирования</w:t>
      </w:r>
    </w:p>
    <w:p w:rsidR="00F734C5" w:rsidRPr="00802D35" w:rsidRDefault="00F734C5" w:rsidP="00827F69">
      <w:pPr>
        <w:widowControl w:val="0"/>
        <w:spacing w:after="0" w:line="240" w:lineRule="auto"/>
        <w:ind w:firstLine="567"/>
        <w:jc w:val="both"/>
        <w:rPr>
          <w:rFonts w:ascii="Times New Roman" w:eastAsia="Times New Roman" w:hAnsi="Times New Roman" w:cs="Times New Roman"/>
          <w:sz w:val="28"/>
          <w:szCs w:val="28"/>
          <w:lang w:eastAsia="ru-RU"/>
        </w:rPr>
      </w:pPr>
    </w:p>
    <w:p w:rsidR="00037C7D" w:rsidRPr="00802D35" w:rsidRDefault="002A24DE" w:rsidP="00827F69">
      <w:pPr>
        <w:widowControl w:val="0"/>
        <w:spacing w:after="0" w:line="240" w:lineRule="auto"/>
        <w:ind w:firstLine="567"/>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Примечание</w:t>
      </w:r>
      <w:r w:rsidR="001F130A" w:rsidRPr="00802D35">
        <w:rPr>
          <w:rFonts w:ascii="Times New Roman" w:eastAsia="Times New Roman" w:hAnsi="Times New Roman" w:cs="Times New Roman"/>
          <w:sz w:val="24"/>
          <w:szCs w:val="24"/>
          <w:lang w:eastAsia="ru-RU"/>
        </w:rPr>
        <w:t xml:space="preserve"> -</w:t>
      </w:r>
      <w:r w:rsidRPr="00802D35">
        <w:rPr>
          <w:rFonts w:ascii="Times New Roman" w:eastAsia="Times New Roman" w:hAnsi="Times New Roman" w:cs="Times New Roman"/>
          <w:sz w:val="24"/>
          <w:szCs w:val="24"/>
          <w:lang w:eastAsia="ru-RU"/>
        </w:rPr>
        <w:t xml:space="preserve"> разработано автором</w:t>
      </w:r>
    </w:p>
    <w:p w:rsidR="00E40DE9" w:rsidRPr="00802D35" w:rsidRDefault="00E40DE9" w:rsidP="00827F69">
      <w:pPr>
        <w:widowControl w:val="0"/>
        <w:spacing w:after="0" w:line="240" w:lineRule="auto"/>
        <w:ind w:firstLine="567"/>
        <w:jc w:val="both"/>
        <w:rPr>
          <w:rFonts w:ascii="Times New Roman" w:eastAsia="Times New Roman" w:hAnsi="Times New Roman" w:cs="Times New Roman"/>
          <w:sz w:val="28"/>
          <w:szCs w:val="28"/>
          <w:lang w:eastAsia="ru-RU"/>
        </w:rPr>
      </w:pPr>
    </w:p>
    <w:p w:rsidR="008D5987" w:rsidRPr="00802D35" w:rsidRDefault="008D5987"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Если банк сможет обеспечить значение показателя нетто стабильного фондирования выше требуемого, то это также свидетельствует о том, что банк способен привлекать все новые инструменты фондирования для поступления ресурсов. Это, в свою очередь, свидетельствует о низкой уязвимости БВУ и его стрессоустойчивости.</w:t>
      </w:r>
    </w:p>
    <w:p w:rsidR="008D5987" w:rsidRPr="00802D35" w:rsidRDefault="008D5987"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С целью обеспечения трех вышеуказанных пунктов банку необходимо осуществлять регулярный мониторинг рынка и структуры портфеля фондирования. Такая необходимость обуславливается тем, что БВУ требуется знать потребности клиентов, их предпочтения, условия рынка, условия конкурентов и т.п., чтобы держать процесс под контролем и своевременно среагировать на неблагоприятные изменения структуры портфеля и возможности его пополнения посредством применения новых инструментов фондирования.</w:t>
      </w:r>
      <w:r w:rsidR="00E40DE9" w:rsidRPr="00802D35">
        <w:rPr>
          <w:rFonts w:ascii="Times New Roman" w:eastAsia="Times New Roman" w:hAnsi="Times New Roman" w:cs="Times New Roman"/>
          <w:sz w:val="28"/>
          <w:szCs w:val="28"/>
          <w:lang w:eastAsia="ru-RU"/>
        </w:rPr>
        <w:t xml:space="preserve"> </w:t>
      </w:r>
      <w:r w:rsidRPr="00802D35">
        <w:rPr>
          <w:rFonts w:ascii="Times New Roman" w:eastAsia="Times New Roman" w:hAnsi="Times New Roman" w:cs="Times New Roman"/>
          <w:sz w:val="28"/>
          <w:szCs w:val="28"/>
          <w:lang w:eastAsia="ru-RU"/>
        </w:rPr>
        <w:t>Постоянный поиск новых источников и инструментов фондирования, в свою очередь, повышает конкурентоустойчивость банка, поскольку позволяет предусмотреть возможные риски и произвести срочное реагирование на поступающие сигналы о негативных изменениях. Новые инструменты, позволяющие банку привлекать средства, обеспечивают позиции банка «на шаг вперед» своих конкурентов.</w:t>
      </w:r>
    </w:p>
    <w:p w:rsidR="0084280D" w:rsidRPr="00802D35" w:rsidRDefault="00EF5600"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С целью соблюдения принципа сбалансированности фондирования, нами предлагается рассмотреть </w:t>
      </w:r>
      <w:r w:rsidRPr="00802D35">
        <w:rPr>
          <w:rFonts w:ascii="Times New Roman" w:eastAsia="Times New Roman" w:hAnsi="Times New Roman" w:cs="Times New Roman"/>
          <w:i/>
          <w:sz w:val="28"/>
          <w:szCs w:val="28"/>
          <w:lang w:eastAsia="ru-RU"/>
        </w:rPr>
        <w:t>показатели плотности фондирования</w:t>
      </w:r>
      <w:r w:rsidRPr="00802D35">
        <w:rPr>
          <w:rFonts w:ascii="Times New Roman" w:eastAsia="Times New Roman" w:hAnsi="Times New Roman" w:cs="Times New Roman"/>
          <w:sz w:val="28"/>
          <w:szCs w:val="28"/>
          <w:lang w:eastAsia="ru-RU"/>
        </w:rPr>
        <w:t xml:space="preserve"> по следующим составляющим: валютам, инструментам, клиентам и срокам. На наш взгляд, соблюдение </w:t>
      </w:r>
      <w:r w:rsidR="00042208" w:rsidRPr="00802D35">
        <w:rPr>
          <w:rFonts w:ascii="Times New Roman" w:eastAsia="Times New Roman" w:hAnsi="Times New Roman" w:cs="Times New Roman"/>
          <w:sz w:val="28"/>
          <w:szCs w:val="28"/>
          <w:lang w:eastAsia="ru-RU"/>
        </w:rPr>
        <w:t xml:space="preserve">каждым банком установленных лимитов плотности фондирования позволит избежать дополнительных рисков, связанных с концентрацией ресурсов в одной валюте, по одному инструменту, у одного клиента или по одним срокам. </w:t>
      </w:r>
      <w:r w:rsidR="00DE33E7" w:rsidRPr="00802D35">
        <w:rPr>
          <w:rFonts w:ascii="Times New Roman" w:eastAsia="Times New Roman" w:hAnsi="Times New Roman" w:cs="Times New Roman"/>
          <w:sz w:val="28"/>
          <w:szCs w:val="28"/>
          <w:lang w:eastAsia="ru-RU"/>
        </w:rPr>
        <w:t xml:space="preserve">Предлагаемая нами оценка и апробирование различных индексов концентрации будет нами представлено в </w:t>
      </w:r>
      <w:r w:rsidR="00E361BD" w:rsidRPr="00802D35">
        <w:rPr>
          <w:rFonts w:ascii="Times New Roman" w:eastAsia="Times New Roman" w:hAnsi="Times New Roman" w:cs="Times New Roman"/>
          <w:sz w:val="28"/>
          <w:szCs w:val="28"/>
          <w:lang w:eastAsia="ru-RU"/>
        </w:rPr>
        <w:t>третьем</w:t>
      </w:r>
      <w:r w:rsidR="00DE33E7" w:rsidRPr="00802D35">
        <w:rPr>
          <w:rFonts w:ascii="Times New Roman" w:eastAsia="Times New Roman" w:hAnsi="Times New Roman" w:cs="Times New Roman"/>
          <w:sz w:val="28"/>
          <w:szCs w:val="28"/>
          <w:lang w:eastAsia="ru-RU"/>
        </w:rPr>
        <w:t xml:space="preserve"> </w:t>
      </w:r>
      <w:r w:rsidR="00E361BD" w:rsidRPr="00802D35">
        <w:rPr>
          <w:rFonts w:ascii="Times New Roman" w:eastAsia="Times New Roman" w:hAnsi="Times New Roman" w:cs="Times New Roman"/>
          <w:sz w:val="28"/>
          <w:szCs w:val="28"/>
          <w:lang w:eastAsia="ru-RU"/>
        </w:rPr>
        <w:t>разделе работы</w:t>
      </w:r>
      <w:r w:rsidR="00DE33E7" w:rsidRPr="00802D35">
        <w:rPr>
          <w:rFonts w:ascii="Times New Roman" w:eastAsia="Times New Roman" w:hAnsi="Times New Roman" w:cs="Times New Roman"/>
          <w:sz w:val="28"/>
          <w:szCs w:val="28"/>
          <w:lang w:eastAsia="ru-RU"/>
        </w:rPr>
        <w:t>.</w:t>
      </w:r>
    </w:p>
    <w:p w:rsidR="005E6CD5" w:rsidRPr="00802D35" w:rsidRDefault="008D5987" w:rsidP="00827F6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lastRenderedPageBreak/>
        <w:t>В результате, о</w:t>
      </w:r>
      <w:r w:rsidR="005E6CD5" w:rsidRPr="00802D35">
        <w:rPr>
          <w:rFonts w:ascii="Times New Roman" w:eastAsia="Times New Roman" w:hAnsi="Times New Roman" w:cs="Times New Roman"/>
          <w:sz w:val="28"/>
          <w:szCs w:val="28"/>
          <w:lang w:eastAsia="ru-RU"/>
        </w:rPr>
        <w:t>рганизация банком стабильного фондирования, превышающего значение требуемого уровня, обеспечивает бесперебойное функционирование и эффективность деятельности банка</w:t>
      </w:r>
      <w:r w:rsidR="00037C7D" w:rsidRPr="00802D35">
        <w:rPr>
          <w:rFonts w:ascii="Times New Roman" w:eastAsia="Times New Roman" w:hAnsi="Times New Roman" w:cs="Times New Roman"/>
          <w:sz w:val="28"/>
          <w:szCs w:val="28"/>
          <w:lang w:eastAsia="ru-RU"/>
        </w:rPr>
        <w:t xml:space="preserve">. Более того, разнообразие и соблюдение сбалансированности структуры фондирования обеспечивает устойчивость банков к кризисам и повышают их адаптивность к различным изменениям внешней среды. </w:t>
      </w:r>
    </w:p>
    <w:p w:rsidR="008D5987" w:rsidRPr="00802D35" w:rsidRDefault="008D5987" w:rsidP="00827F69">
      <w:pPr>
        <w:widowControl w:val="0"/>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Как говорилось ранее, структура фондирования должна быть сбалансированной. Следовательно, поступающие в банк ресурсы должны быть различных вариантов. Это становится возможным при использовании разнообразных инструментов фондирования и сбалансирования их сроков</w:t>
      </w:r>
      <w:r w:rsidR="00276CEE" w:rsidRPr="00802D35">
        <w:rPr>
          <w:rFonts w:ascii="Times New Roman" w:eastAsia="Times New Roman" w:hAnsi="Times New Roman" w:cs="Times New Roman"/>
          <w:sz w:val="28"/>
          <w:szCs w:val="28"/>
          <w:lang w:eastAsia="ru-RU"/>
        </w:rPr>
        <w:t>. При этом, следует учесть, что инструменты, входящие в портфель фондирования могут быть взаимосвязаны друг с другом и оказывать различного рода воздействие друг на друга. Все это требует проведение исследования структурного взаимодействия инструментов фондирования в портфеле банков.</w:t>
      </w:r>
    </w:p>
    <w:p w:rsidR="008275B2" w:rsidRPr="00802D35" w:rsidRDefault="008275B2" w:rsidP="00A46A9A">
      <w:pPr>
        <w:widowControl w:val="0"/>
        <w:spacing w:after="0" w:line="240" w:lineRule="auto"/>
        <w:jc w:val="both"/>
        <w:rPr>
          <w:rFonts w:ascii="Times New Roman" w:hAnsi="Times New Roman" w:cs="Times New Roman"/>
          <w:sz w:val="28"/>
          <w:szCs w:val="28"/>
        </w:rPr>
      </w:pPr>
    </w:p>
    <w:p w:rsidR="00CD0B20" w:rsidRPr="00802D35" w:rsidRDefault="00AA0C68" w:rsidP="00AA0C68">
      <w:pPr>
        <w:widowControl w:val="0"/>
        <w:tabs>
          <w:tab w:val="left" w:pos="1134"/>
        </w:tabs>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b/>
          <w:sz w:val="28"/>
          <w:szCs w:val="28"/>
        </w:rPr>
        <w:t xml:space="preserve">1.3 </w:t>
      </w:r>
      <w:r w:rsidR="00CD0B20" w:rsidRPr="00802D35">
        <w:rPr>
          <w:rFonts w:ascii="Times New Roman" w:hAnsi="Times New Roman" w:cs="Times New Roman"/>
          <w:b/>
          <w:sz w:val="28"/>
          <w:szCs w:val="28"/>
        </w:rPr>
        <w:t xml:space="preserve">Диалектическое структурное взаимодействие различных </w:t>
      </w:r>
      <w:r w:rsidR="002D3186" w:rsidRPr="00802D35">
        <w:rPr>
          <w:rFonts w:ascii="Times New Roman" w:hAnsi="Times New Roman" w:cs="Times New Roman"/>
          <w:b/>
          <w:sz w:val="28"/>
          <w:szCs w:val="28"/>
        </w:rPr>
        <w:t>инструментов</w:t>
      </w:r>
      <w:r w:rsidR="00CD0B20" w:rsidRPr="00802D35">
        <w:rPr>
          <w:rFonts w:ascii="Times New Roman" w:hAnsi="Times New Roman" w:cs="Times New Roman"/>
          <w:b/>
          <w:sz w:val="28"/>
          <w:szCs w:val="28"/>
        </w:rPr>
        <w:t xml:space="preserve"> банковского фондирования</w:t>
      </w:r>
    </w:p>
    <w:p w:rsidR="005F2BA9" w:rsidRPr="00802D35" w:rsidRDefault="005F2BA9" w:rsidP="005F2BA9">
      <w:pPr>
        <w:pStyle w:val="a3"/>
        <w:widowControl w:val="0"/>
        <w:spacing w:after="0" w:line="240" w:lineRule="auto"/>
        <w:ind w:left="432"/>
        <w:jc w:val="both"/>
        <w:rPr>
          <w:rFonts w:ascii="Times New Roman" w:hAnsi="Times New Roman" w:cs="Times New Roman"/>
          <w:b/>
          <w:sz w:val="28"/>
          <w:szCs w:val="28"/>
        </w:rPr>
      </w:pPr>
    </w:p>
    <w:p w:rsidR="0039710D" w:rsidRPr="00802D35" w:rsidRDefault="005F2BA9" w:rsidP="008C0E8A">
      <w:pPr>
        <w:pStyle w:val="a3"/>
        <w:widowControl w:val="0"/>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Как было рассмотрено ранее, важное значение в процессе фондирования имеет обеспечение сбалансированности структуры портфеля. При этом, поступление средств из различных источников обеспечивается посредством всевозможных инструментов фондирования. Естественно, что черпание средств из одного источника может осуществляться различными инструментами. Это создает предпосылки для выявления и понимания того, что при таком существовании дел инструменты фондирования взаимодействуют друг с другом и увеличение возможностей одного инструмента приводит к сокращению возможностей использования другого инструмента фондирования. Вместе с тем, поскольку одной из квитэссенций банковского фондирования было определено обеспечение сбалансированности портфеля, возникает необходимость исследования структурного взаимодействия различных инструментов фондирования с целью обеспечения оптимальной структуры портфеля. </w:t>
      </w:r>
      <w:r w:rsidR="0039710D" w:rsidRPr="00802D35">
        <w:rPr>
          <w:rFonts w:ascii="Times New Roman" w:hAnsi="Times New Roman" w:cs="Times New Roman"/>
          <w:sz w:val="28"/>
          <w:szCs w:val="28"/>
        </w:rPr>
        <w:t xml:space="preserve">Прежде всего следует выделить несколько категорий фондирования, отражающих источник фондирования и цели (рисунок </w:t>
      </w:r>
      <w:r w:rsidR="00E361BD" w:rsidRPr="00802D35">
        <w:rPr>
          <w:rFonts w:ascii="Times New Roman" w:hAnsi="Times New Roman" w:cs="Times New Roman"/>
          <w:sz w:val="28"/>
          <w:szCs w:val="28"/>
        </w:rPr>
        <w:t>8</w:t>
      </w:r>
      <w:r w:rsidR="0039710D" w:rsidRPr="00802D35">
        <w:rPr>
          <w:rFonts w:ascii="Times New Roman" w:hAnsi="Times New Roman" w:cs="Times New Roman"/>
          <w:sz w:val="28"/>
          <w:szCs w:val="28"/>
        </w:rPr>
        <w:t xml:space="preserve">). </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первую очередь, при рассмотрении различных вариантов фондирования речь идет о внешнем и внутреннем фондировании на макро и микроуровнях. Рассматривая эти категории на макроуровне внешним фондированием будет привлечение банками ресурсов на международных рынках, а внутреннее фондирование – на отечественном рынке. При таком подходе внешнее фондирование раскрывает большие возможности для привлечения свободных ресурсов на мировых рынках. Однако, одновременно, возникают сложности, связанные с кредитными рейтингами, присваиваемыми банкам различными международными агентствами, такими как, например, </w:t>
      </w:r>
      <w:r w:rsidRPr="00802D35">
        <w:rPr>
          <w:rFonts w:ascii="Times New Roman" w:hAnsi="Times New Roman" w:cs="Times New Roman"/>
          <w:sz w:val="28"/>
          <w:szCs w:val="28"/>
          <w:lang w:val="en-US"/>
        </w:rPr>
        <w:t>Standard</w:t>
      </w:r>
      <w:r w:rsidRPr="00802D35">
        <w:rPr>
          <w:rFonts w:ascii="Times New Roman" w:hAnsi="Times New Roman" w:cs="Times New Roman"/>
          <w:sz w:val="28"/>
          <w:szCs w:val="28"/>
        </w:rPr>
        <w:t xml:space="preserve"> &amp; </w:t>
      </w:r>
      <w:r w:rsidRPr="00802D35">
        <w:rPr>
          <w:rFonts w:ascii="Times New Roman" w:hAnsi="Times New Roman" w:cs="Times New Roman"/>
          <w:sz w:val="28"/>
          <w:szCs w:val="28"/>
          <w:lang w:val="en-US"/>
        </w:rPr>
        <w:t>Poors</w:t>
      </w:r>
      <w:r w:rsidRPr="00802D35">
        <w:rPr>
          <w:rFonts w:ascii="Times New Roman" w:hAnsi="Times New Roman" w:cs="Times New Roman"/>
          <w:sz w:val="28"/>
          <w:szCs w:val="28"/>
        </w:rPr>
        <w:t xml:space="preserve">, </w:t>
      </w:r>
      <w:r w:rsidRPr="00802D35">
        <w:rPr>
          <w:rFonts w:ascii="Times New Roman" w:hAnsi="Times New Roman" w:cs="Times New Roman"/>
          <w:sz w:val="28"/>
          <w:szCs w:val="28"/>
          <w:lang w:val="en-US"/>
        </w:rPr>
        <w:t>Fitch</w:t>
      </w:r>
      <w:r w:rsidRPr="00802D35">
        <w:rPr>
          <w:rFonts w:ascii="Times New Roman" w:hAnsi="Times New Roman" w:cs="Times New Roman"/>
          <w:sz w:val="28"/>
          <w:szCs w:val="28"/>
        </w:rPr>
        <w:t xml:space="preserve"> </w:t>
      </w:r>
      <w:r w:rsidRPr="00802D35">
        <w:rPr>
          <w:rFonts w:ascii="Times New Roman" w:hAnsi="Times New Roman" w:cs="Times New Roman"/>
          <w:sz w:val="28"/>
          <w:szCs w:val="28"/>
          <w:lang w:val="en-US"/>
        </w:rPr>
        <w:t>Ratings</w:t>
      </w:r>
      <w:r w:rsidRPr="00802D35">
        <w:rPr>
          <w:rFonts w:ascii="Times New Roman" w:hAnsi="Times New Roman" w:cs="Times New Roman"/>
          <w:sz w:val="28"/>
          <w:szCs w:val="28"/>
        </w:rPr>
        <w:t xml:space="preserve">, </w:t>
      </w:r>
      <w:r w:rsidRPr="00802D35">
        <w:rPr>
          <w:rFonts w:ascii="Times New Roman" w:hAnsi="Times New Roman" w:cs="Times New Roman"/>
          <w:sz w:val="28"/>
          <w:szCs w:val="28"/>
          <w:lang w:val="en-US"/>
        </w:rPr>
        <w:t>Moody</w:t>
      </w:r>
      <w:r w:rsidRPr="00802D35">
        <w:rPr>
          <w:rFonts w:ascii="Times New Roman" w:hAnsi="Times New Roman" w:cs="Times New Roman"/>
          <w:sz w:val="28"/>
          <w:szCs w:val="28"/>
        </w:rPr>
        <w:t>'</w:t>
      </w:r>
      <w:r w:rsidRPr="00802D35">
        <w:rPr>
          <w:rFonts w:ascii="Times New Roman" w:hAnsi="Times New Roman" w:cs="Times New Roman"/>
          <w:sz w:val="28"/>
          <w:szCs w:val="28"/>
          <w:lang w:val="en-US"/>
        </w:rPr>
        <w:t>s</w:t>
      </w:r>
      <w:r w:rsidRPr="00802D35">
        <w:rPr>
          <w:rFonts w:ascii="Times New Roman" w:hAnsi="Times New Roman" w:cs="Times New Roman"/>
          <w:sz w:val="28"/>
          <w:szCs w:val="28"/>
        </w:rPr>
        <w:t xml:space="preserve"> и другие, а также возможными экономическими санкциями (как, например, это наблюдается в России) и уровнем развития экономики </w:t>
      </w:r>
      <w:r w:rsidRPr="00802D35">
        <w:rPr>
          <w:rFonts w:ascii="Times New Roman" w:hAnsi="Times New Roman" w:cs="Times New Roman"/>
          <w:sz w:val="28"/>
          <w:szCs w:val="28"/>
        </w:rPr>
        <w:lastRenderedPageBreak/>
        <w:t>страны в целом.</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noProof/>
          <w:sz w:val="28"/>
          <w:szCs w:val="28"/>
          <w:lang w:eastAsia="ru-RU"/>
        </w:rPr>
        <w:drawing>
          <wp:inline distT="0" distB="0" distL="0" distR="0">
            <wp:extent cx="5486400" cy="2499920"/>
            <wp:effectExtent l="76200" t="38100" r="57150" b="11049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40DE9" w:rsidRPr="00802D35" w:rsidRDefault="00E40DE9" w:rsidP="0039710D">
      <w:pPr>
        <w:widowControl w:val="0"/>
        <w:spacing w:after="0" w:line="240" w:lineRule="auto"/>
        <w:ind w:firstLine="567"/>
        <w:jc w:val="center"/>
        <w:rPr>
          <w:rFonts w:ascii="Times New Roman" w:hAnsi="Times New Roman" w:cs="Times New Roman"/>
          <w:sz w:val="28"/>
          <w:szCs w:val="28"/>
        </w:rPr>
      </w:pPr>
    </w:p>
    <w:p w:rsidR="0039710D" w:rsidRPr="00802D35" w:rsidRDefault="0039710D" w:rsidP="0039710D">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 xml:space="preserve">Рисунок </w:t>
      </w:r>
      <w:r w:rsidR="00E361BD" w:rsidRPr="00802D35">
        <w:rPr>
          <w:rFonts w:ascii="Times New Roman" w:hAnsi="Times New Roman" w:cs="Times New Roman"/>
          <w:sz w:val="28"/>
          <w:szCs w:val="28"/>
        </w:rPr>
        <w:t>8</w:t>
      </w:r>
      <w:r w:rsidRPr="00802D35">
        <w:rPr>
          <w:rFonts w:ascii="Times New Roman" w:hAnsi="Times New Roman" w:cs="Times New Roman"/>
          <w:sz w:val="28"/>
          <w:szCs w:val="28"/>
        </w:rPr>
        <w:t xml:space="preserve"> – Виды фондирования деятельности банка</w:t>
      </w:r>
    </w:p>
    <w:p w:rsidR="00F734C5" w:rsidRPr="00802D35" w:rsidRDefault="00F734C5" w:rsidP="0039710D">
      <w:pPr>
        <w:widowControl w:val="0"/>
        <w:spacing w:after="0" w:line="240" w:lineRule="auto"/>
        <w:ind w:firstLine="567"/>
        <w:jc w:val="both"/>
        <w:rPr>
          <w:rFonts w:ascii="Times New Roman" w:hAnsi="Times New Roman" w:cs="Times New Roman"/>
          <w:sz w:val="28"/>
          <w:szCs w:val="28"/>
        </w:rPr>
      </w:pPr>
    </w:p>
    <w:p w:rsidR="0039710D" w:rsidRPr="00802D35" w:rsidRDefault="0039710D" w:rsidP="0039710D">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AA0C68"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правило, на мировых рынках банки Казахстана могут привлекать средства через эмиссию долговых финансовых инструментов и прямое инвестирование. В любом случае инвестор будет рассматривать инвестиционную привлекательность государства, в котором функционирует тот или иной банк, что означает анализ макроэкономических факторов, перспектив развития и налоговых привилегий. С другой стороны, инвестора будут интересовать кредитные рейтинги соответствующего банка и наличие гарантий для, например, вкладчиков. Также немаловажное значение будет отводиться финансовой устойчивости банка, качества его обслуживания и дополнительные возможности, предлагаемые банком своим клиентам. В условиях пандемии на первый план выходят различные программные обеспечения и мобильные приложения, позволяющие осуществлять расчеты, переводы, но при наличии эффективной защиты. Таким образом, мировой рынок открывает большие возможности и больше источников привлечения средств, но одновременно, требует дополнительные конкурентные преимущества и конкурентоспособные показатели деятельности банков.</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Внутреннее фондирование представляет собой процесс привлечения свободных денежных ресурсов компаний и физических лиц на рынке Казахстана. В данном случае рейтинг, финансовые показатели и т.п. также немаловажны, но рынок участников-конкурентов значительно меньше. Конечно, данные ресурсы составляют, как правило, наибольшую долю в структуре фондирования банков и являются более дешевыми. Однако, эти ресурсы всегда ограничены и низкий уровень финансовой грамотности наряду и недоверием банкам и всей финансовой системе страны приводят к определенным сложностям особенно в периоды кризисов.</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На микроуровне внешнее фондирование для банков будет представлено всей совокупностью свободных средств, доступных для привлечения на рынке Казахстана, то есть это то самое внутреннее фондирование при рассмотрении на макроуровне. Внутреннее же фондирование в данном случае будет представлять собой условное перераспределение поступаемых в банк ресурсов между его подразделениями, то есть внутри самого банка. Хотелось бы отметить, что внутреннее фондирование является наиболее сложным процессом и от его грамотной и эффективной организации зависят как финансовые результаты деятельности банка, так и его функционирование в целом.</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Фондирование может быть срочным и до востребования, то есть предоставленным банку на заранее известный срок и без определения срока, когда клиента банка может изъять данные средства в любой момент времени. Как правило, для банка особую ценность представляют источники срочного фондирования, поскольку в данном случае заранее известен период времени, в течение которого банк может распоряжаться данными ресурсами. </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Средства до востребования также важны, несмотря на то, осложняют процесс планирования  финансирования активных операций за счет средств фонда ресурсов. Однако, обеспечив постоянный и регулярный приток этих ресурсов, банк может спокойно оперировать ими для совершения активных операций с приемлемым уровнем риска.</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Срочные средства фондирования можно также разделить на краткосрочное, среднесрочное и долгосрочное фондирования. Наибольший интерес для банка представляют конечно же источники долгосрочного фондирования, поскольку банк получает в распоряжение ресурсы на длительный период времени, что позволяет не беспокоиться об их возврате в течение долгого времени. Наличие такого фондирования создает большую устойчивость и меньше проблем, связанных с необходимостью включения в совокупный денежный оборот банка постоянный приток ресурсов.</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Банки имеют доступ к ряду источников привлеченных и заемных средств, которые в широком смысле можно разделить на розничное и оптовое фондирование.</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Розничное фондирование относится к различным типам вкладов, которые население и небольшие компании хранят в банке. Данный источник фондирования является самым дешевым и </w:t>
      </w:r>
      <w:r w:rsidR="001141F9" w:rsidRPr="00802D35">
        <w:rPr>
          <w:rFonts w:ascii="Times New Roman" w:hAnsi="Times New Roman" w:cs="Times New Roman"/>
          <w:sz w:val="28"/>
          <w:szCs w:val="28"/>
        </w:rPr>
        <w:t>одновременно</w:t>
      </w:r>
      <w:r w:rsidRPr="00802D35">
        <w:rPr>
          <w:rFonts w:ascii="Times New Roman" w:hAnsi="Times New Roman" w:cs="Times New Roman"/>
          <w:sz w:val="28"/>
          <w:szCs w:val="28"/>
        </w:rPr>
        <w:t xml:space="preserve"> самым ограниченным для банков, поскольку именно за этот источник фондирования на банковском рынке происходит борьба в первую очередь. Розничное фондирование банка обычно состоит из сбережений большого числа физических лиц, у каждого из которых есть относительно небольшие суммы денег, доступные для внесения. Аккумулируемые банком сбережения трансформируются в накопления, которые представляют собой мощный инвестиционный капитал. Многие вкладчики при открытии счетов желают иметь возможность сохранения быстрого доступа к некоторым или всем своим сбережениям - например, снимать наличные в отделении или банкомате или производить платежи другим людям в электронном виде.</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Банки могут обращаться к оптовым рынкам фондирования, когда они нуждаются в заимствовании средств, превышающих имеющиеся у них розничные депозиты, или когда им необходимо быстро привлечь большие суммы финансирования. Как было сказано ранее, сбережения розничных инвесторов трансформируются в накопления, что может происходить не только в банках, но и других финансовых институтах. Например, страховых компаниях, пенсионных и инвестиционных фондах, кредитных товариществах и т.п. В результате вложений таких средств в банк образуются источники так называемого оптового фондирования.</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Оптовые инвесторы, как правило, больше сосредоточены на получении прибыли от своих инвестиций в банк - так же, как если бы они инвестировали в любой другой вид бизнеса, - чем на желании получить платежи или услуги по хранению. Однако, иногда это могут средства на счетах таких организаций, что представляет собой оптовое фондирование до востребования.</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Оптовое фондирование для банков может быть различ</w:t>
      </w:r>
      <w:r w:rsidR="00647679" w:rsidRPr="00802D35">
        <w:rPr>
          <w:rFonts w:ascii="Times New Roman" w:hAnsi="Times New Roman" w:cs="Times New Roman"/>
          <w:sz w:val="28"/>
          <w:szCs w:val="28"/>
        </w:rPr>
        <w:t>н</w:t>
      </w:r>
      <w:r w:rsidRPr="00802D35">
        <w:rPr>
          <w:rFonts w:ascii="Times New Roman" w:hAnsi="Times New Roman" w:cs="Times New Roman"/>
          <w:sz w:val="28"/>
          <w:szCs w:val="28"/>
        </w:rPr>
        <w:t>ых форм, и его предоставляют самые разные инвесторы. Банк может получать необеспеченные депозиты от других банков, холдингов, инвестиционных компаний и фондов, пенсионных фондов, страховых компаний и других участников финансового рынка. В качестве альтернативы необеспеченные средства могут быть получены с финансовых рынков: в этом случае, вместо того, чтобы финансовый инвестор вкладывал деньги в банк, банк эмитирует облигации или другой тип долгового инструмента, который покупает инвестор. В качестве примера можно представить выпуск облигаций, коммерческих бумаг и депозитных сертификатов или различных форм структурных продуктов.</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Источники фондирования могут быть собстве</w:t>
      </w:r>
      <w:r w:rsidR="00647679" w:rsidRPr="00802D35">
        <w:rPr>
          <w:rFonts w:ascii="Times New Roman" w:hAnsi="Times New Roman" w:cs="Times New Roman"/>
          <w:sz w:val="28"/>
          <w:szCs w:val="28"/>
        </w:rPr>
        <w:t>нными, привлеченными и заемными</w:t>
      </w:r>
      <w:r w:rsidRPr="00802D35">
        <w:rPr>
          <w:rFonts w:ascii="Times New Roman" w:hAnsi="Times New Roman" w:cs="Times New Roman"/>
          <w:sz w:val="28"/>
          <w:szCs w:val="28"/>
        </w:rPr>
        <w:t xml:space="preserve">. Собственными источниками выступают капитал банка, фонды специального назначения и нераспределенная прибыль. Привлеченные средства фондирования образуются за счет вкладов различных видов, а также посредством эмиссии ценных бумаг банка и совершения некоторых операций, таких как репо, секьюритизация. </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Банки могут привлекать обеспеченные средства несколькими способами. Один из распространенных подходов заключается в сделках продажи с условием обратного выкупа или репо. В сделке репо банк продает актив, например государственную облигацию, и берет на себя обязательство выкупить ее обратно в указанную дату по более высокой цене. С экономической точки зрения это, по сути, обеспеченный заем. При этом, разница между ценой продажи и обратной покупки - это компенсация контрагента за предоставление средств банку и стоимость фондирования для банка.</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Многие банки также объединяют неликвидные активы, такие как ссуды, и превращают их в торгуемые ценные бумаги с целью привлечения средств - процесс, известный как секьюритизация. Банки чаще всего производят секьюритизацию ипотечных кредитов для создания ценных бумаг, обеспеченных ипотекой (в мировой практике их называют MBS). Банковские бумаги торгуются на вторичном ипотечном рынке, который является очень </w:t>
      </w:r>
      <w:r w:rsidRPr="00802D35">
        <w:rPr>
          <w:rFonts w:ascii="Times New Roman" w:hAnsi="Times New Roman" w:cs="Times New Roman"/>
          <w:sz w:val="28"/>
          <w:szCs w:val="28"/>
        </w:rPr>
        <w:lastRenderedPageBreak/>
        <w:t>большим и ликвидным, что позволяет банкам привлекать средства, обеспеченные их ипотечными активами. Подобного рода преобразования возможны и с другими активами и создании структурных продуктов.</w:t>
      </w:r>
    </w:p>
    <w:p w:rsidR="0039710D" w:rsidRPr="00802D35" w:rsidRDefault="0039710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Банки могут брать займы как у центральных банков, так и на межбанковском рынке. Такое фондирование является самым дорогим и представляет собой заемные источники фондирования. Увеличение заемного капитала в структуре фондирования банка чревато ростом рисков возникновения проблем финансовой устойчивости банка.</w:t>
      </w:r>
    </w:p>
    <w:p w:rsidR="00C340DD" w:rsidRPr="00802D35" w:rsidRDefault="00C340DD"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Таким образом, исходя из источников фондирования, выступающих донорами свободных денежных ресурсов для обеспечения деятельности банков, логично рассмотреть инструменты фондирования, выступающие проводниками поступления этих средств из различных источников фондирования. Более того, инструменты фондирования играют более значимую роль для банка, поскольку именно их разработка и своевременное и правильное применение позволяет банку выполнять принцип бесперебойности потока фондирования. Также искусное использование разнообразных инструментов фондирования позволяет снизить стоимость фондирования и обеспечить баланс срочности. </w:t>
      </w:r>
    </w:p>
    <w:p w:rsidR="0039710D" w:rsidRPr="00802D35" w:rsidRDefault="004B1A93"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Проведенный анализ научной литературы показывает, что существует тесная взаимосвязь между источниками и инструментами фондирования деятельности банков. Точнее сказать, источники фондирования находят свое отражение и способны приобрести форму источников финансирования только при эффективном и рациональном использовании различных инструментов фондирования. Более того, как неоднократно упоминалось ранее, требуется обязательное соблюдение баланса в структуре фондирования как между источниками, так и между инструментами фондирования.</w:t>
      </w:r>
    </w:p>
    <w:p w:rsidR="004B1A93" w:rsidRPr="00802D35" w:rsidRDefault="004B1A93" w:rsidP="0039710D">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Сбалансированность портфеля фондирования должна основываться, на наш взгляд, в первую очередь, на соблюдении принципов срочности, валютности и </w:t>
      </w:r>
      <w:r w:rsidR="00A24282" w:rsidRPr="00802D35">
        <w:rPr>
          <w:rFonts w:ascii="Times New Roman" w:hAnsi="Times New Roman" w:cs="Times New Roman"/>
          <w:sz w:val="28"/>
          <w:szCs w:val="28"/>
        </w:rPr>
        <w:t xml:space="preserve">природы инструментов фондирования (рисунок </w:t>
      </w:r>
      <w:r w:rsidR="00E361BD" w:rsidRPr="00802D35">
        <w:rPr>
          <w:rFonts w:ascii="Times New Roman" w:hAnsi="Times New Roman" w:cs="Times New Roman"/>
          <w:sz w:val="28"/>
          <w:szCs w:val="28"/>
        </w:rPr>
        <w:t>9</w:t>
      </w:r>
      <w:r w:rsidR="00A24282" w:rsidRPr="00802D35">
        <w:rPr>
          <w:rFonts w:ascii="Times New Roman" w:hAnsi="Times New Roman" w:cs="Times New Roman"/>
          <w:sz w:val="28"/>
          <w:szCs w:val="28"/>
        </w:rPr>
        <w:t xml:space="preserve">). </w:t>
      </w:r>
    </w:p>
    <w:p w:rsidR="00E40DE9" w:rsidRPr="00802D35" w:rsidRDefault="00E40DE9" w:rsidP="00E40DE9">
      <w:pPr>
        <w:pStyle w:val="a7"/>
        <w:shd w:val="clear" w:color="auto" w:fill="FFFFFF"/>
        <w:spacing w:before="0" w:beforeAutospacing="0" w:after="0" w:afterAutospacing="0"/>
        <w:ind w:firstLine="567"/>
        <w:jc w:val="both"/>
        <w:textAlignment w:val="baseline"/>
        <w:rPr>
          <w:sz w:val="28"/>
          <w:szCs w:val="28"/>
        </w:rPr>
      </w:pPr>
      <w:r w:rsidRPr="00802D35">
        <w:rPr>
          <w:sz w:val="28"/>
          <w:szCs w:val="28"/>
        </w:rPr>
        <w:t xml:space="preserve">Согласно рисунка 9 можно отметить, что преимущество отводится долгосрочным инструментам фондирования, поскольку ими могут покрываться абсолютно все варианты активных операций банка. При этом, наименьшую важность имеют краткосрочные инструменты, поскольку они позволяют покрыть лишь краткосрочные активы банков. </w:t>
      </w:r>
    </w:p>
    <w:p w:rsidR="00E40DE9" w:rsidRPr="00802D35" w:rsidRDefault="00E40DE9" w:rsidP="00E40DE9">
      <w:pPr>
        <w:pStyle w:val="a7"/>
        <w:shd w:val="clear" w:color="auto" w:fill="FFFFFF"/>
        <w:spacing w:before="0" w:beforeAutospacing="0" w:after="0" w:afterAutospacing="0"/>
        <w:ind w:firstLine="709"/>
        <w:jc w:val="both"/>
        <w:textAlignment w:val="baseline"/>
        <w:rPr>
          <w:sz w:val="28"/>
          <w:szCs w:val="28"/>
        </w:rPr>
      </w:pPr>
      <w:r w:rsidRPr="00802D35">
        <w:rPr>
          <w:sz w:val="28"/>
          <w:szCs w:val="28"/>
        </w:rPr>
        <w:t xml:space="preserve">Также следует отметить, что желательно соблюдение принципа валютного покрытия фондирования, означающего, что активы, предоставленные банком в национальной валюте покрываются инструментами фондирования также в национальной валюте и, наоборот, активы, предоставленные банком клиенту в иностранной валюте покрываются инструментами фондирования также в иностранной валюте. </w:t>
      </w:r>
    </w:p>
    <w:p w:rsidR="00E40DE9" w:rsidRPr="00802D35" w:rsidRDefault="00E40DE9" w:rsidP="00E40DE9">
      <w:pPr>
        <w:spacing w:after="0" w:line="240" w:lineRule="auto"/>
        <w:ind w:firstLine="709"/>
        <w:jc w:val="both"/>
        <w:rPr>
          <w:rFonts w:ascii="Times New Roman" w:hAnsi="Times New Roman" w:cs="Times New Roman"/>
          <w:sz w:val="28"/>
          <w:szCs w:val="28"/>
        </w:rPr>
      </w:pPr>
      <w:r w:rsidRPr="00802D35">
        <w:rPr>
          <w:rFonts w:ascii="Times New Roman" w:hAnsi="Times New Roman" w:cs="Times New Roman"/>
          <w:sz w:val="28"/>
          <w:szCs w:val="28"/>
        </w:rPr>
        <w:t xml:space="preserve">На наш взгляд, здесь важно соблюдение и самой валюты при фондировании банковских операций. Это связано с тем, что в случае, если финансирование активных операций в одной валюте осуществляется за счет инструментов фондирования в другой валюте, то возникает дополнительный валютный риск, проявляющийся в возможных потерях при конвертации валют. </w:t>
      </w:r>
    </w:p>
    <w:p w:rsidR="00A24282" w:rsidRPr="00802D35" w:rsidRDefault="00A24282" w:rsidP="0039710D">
      <w:pPr>
        <w:widowControl w:val="0"/>
        <w:spacing w:after="0" w:line="240" w:lineRule="auto"/>
        <w:ind w:firstLine="567"/>
        <w:jc w:val="both"/>
        <w:rPr>
          <w:rFonts w:ascii="Times New Roman" w:hAnsi="Times New Roman" w:cs="Times New Roman"/>
          <w:sz w:val="28"/>
          <w:szCs w:val="28"/>
        </w:rPr>
      </w:pPr>
    </w:p>
    <w:p w:rsidR="00A24282" w:rsidRPr="00802D35" w:rsidRDefault="005368DA" w:rsidP="0039710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713536" behindDoc="0" locked="0" layoutInCell="1" allowOverlap="1">
                <wp:simplePos x="0" y="0"/>
                <wp:positionH relativeFrom="column">
                  <wp:posOffset>1897380</wp:posOffset>
                </wp:positionH>
                <wp:positionV relativeFrom="paragraph">
                  <wp:posOffset>137159</wp:posOffset>
                </wp:positionV>
                <wp:extent cx="1837055" cy="0"/>
                <wp:effectExtent l="57150" t="76200" r="0" b="152400"/>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705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00" o:spid="_x0000_s1026" type="#_x0000_t32" style="position:absolute;margin-left:149.4pt;margin-top:10.8pt;width:144.65pt;height:0;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" strokecolor="#4f81bd [3204]" strokeweight="2pt">
                <v:stroke endarrow="open"/>
                <v:shadow on="t" color="black" opacity="24903f" origin=",.5" offset="0,.55556mm"/>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3735070</wp:posOffset>
                </wp:positionH>
                <wp:positionV relativeFrom="paragraph">
                  <wp:posOffset>19685</wp:posOffset>
                </wp:positionV>
                <wp:extent cx="2365375" cy="486410"/>
                <wp:effectExtent l="57150" t="38100" r="73025" b="10414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48641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C2C64" w:rsidRPr="00A24282" w:rsidRDefault="000C2C64" w:rsidP="00A24282">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w:t>
                            </w:r>
                            <w:r>
                              <w:rPr>
                                <w:rFonts w:ascii="Times New Roman" w:hAnsi="Times New Roman" w:cs="Times New Roman"/>
                                <w:sz w:val="24"/>
                                <w:szCs w:val="24"/>
                              </w:rPr>
                              <w:t>ы</w:t>
                            </w:r>
                            <w:r w:rsidRPr="00A24282">
                              <w:rPr>
                                <w:rFonts w:ascii="Times New Roman" w:hAnsi="Times New Roman" w:cs="Times New Roman"/>
                                <w:sz w:val="24"/>
                                <w:szCs w:val="24"/>
                              </w:rPr>
                              <w:t xml:space="preserve">е </w:t>
                            </w:r>
                            <w:r>
                              <w:rPr>
                                <w:rFonts w:ascii="Times New Roman" w:hAnsi="Times New Roman" w:cs="Times New Roman"/>
                                <w:sz w:val="24"/>
                                <w:szCs w:val="24"/>
                              </w:rPr>
                              <w:t xml:space="preserve">национальные инструменты фондирования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94.1pt;margin-top:1.55pt;width:186.25pt;height:3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rsidR="000C2C64" w:rsidRPr="00A24282" w:rsidRDefault="000C2C64" w:rsidP="00A24282">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w:t>
                      </w:r>
                      <w:r>
                        <w:rPr>
                          <w:rFonts w:ascii="Times New Roman" w:hAnsi="Times New Roman" w:cs="Times New Roman"/>
                          <w:sz w:val="24"/>
                          <w:szCs w:val="24"/>
                        </w:rPr>
                        <w:t>ы</w:t>
                      </w:r>
                      <w:r w:rsidRPr="00A24282">
                        <w:rPr>
                          <w:rFonts w:ascii="Times New Roman" w:hAnsi="Times New Roman" w:cs="Times New Roman"/>
                          <w:sz w:val="24"/>
                          <w:szCs w:val="24"/>
                        </w:rPr>
                        <w:t xml:space="preserve">е </w:t>
                      </w:r>
                      <w:r>
                        <w:rPr>
                          <w:rFonts w:ascii="Times New Roman" w:hAnsi="Times New Roman" w:cs="Times New Roman"/>
                          <w:sz w:val="24"/>
                          <w:szCs w:val="24"/>
                        </w:rPr>
                        <w:t xml:space="preserve">национальные инструменты фондирования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26670</wp:posOffset>
                </wp:positionH>
                <wp:positionV relativeFrom="paragraph">
                  <wp:posOffset>19685</wp:posOffset>
                </wp:positionV>
                <wp:extent cx="1870710" cy="469265"/>
                <wp:effectExtent l="57150" t="38100" r="72390" b="10223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6926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C2C64" w:rsidRPr="00A24282" w:rsidRDefault="000C2C64" w:rsidP="00A24282">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Краткосрочные активы</w:t>
                            </w:r>
                            <w:r>
                              <w:rPr>
                                <w:rFonts w:ascii="Times New Roman" w:hAnsi="Times New Roman" w:cs="Times New Roman"/>
                                <w:sz w:val="24"/>
                                <w:szCs w:val="24"/>
                              </w:rPr>
                              <w:t xml:space="preserve"> в национальной валюте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1pt;margin-top:1.55pt;width:147.3pt;height:3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" fillcolor="#a7bfde [1620]" strokecolor="#4579b8 [3044]">
                <v:fill color2="#e4ecf5 [500]" rotate="t" angle="180" colors="0 #a3c4ff;22938f #bfd5ff;1 #e5eeff" focus="100%" type="gradient"/>
                <v:shadow on="t" color="black" opacity="24903f" origin=",.5" offset="0,.55556mm"/>
                <v:textbox>
                  <w:txbxContent>
                    <w:p w:rsidR="000C2C64" w:rsidRPr="00A24282" w:rsidRDefault="000C2C64" w:rsidP="00A24282">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Краткосрочные активы</w:t>
                      </w:r>
                      <w:r>
                        <w:rPr>
                          <w:rFonts w:ascii="Times New Roman" w:hAnsi="Times New Roman" w:cs="Times New Roman"/>
                          <w:sz w:val="24"/>
                          <w:szCs w:val="24"/>
                        </w:rPr>
                        <w:t xml:space="preserve"> в национальной валюте</w:t>
                      </w:r>
                    </w:p>
                  </w:txbxContent>
                </v:textbox>
              </v:shape>
            </w:pict>
          </mc:Fallback>
        </mc:AlternateContent>
      </w:r>
    </w:p>
    <w:p w:rsidR="00A24282" w:rsidRPr="00802D35" w:rsidRDefault="005368DA" w:rsidP="0039710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1897380</wp:posOffset>
                </wp:positionH>
                <wp:positionV relativeFrom="paragraph">
                  <wp:posOffset>125730</wp:posOffset>
                </wp:positionV>
                <wp:extent cx="1837055" cy="2365375"/>
                <wp:effectExtent l="38100" t="38100" r="29845" b="15875"/>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2365375"/>
                        </a:xfrm>
                        <a:prstGeom prst="straightConnector1">
                          <a:avLst/>
                        </a:prstGeom>
                        <a:ln w="12700">
                          <a:prstDash val="dash"/>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21" o:spid="_x0000_s1026" type="#_x0000_t32" style="position:absolute;margin-left:149.4pt;margin-top:9.9pt;width:144.65pt;height:186.2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" strokecolor="#94b64e [3046]" strokeweight="1pt">
                <v:stroke dashstyle="dash"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1897380</wp:posOffset>
                </wp:positionH>
                <wp:positionV relativeFrom="paragraph">
                  <wp:posOffset>125730</wp:posOffset>
                </wp:positionV>
                <wp:extent cx="1837055" cy="1752600"/>
                <wp:effectExtent l="38100" t="38100" r="29845" b="19050"/>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1752600"/>
                        </a:xfrm>
                        <a:prstGeom prst="straightConnector1">
                          <a:avLst/>
                        </a:prstGeom>
                        <a:ln w="12700">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19" o:spid="_x0000_s1026" type="#_x0000_t32" style="position:absolute;margin-left:149.4pt;margin-top:9.9pt;width:144.65pt;height:138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" strokecolor="#4579b8 [3044]" strokeweight="1pt">
                <v:stroke dashstyle="dash"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1898015</wp:posOffset>
                </wp:positionH>
                <wp:positionV relativeFrom="paragraph">
                  <wp:posOffset>84455</wp:posOffset>
                </wp:positionV>
                <wp:extent cx="1836420" cy="1207770"/>
                <wp:effectExtent l="57150" t="38100" r="68580" b="87630"/>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6420" cy="120777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2" o:spid="_x0000_s1026" type="#_x0000_t32" style="position:absolute;margin-left:149.45pt;margin-top:6.65pt;width:144.6pt;height:95.1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" strokecolor="#c0504d [3205]" strokeweight="2pt">
                <v:stroke endarrow="open"/>
                <v:shadow on="t" color="black" opacity="24903f" origin=",.5" offset="0,.55556mm"/>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1896110</wp:posOffset>
                </wp:positionH>
                <wp:positionV relativeFrom="paragraph">
                  <wp:posOffset>16510</wp:posOffset>
                </wp:positionV>
                <wp:extent cx="1837055" cy="536575"/>
                <wp:effectExtent l="38100" t="57150" r="48895" b="92075"/>
                <wp:wrapNone/>
                <wp:docPr id="301" name="Прямая со стрелкой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53657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1" o:spid="_x0000_s1026" type="#_x0000_t32" style="position:absolute;margin-left:149.3pt;margin-top:1.3pt;width:144.65pt;height:42.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" strokecolor="#9bbb59 [3206]" strokeweight="2pt">
                <v:stroke endarrow="open"/>
                <v:shadow on="t" color="black" opacity="24903f" origin=",.5" offset="0,.55556mm"/>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1898015</wp:posOffset>
                </wp:positionH>
                <wp:positionV relativeFrom="paragraph">
                  <wp:posOffset>84455</wp:posOffset>
                </wp:positionV>
                <wp:extent cx="1836420" cy="1719580"/>
                <wp:effectExtent l="38100" t="0" r="30480" b="5207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6420" cy="1719580"/>
                        </a:xfrm>
                        <a:prstGeom prst="straightConnector1">
                          <a:avLst/>
                        </a:prstGeom>
                        <a:ln w="12700">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6" o:spid="_x0000_s1026" type="#_x0000_t32" style="position:absolute;margin-left:149.45pt;margin-top:6.65pt;width:144.6pt;height:135.4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" strokecolor="#4579b8 [3044]" strokeweight="1pt">
                <v:stroke dashstyle="dash" endarrow="open"/>
                <o:lock v:ext="edit" shapetype="f"/>
              </v:shape>
            </w:pict>
          </mc:Fallback>
        </mc:AlternateContent>
      </w:r>
    </w:p>
    <w:p w:rsidR="00A24282" w:rsidRPr="00802D35" w:rsidRDefault="005368DA" w:rsidP="0039710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1898015</wp:posOffset>
                </wp:positionH>
                <wp:positionV relativeFrom="paragraph">
                  <wp:posOffset>5715</wp:posOffset>
                </wp:positionV>
                <wp:extent cx="1835785" cy="2960370"/>
                <wp:effectExtent l="38100" t="38100" r="31115" b="304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5785" cy="2960370"/>
                        </a:xfrm>
                        <a:prstGeom prst="straightConnector1">
                          <a:avLst/>
                        </a:prstGeom>
                        <a:ln w="12700">
                          <a:prstDash val="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23" o:spid="_x0000_s1026" type="#_x0000_t32" style="position:absolute;margin-left:149.45pt;margin-top:.45pt;width:144.55pt;height:233.1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" strokecolor="#bc4542 [3045]" strokeweight="1pt">
                <v:stroke dashstyle="dash" endarrow="open"/>
                <o:lock v:ext="edit" shapetype="f"/>
              </v:shape>
            </w:pict>
          </mc:Fallback>
        </mc:AlternateContent>
      </w:r>
    </w:p>
    <w:p w:rsidR="00A24282" w:rsidRPr="00802D35" w:rsidRDefault="005368DA" w:rsidP="0039710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1896110</wp:posOffset>
                </wp:positionH>
                <wp:positionV relativeFrom="paragraph">
                  <wp:posOffset>135890</wp:posOffset>
                </wp:positionV>
                <wp:extent cx="1837055" cy="50165"/>
                <wp:effectExtent l="57150" t="76200" r="67945" b="10223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5016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3" o:spid="_x0000_s1026" type="#_x0000_t32" style="position:absolute;margin-left:149.3pt;margin-top:10.7pt;width:144.65pt;height:3.9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" strokecolor="#9bbb59 [3206]" strokeweight="2pt">
                <v:stroke endarrow="open"/>
                <v:shadow on="t" color="black" opacity="24903f" origin=",.5" offset="0,.55556mm"/>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3735070</wp:posOffset>
                </wp:positionH>
                <wp:positionV relativeFrom="paragraph">
                  <wp:posOffset>635</wp:posOffset>
                </wp:positionV>
                <wp:extent cx="2365375" cy="486410"/>
                <wp:effectExtent l="57150" t="38100" r="73025" b="10414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48641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C2C64" w:rsidRPr="00A24282" w:rsidRDefault="000C2C64" w:rsidP="005E07E0">
                            <w:pPr>
                              <w:jc w:val="center"/>
                              <w:rPr>
                                <w:rFonts w:ascii="Times New Roman" w:hAnsi="Times New Roman" w:cs="Times New Roman"/>
                                <w:sz w:val="24"/>
                                <w:szCs w:val="24"/>
                              </w:rPr>
                            </w:pPr>
                            <w:r>
                              <w:rPr>
                                <w:rFonts w:ascii="Times New Roman" w:hAnsi="Times New Roman" w:cs="Times New Roman"/>
                                <w:sz w:val="24"/>
                                <w:szCs w:val="24"/>
                              </w:rPr>
                              <w:t xml:space="preserve">Среднесрочные </w:t>
                            </w:r>
                            <w:r w:rsidRPr="00A24282">
                              <w:rPr>
                                <w:rFonts w:ascii="Times New Roman" w:hAnsi="Times New Roman" w:cs="Times New Roman"/>
                                <w:sz w:val="24"/>
                                <w:szCs w:val="24"/>
                              </w:rPr>
                              <w:t xml:space="preserve"> </w:t>
                            </w:r>
                            <w:r>
                              <w:rPr>
                                <w:rFonts w:ascii="Times New Roman" w:hAnsi="Times New Roman" w:cs="Times New Roman"/>
                                <w:sz w:val="24"/>
                                <w:szCs w:val="24"/>
                              </w:rPr>
                              <w:t xml:space="preserve">национальные инструменты фондирования </w:t>
                            </w:r>
                          </w:p>
                          <w:p w:rsidR="000C2C64" w:rsidRPr="00A24282" w:rsidRDefault="000C2C64" w:rsidP="00A24282">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4.1pt;margin-top:.05pt;width:186.25pt;height:3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0C2C64" w:rsidRPr="00A24282" w:rsidRDefault="000C2C64" w:rsidP="005E07E0">
                      <w:pPr>
                        <w:jc w:val="center"/>
                        <w:rPr>
                          <w:rFonts w:ascii="Times New Roman" w:hAnsi="Times New Roman" w:cs="Times New Roman"/>
                          <w:sz w:val="24"/>
                          <w:szCs w:val="24"/>
                        </w:rPr>
                      </w:pPr>
                      <w:r>
                        <w:rPr>
                          <w:rFonts w:ascii="Times New Roman" w:hAnsi="Times New Roman" w:cs="Times New Roman"/>
                          <w:sz w:val="24"/>
                          <w:szCs w:val="24"/>
                        </w:rPr>
                        <w:t xml:space="preserve">Среднесрочные </w:t>
                      </w:r>
                      <w:r w:rsidRPr="00A24282">
                        <w:rPr>
                          <w:rFonts w:ascii="Times New Roman" w:hAnsi="Times New Roman" w:cs="Times New Roman"/>
                          <w:sz w:val="24"/>
                          <w:szCs w:val="24"/>
                        </w:rPr>
                        <w:t xml:space="preserve"> </w:t>
                      </w:r>
                      <w:r>
                        <w:rPr>
                          <w:rFonts w:ascii="Times New Roman" w:hAnsi="Times New Roman" w:cs="Times New Roman"/>
                          <w:sz w:val="24"/>
                          <w:szCs w:val="24"/>
                        </w:rPr>
                        <w:t xml:space="preserve">национальные инструменты фондирования </w:t>
                      </w:r>
                    </w:p>
                    <w:p w:rsidR="000C2C64" w:rsidRPr="00A24282" w:rsidRDefault="000C2C64" w:rsidP="00A24282">
                      <w:pPr>
                        <w:jc w:val="cente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26670</wp:posOffset>
                </wp:positionH>
                <wp:positionV relativeFrom="paragraph">
                  <wp:posOffset>19050</wp:posOffset>
                </wp:positionV>
                <wp:extent cx="1870710" cy="469265"/>
                <wp:effectExtent l="57150" t="38100" r="72390" b="10223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6926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C2C64" w:rsidRPr="00A24282" w:rsidRDefault="000C2C64" w:rsidP="00A24282">
                            <w:pPr>
                              <w:jc w:val="center"/>
                              <w:rPr>
                                <w:rFonts w:ascii="Times New Roman" w:hAnsi="Times New Roman" w:cs="Times New Roman"/>
                                <w:sz w:val="24"/>
                                <w:szCs w:val="24"/>
                              </w:rPr>
                            </w:pPr>
                            <w:r>
                              <w:rPr>
                                <w:rFonts w:ascii="Times New Roman" w:hAnsi="Times New Roman" w:cs="Times New Roman"/>
                                <w:sz w:val="24"/>
                                <w:szCs w:val="24"/>
                              </w:rPr>
                              <w:t>Среднесрочные</w:t>
                            </w:r>
                            <w:r w:rsidRPr="00A24282">
                              <w:rPr>
                                <w:rFonts w:ascii="Times New Roman" w:hAnsi="Times New Roman" w:cs="Times New Roman"/>
                                <w:sz w:val="24"/>
                                <w:szCs w:val="24"/>
                              </w:rPr>
                              <w:t xml:space="preserve"> активы</w:t>
                            </w:r>
                            <w:r>
                              <w:rPr>
                                <w:rFonts w:ascii="Times New Roman" w:hAnsi="Times New Roman" w:cs="Times New Roman"/>
                                <w:sz w:val="24"/>
                                <w:szCs w:val="24"/>
                              </w:rPr>
                              <w:t xml:space="preserve"> в национальной валюте</w:t>
                            </w:r>
                          </w:p>
                          <w:p w:rsidR="000C2C64" w:rsidRPr="00A24282" w:rsidRDefault="000C2C64" w:rsidP="00A24282">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pt;margin-top:1.5pt;width:147.3pt;height:3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0C2C64" w:rsidRPr="00A24282" w:rsidRDefault="000C2C64" w:rsidP="00A24282">
                      <w:pPr>
                        <w:jc w:val="center"/>
                        <w:rPr>
                          <w:rFonts w:ascii="Times New Roman" w:hAnsi="Times New Roman" w:cs="Times New Roman"/>
                          <w:sz w:val="24"/>
                          <w:szCs w:val="24"/>
                        </w:rPr>
                      </w:pPr>
                      <w:r>
                        <w:rPr>
                          <w:rFonts w:ascii="Times New Roman" w:hAnsi="Times New Roman" w:cs="Times New Roman"/>
                          <w:sz w:val="24"/>
                          <w:szCs w:val="24"/>
                        </w:rPr>
                        <w:t>Среднесрочные</w:t>
                      </w:r>
                      <w:r w:rsidRPr="00A24282">
                        <w:rPr>
                          <w:rFonts w:ascii="Times New Roman" w:hAnsi="Times New Roman" w:cs="Times New Roman"/>
                          <w:sz w:val="24"/>
                          <w:szCs w:val="24"/>
                        </w:rPr>
                        <w:t xml:space="preserve"> активы</w:t>
                      </w:r>
                      <w:r>
                        <w:rPr>
                          <w:rFonts w:ascii="Times New Roman" w:hAnsi="Times New Roman" w:cs="Times New Roman"/>
                          <w:sz w:val="24"/>
                          <w:szCs w:val="24"/>
                        </w:rPr>
                        <w:t xml:space="preserve"> в национальной валюте</w:t>
                      </w:r>
                    </w:p>
                    <w:p w:rsidR="000C2C64" w:rsidRPr="00A24282" w:rsidRDefault="000C2C64" w:rsidP="00A24282">
                      <w:pPr>
                        <w:jc w:val="center"/>
                        <w:rPr>
                          <w:rFonts w:ascii="Times New Roman" w:hAnsi="Times New Roman" w:cs="Times New Roman"/>
                          <w:sz w:val="24"/>
                          <w:szCs w:val="24"/>
                        </w:rPr>
                      </w:pPr>
                    </w:p>
                  </w:txbxContent>
                </v:textbox>
              </v:shape>
            </w:pict>
          </mc:Fallback>
        </mc:AlternateContent>
      </w:r>
    </w:p>
    <w:p w:rsidR="004B1A93" w:rsidRPr="00802D35" w:rsidRDefault="005368DA" w:rsidP="0039710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1898015</wp:posOffset>
                </wp:positionH>
                <wp:positionV relativeFrom="paragraph">
                  <wp:posOffset>116840</wp:posOffset>
                </wp:positionV>
                <wp:extent cx="1837055" cy="1760855"/>
                <wp:effectExtent l="38100" t="38100" r="29845" b="29845"/>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1760855"/>
                        </a:xfrm>
                        <a:prstGeom prst="straightConnector1">
                          <a:avLst/>
                        </a:prstGeom>
                        <a:ln w="12700">
                          <a:prstDash val="dash"/>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20" o:spid="_x0000_s1026" type="#_x0000_t32" style="position:absolute;margin-left:149.45pt;margin-top:9.2pt;width:144.65pt;height:138.6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" strokecolor="#94b64e [3046]" strokeweight="1pt">
                <v:stroke dashstyle="dash"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1939925</wp:posOffset>
                </wp:positionH>
                <wp:positionV relativeFrom="paragraph">
                  <wp:posOffset>41275</wp:posOffset>
                </wp:positionV>
                <wp:extent cx="1794510" cy="1149350"/>
                <wp:effectExtent l="38100" t="0" r="15240" b="50800"/>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94510" cy="1149350"/>
                        </a:xfrm>
                        <a:prstGeom prst="straightConnector1">
                          <a:avLst/>
                        </a:prstGeom>
                        <a:ln w="12700">
                          <a:prstDash val="dash"/>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8" o:spid="_x0000_s1026" type="#_x0000_t32" style="position:absolute;margin-left:152.75pt;margin-top:3.25pt;width:141.3pt;height:9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" strokecolor="#94b64e [3046]" strokeweight="1pt">
                <v:stroke dashstyle="dash"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1898015</wp:posOffset>
                </wp:positionH>
                <wp:positionV relativeFrom="paragraph">
                  <wp:posOffset>41275</wp:posOffset>
                </wp:positionV>
                <wp:extent cx="1836420" cy="1786255"/>
                <wp:effectExtent l="38100" t="0" r="30480" b="61595"/>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6420" cy="1786255"/>
                        </a:xfrm>
                        <a:prstGeom prst="straightConnector1">
                          <a:avLst/>
                        </a:prstGeom>
                        <a:ln w="12700">
                          <a:prstDash val="dash"/>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7" o:spid="_x0000_s1026" type="#_x0000_t32" style="position:absolute;margin-left:149.45pt;margin-top:3.25pt;width:144.6pt;height:140.6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" strokecolor="#94b64e [3046]" strokeweight="1pt">
                <v:stroke dashstyle="dash"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1898015</wp:posOffset>
                </wp:positionH>
                <wp:positionV relativeFrom="paragraph">
                  <wp:posOffset>41275</wp:posOffset>
                </wp:positionV>
                <wp:extent cx="1837055" cy="637540"/>
                <wp:effectExtent l="38100" t="57150" r="67945" b="8636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63754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4" o:spid="_x0000_s1026" type="#_x0000_t32" style="position:absolute;margin-left:149.45pt;margin-top:3.25pt;width:144.65pt;height:50.2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" strokecolor="#c0504d [3205]" strokeweight="2pt">
                <v:stroke endarrow="open"/>
                <v:shadow on="t" color="black" opacity="24903f" origin=",.5" offset="0,.55556mm"/>
                <o:lock v:ext="edit" shapetype="f"/>
              </v:shape>
            </w:pict>
          </mc:Fallback>
        </mc:AlternateContent>
      </w:r>
    </w:p>
    <w:p w:rsidR="00A24282" w:rsidRPr="00802D35" w:rsidRDefault="005368DA" w:rsidP="00C340DD">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1898015</wp:posOffset>
                </wp:positionH>
                <wp:positionV relativeFrom="paragraph">
                  <wp:posOffset>-3810</wp:posOffset>
                </wp:positionV>
                <wp:extent cx="1835785" cy="2357120"/>
                <wp:effectExtent l="38100" t="38100" r="31115" b="24130"/>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5785" cy="2357120"/>
                        </a:xfrm>
                        <a:prstGeom prst="straightConnector1">
                          <a:avLst/>
                        </a:prstGeom>
                        <a:ln w="12700">
                          <a:prstDash val="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24" o:spid="_x0000_s1026" type="#_x0000_t32" style="position:absolute;margin-left:149.45pt;margin-top:-.3pt;width:144.55pt;height:185.6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" strokecolor="#bc4542 [3045]" strokeweight="1pt">
                <v:stroke dashstyle="dash" endarrow="open"/>
                <o:lock v:ext="edit" shapetype="f"/>
              </v:shape>
            </w:pict>
          </mc:Fallback>
        </mc:AlternateContent>
      </w:r>
    </w:p>
    <w:p w:rsidR="00A24282" w:rsidRPr="00802D35" w:rsidRDefault="005368DA" w:rsidP="00C340DD">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3735070</wp:posOffset>
                </wp:positionH>
                <wp:positionV relativeFrom="paragraph">
                  <wp:posOffset>0</wp:posOffset>
                </wp:positionV>
                <wp:extent cx="2365375" cy="486410"/>
                <wp:effectExtent l="57150" t="38100" r="73025" b="10414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48641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0C2C64" w:rsidRPr="00A24282" w:rsidRDefault="000C2C64" w:rsidP="005E07E0">
                            <w:pPr>
                              <w:jc w:val="center"/>
                              <w:rPr>
                                <w:rFonts w:ascii="Times New Roman" w:hAnsi="Times New Roman" w:cs="Times New Roman"/>
                                <w:sz w:val="24"/>
                                <w:szCs w:val="24"/>
                              </w:rPr>
                            </w:pPr>
                            <w:r>
                              <w:rPr>
                                <w:rFonts w:ascii="Times New Roman" w:hAnsi="Times New Roman" w:cs="Times New Roman"/>
                                <w:sz w:val="24"/>
                                <w:szCs w:val="24"/>
                              </w:rPr>
                              <w:t xml:space="preserve">Долгосрочные национальные инструменты фондирования </w:t>
                            </w:r>
                          </w:p>
                          <w:p w:rsidR="000C2C64" w:rsidRPr="00A24282" w:rsidRDefault="000C2C64" w:rsidP="00A24282">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94.1pt;margin-top:0;width:186.25pt;height:3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" fillcolor="#dfa7a6 [1621]" strokecolor="#bc4542 [3045]">
                <v:fill color2="#f5e4e4 [501]" rotate="t" angle="180" colors="0 #ffa2a1;22938f #ffbebd;1 #ffe5e5" focus="100%" type="gradient"/>
                <v:shadow on="t" color="black" opacity="24903f" origin=",.5" offset="0,.55556mm"/>
                <v:textbox>
                  <w:txbxContent>
                    <w:p w:rsidR="000C2C64" w:rsidRPr="00A24282" w:rsidRDefault="000C2C64" w:rsidP="005E07E0">
                      <w:pPr>
                        <w:jc w:val="center"/>
                        <w:rPr>
                          <w:rFonts w:ascii="Times New Roman" w:hAnsi="Times New Roman" w:cs="Times New Roman"/>
                          <w:sz w:val="24"/>
                          <w:szCs w:val="24"/>
                        </w:rPr>
                      </w:pPr>
                      <w:r>
                        <w:rPr>
                          <w:rFonts w:ascii="Times New Roman" w:hAnsi="Times New Roman" w:cs="Times New Roman"/>
                          <w:sz w:val="24"/>
                          <w:szCs w:val="24"/>
                        </w:rPr>
                        <w:t xml:space="preserve">Долгосрочные национальные инструменты фондирования </w:t>
                      </w:r>
                    </w:p>
                    <w:p w:rsidR="000C2C64" w:rsidRPr="00A24282" w:rsidRDefault="000C2C64" w:rsidP="00A24282">
                      <w:pPr>
                        <w:jc w:val="cente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26670</wp:posOffset>
                </wp:positionH>
                <wp:positionV relativeFrom="paragraph">
                  <wp:posOffset>1270</wp:posOffset>
                </wp:positionV>
                <wp:extent cx="1870710" cy="486410"/>
                <wp:effectExtent l="57150" t="38100" r="72390" b="10414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8641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0C2C64" w:rsidRPr="00A24282" w:rsidRDefault="000C2C64" w:rsidP="00A24282">
                            <w:pPr>
                              <w:jc w:val="center"/>
                              <w:rPr>
                                <w:rFonts w:ascii="Times New Roman" w:hAnsi="Times New Roman" w:cs="Times New Roman"/>
                                <w:sz w:val="24"/>
                                <w:szCs w:val="24"/>
                              </w:rPr>
                            </w:pPr>
                            <w:r>
                              <w:rPr>
                                <w:rFonts w:ascii="Times New Roman" w:hAnsi="Times New Roman" w:cs="Times New Roman"/>
                                <w:sz w:val="24"/>
                                <w:szCs w:val="24"/>
                              </w:rPr>
                              <w:t xml:space="preserve">Долгосрочные </w:t>
                            </w:r>
                            <w:r w:rsidRPr="00A24282">
                              <w:rPr>
                                <w:rFonts w:ascii="Times New Roman" w:hAnsi="Times New Roman" w:cs="Times New Roman"/>
                                <w:sz w:val="24"/>
                                <w:szCs w:val="24"/>
                              </w:rPr>
                              <w:t>активы</w:t>
                            </w:r>
                            <w:r>
                              <w:rPr>
                                <w:rFonts w:ascii="Times New Roman" w:hAnsi="Times New Roman" w:cs="Times New Roman"/>
                                <w:sz w:val="24"/>
                                <w:szCs w:val="24"/>
                              </w:rPr>
                              <w:t xml:space="preserve"> в национальной валюте</w:t>
                            </w:r>
                          </w:p>
                          <w:p w:rsidR="000C2C64" w:rsidRPr="00A24282" w:rsidRDefault="000C2C64" w:rsidP="00A24282">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pt;margin-top:.1pt;width:147.3pt;height:3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" fillcolor="#dfa7a6 [1621]" strokecolor="#bc4542 [3045]">
                <v:fill color2="#f5e4e4 [501]" rotate="t" angle="180" colors="0 #ffa2a1;22938f #ffbebd;1 #ffe5e5" focus="100%" type="gradient"/>
                <v:shadow on="t" color="black" opacity="24903f" origin=",.5" offset="0,.55556mm"/>
                <v:textbox>
                  <w:txbxContent>
                    <w:p w:rsidR="000C2C64" w:rsidRPr="00A24282" w:rsidRDefault="000C2C64" w:rsidP="00A24282">
                      <w:pPr>
                        <w:jc w:val="center"/>
                        <w:rPr>
                          <w:rFonts w:ascii="Times New Roman" w:hAnsi="Times New Roman" w:cs="Times New Roman"/>
                          <w:sz w:val="24"/>
                          <w:szCs w:val="24"/>
                        </w:rPr>
                      </w:pPr>
                      <w:r>
                        <w:rPr>
                          <w:rFonts w:ascii="Times New Roman" w:hAnsi="Times New Roman" w:cs="Times New Roman"/>
                          <w:sz w:val="24"/>
                          <w:szCs w:val="24"/>
                        </w:rPr>
                        <w:t xml:space="preserve">Долгосрочные </w:t>
                      </w:r>
                      <w:r w:rsidRPr="00A24282">
                        <w:rPr>
                          <w:rFonts w:ascii="Times New Roman" w:hAnsi="Times New Roman" w:cs="Times New Roman"/>
                          <w:sz w:val="24"/>
                          <w:szCs w:val="24"/>
                        </w:rPr>
                        <w:t>активы</w:t>
                      </w:r>
                      <w:r>
                        <w:rPr>
                          <w:rFonts w:ascii="Times New Roman" w:hAnsi="Times New Roman" w:cs="Times New Roman"/>
                          <w:sz w:val="24"/>
                          <w:szCs w:val="24"/>
                        </w:rPr>
                        <w:t xml:space="preserve"> в национальной валюте</w:t>
                      </w:r>
                    </w:p>
                    <w:p w:rsidR="000C2C64" w:rsidRPr="00A24282" w:rsidRDefault="000C2C64" w:rsidP="00A24282">
                      <w:pPr>
                        <w:jc w:val="center"/>
                        <w:rPr>
                          <w:rFonts w:ascii="Times New Roman" w:hAnsi="Times New Roman" w:cs="Times New Roman"/>
                          <w:sz w:val="24"/>
                          <w:szCs w:val="24"/>
                        </w:rPr>
                      </w:pPr>
                    </w:p>
                  </w:txbxContent>
                </v:textbox>
              </v:shape>
            </w:pict>
          </mc:Fallback>
        </mc:AlternateContent>
      </w:r>
    </w:p>
    <w:p w:rsidR="00A24282" w:rsidRPr="00802D35" w:rsidRDefault="005368DA" w:rsidP="00C340DD">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1898015</wp:posOffset>
                </wp:positionH>
                <wp:positionV relativeFrom="paragraph">
                  <wp:posOffset>115570</wp:posOffset>
                </wp:positionV>
                <wp:extent cx="1837055" cy="1828800"/>
                <wp:effectExtent l="38100" t="38100" r="29845" b="19050"/>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1828800"/>
                        </a:xfrm>
                        <a:prstGeom prst="straightConnector1">
                          <a:avLst/>
                        </a:prstGeom>
                        <a:ln w="12700">
                          <a:prstDash val="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25" o:spid="_x0000_s1026" type="#_x0000_t32" style="position:absolute;margin-left:149.45pt;margin-top:9.1pt;width:144.65pt;height:2in;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" strokecolor="#bc4542 [3045]" strokeweight="1pt">
                <v:stroke dashstyle="dash"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1898015</wp:posOffset>
                </wp:positionH>
                <wp:positionV relativeFrom="paragraph">
                  <wp:posOffset>115570</wp:posOffset>
                </wp:positionV>
                <wp:extent cx="1837055" cy="1762125"/>
                <wp:effectExtent l="38100" t="0" r="29845" b="47625"/>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7055" cy="1762125"/>
                        </a:xfrm>
                        <a:prstGeom prst="straightConnector1">
                          <a:avLst/>
                        </a:prstGeom>
                        <a:ln w="12700">
                          <a:prstDash val="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5" o:spid="_x0000_s1026" type="#_x0000_t32" style="position:absolute;margin-left:149.45pt;margin-top:9.1pt;width:144.65pt;height:138.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" strokecolor="#bc4542 [3045]" strokeweight="1pt">
                <v:stroke dashstyle="dash"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1898015</wp:posOffset>
                </wp:positionH>
                <wp:positionV relativeFrom="paragraph">
                  <wp:posOffset>115570</wp:posOffset>
                </wp:positionV>
                <wp:extent cx="1837055" cy="1099185"/>
                <wp:effectExtent l="38100" t="0" r="29845" b="62865"/>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7055" cy="1099185"/>
                        </a:xfrm>
                        <a:prstGeom prst="straightConnector1">
                          <a:avLst/>
                        </a:prstGeom>
                        <a:ln w="12700">
                          <a:prstDash val="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4" o:spid="_x0000_s1026" type="#_x0000_t32" style="position:absolute;margin-left:149.45pt;margin-top:9.1pt;width:144.65pt;height:86.5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" strokecolor="#bc4542 [3045]" strokeweight="1pt">
                <v:stroke dashstyle="dash"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1898015</wp:posOffset>
                </wp:positionH>
                <wp:positionV relativeFrom="paragraph">
                  <wp:posOffset>115570</wp:posOffset>
                </wp:positionV>
                <wp:extent cx="1837055" cy="528955"/>
                <wp:effectExtent l="38100" t="0" r="29845" b="80645"/>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7055" cy="528955"/>
                        </a:xfrm>
                        <a:prstGeom prst="straightConnector1">
                          <a:avLst/>
                        </a:prstGeom>
                        <a:ln w="12700">
                          <a:prstDash val="dash"/>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3" o:spid="_x0000_s1026" type="#_x0000_t32" style="position:absolute;margin-left:149.45pt;margin-top:9.1pt;width:144.65pt;height:41.6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" strokecolor="#bc4542 [3045]" strokeweight="1pt">
                <v:stroke dashstyle="dash"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1898015</wp:posOffset>
                </wp:positionH>
                <wp:positionV relativeFrom="paragraph">
                  <wp:posOffset>65405</wp:posOffset>
                </wp:positionV>
                <wp:extent cx="1837055" cy="50165"/>
                <wp:effectExtent l="57150" t="76200" r="67945" b="10223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501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05" o:spid="_x0000_s1026" type="#_x0000_t32" style="position:absolute;margin-left:149.45pt;margin-top:5.15pt;width:144.65pt;height:3.9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" strokecolor="#c0504d [3205]" strokeweight="2pt">
                <v:stroke endarrow="open"/>
                <v:shadow on="t" color="black" opacity="24903f" origin=",.5" offset="0,.55556mm"/>
                <o:lock v:ext="edit" shapetype="f"/>
              </v:shape>
            </w:pict>
          </mc:Fallback>
        </mc:AlternateContent>
      </w:r>
    </w:p>
    <w:p w:rsidR="00A24282" w:rsidRPr="00802D35" w:rsidRDefault="00A24282" w:rsidP="00C340DD">
      <w:pPr>
        <w:widowControl w:val="0"/>
        <w:spacing w:after="0" w:line="240" w:lineRule="auto"/>
        <w:jc w:val="both"/>
        <w:rPr>
          <w:rFonts w:ascii="Times New Roman" w:hAnsi="Times New Roman" w:cs="Times New Roman"/>
          <w:sz w:val="28"/>
          <w:szCs w:val="28"/>
        </w:rPr>
      </w:pPr>
    </w:p>
    <w:p w:rsidR="00A24282" w:rsidRPr="00802D35" w:rsidRDefault="005368DA" w:rsidP="00C340DD">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3736340</wp:posOffset>
                </wp:positionH>
                <wp:positionV relativeFrom="paragraph">
                  <wp:posOffset>9525</wp:posOffset>
                </wp:positionV>
                <wp:extent cx="2365375" cy="486410"/>
                <wp:effectExtent l="57150" t="38100" r="73025" b="10414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48641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C2C64" w:rsidRPr="00A24282" w:rsidRDefault="000C2C64" w:rsidP="005E07E0">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w:t>
                            </w:r>
                            <w:r>
                              <w:rPr>
                                <w:rFonts w:ascii="Times New Roman" w:hAnsi="Times New Roman" w:cs="Times New Roman"/>
                                <w:sz w:val="24"/>
                                <w:szCs w:val="24"/>
                              </w:rPr>
                              <w:t>ы</w:t>
                            </w:r>
                            <w:r w:rsidRPr="00A24282">
                              <w:rPr>
                                <w:rFonts w:ascii="Times New Roman" w:hAnsi="Times New Roman" w:cs="Times New Roman"/>
                                <w:sz w:val="24"/>
                                <w:szCs w:val="24"/>
                              </w:rPr>
                              <w:t xml:space="preserve">е </w:t>
                            </w:r>
                            <w:r>
                              <w:rPr>
                                <w:rFonts w:ascii="Times New Roman" w:hAnsi="Times New Roman" w:cs="Times New Roman"/>
                                <w:sz w:val="24"/>
                                <w:szCs w:val="24"/>
                              </w:rPr>
                              <w:t xml:space="preserve">валютные инструменты фондирования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94.2pt;margin-top:.75pt;width:186.25pt;height:3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" fillcolor="#a7bfde [1620]" strokecolor="#4579b8 [3044]">
                <v:fill color2="#e4ecf5 [500]" rotate="t" angle="180" colors="0 #a3c4ff;22938f #bfd5ff;1 #e5eeff" focus="100%" type="gradient"/>
                <v:shadow on="t" color="black" opacity="24903f" origin=",.5" offset="0,.55556mm"/>
                <v:textbox>
                  <w:txbxContent>
                    <w:p w:rsidR="000C2C64" w:rsidRPr="00A24282" w:rsidRDefault="000C2C64" w:rsidP="005E07E0">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w:t>
                      </w:r>
                      <w:r>
                        <w:rPr>
                          <w:rFonts w:ascii="Times New Roman" w:hAnsi="Times New Roman" w:cs="Times New Roman"/>
                          <w:sz w:val="24"/>
                          <w:szCs w:val="24"/>
                        </w:rPr>
                        <w:t>ы</w:t>
                      </w:r>
                      <w:r w:rsidRPr="00A24282">
                        <w:rPr>
                          <w:rFonts w:ascii="Times New Roman" w:hAnsi="Times New Roman" w:cs="Times New Roman"/>
                          <w:sz w:val="24"/>
                          <w:szCs w:val="24"/>
                        </w:rPr>
                        <w:t xml:space="preserve">е </w:t>
                      </w:r>
                      <w:r>
                        <w:rPr>
                          <w:rFonts w:ascii="Times New Roman" w:hAnsi="Times New Roman" w:cs="Times New Roman"/>
                          <w:sz w:val="24"/>
                          <w:szCs w:val="24"/>
                        </w:rPr>
                        <w:t xml:space="preserve">валютные инструменты фондирования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27940</wp:posOffset>
                </wp:positionH>
                <wp:positionV relativeFrom="paragraph">
                  <wp:posOffset>26670</wp:posOffset>
                </wp:positionV>
                <wp:extent cx="1870710" cy="469265"/>
                <wp:effectExtent l="57150" t="38100" r="72390" b="102235"/>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6926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C2C64" w:rsidRPr="00A24282" w:rsidRDefault="000C2C64" w:rsidP="00A24282">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Краткосрочные активы</w:t>
                            </w:r>
                            <w:r>
                              <w:rPr>
                                <w:rFonts w:ascii="Times New Roman" w:hAnsi="Times New Roman" w:cs="Times New Roman"/>
                                <w:sz w:val="24"/>
                                <w:szCs w:val="24"/>
                              </w:rPr>
                              <w:t xml:space="preserve"> в иностранной валюте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2pt;margin-top:2.1pt;width:147.3pt;height:3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" fillcolor="#a7bfde [1620]" strokecolor="#4579b8 [3044]">
                <v:fill color2="#e4ecf5 [500]" rotate="t" angle="180" colors="0 #a3c4ff;22938f #bfd5ff;1 #e5eeff" focus="100%" type="gradient"/>
                <v:shadow on="t" color="black" opacity="24903f" origin=",.5" offset="0,.55556mm"/>
                <v:textbox>
                  <w:txbxContent>
                    <w:p w:rsidR="000C2C64" w:rsidRPr="00A24282" w:rsidRDefault="000C2C64" w:rsidP="00A24282">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Краткосрочные активы</w:t>
                      </w:r>
                      <w:r>
                        <w:rPr>
                          <w:rFonts w:ascii="Times New Roman" w:hAnsi="Times New Roman" w:cs="Times New Roman"/>
                          <w:sz w:val="24"/>
                          <w:szCs w:val="24"/>
                        </w:rPr>
                        <w:t xml:space="preserve"> в иностранной валюте</w:t>
                      </w:r>
                    </w:p>
                  </w:txbxContent>
                </v:textbox>
              </v:shape>
            </w:pict>
          </mc:Fallback>
        </mc:AlternateContent>
      </w:r>
    </w:p>
    <w:p w:rsidR="00A24282" w:rsidRPr="00802D35" w:rsidRDefault="005368DA" w:rsidP="00C340DD">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1898015</wp:posOffset>
                </wp:positionH>
                <wp:positionV relativeFrom="paragraph">
                  <wp:posOffset>157480</wp:posOffset>
                </wp:positionV>
                <wp:extent cx="1836420" cy="1174750"/>
                <wp:effectExtent l="57150" t="38100" r="68580" b="8255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6420" cy="11747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9" o:spid="_x0000_s1026" type="#_x0000_t32" style="position:absolute;margin-left:149.45pt;margin-top:12.4pt;width:144.6pt;height:92.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" strokecolor="#c0504d [3205]" strokeweight="2pt">
                <v:stroke endarrow="open"/>
                <v:shadow on="t" color="black" opacity="24903f" origin=",.5" offset="0,.55556mm"/>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simplePos x="0" y="0"/>
                <wp:positionH relativeFrom="column">
                  <wp:posOffset>1898015</wp:posOffset>
                </wp:positionH>
                <wp:positionV relativeFrom="paragraph">
                  <wp:posOffset>81915</wp:posOffset>
                </wp:positionV>
                <wp:extent cx="1836420" cy="570230"/>
                <wp:effectExtent l="38100" t="57150" r="68580" b="96520"/>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6420" cy="57023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8" o:spid="_x0000_s1026" type="#_x0000_t32" style="position:absolute;margin-left:149.45pt;margin-top:6.45pt;width:144.6pt;height:44.9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" strokecolor="#9bbb59 [3206]" strokeweight="2pt">
                <v:stroke endarrow="open"/>
                <v:shadow on="t" color="black" opacity="24903f" origin=",.5" offset="0,.55556mm"/>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1898015</wp:posOffset>
                </wp:positionH>
                <wp:positionV relativeFrom="paragraph">
                  <wp:posOffset>31750</wp:posOffset>
                </wp:positionV>
                <wp:extent cx="1837055" cy="8255"/>
                <wp:effectExtent l="57150" t="76200" r="0" b="144145"/>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7055" cy="82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6" o:spid="_x0000_s1026" type="#_x0000_t32" style="position:absolute;margin-left:149.45pt;margin-top:2.5pt;width:144.65pt;height:.6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" strokecolor="#4f81bd [3204]" strokeweight="2pt">
                <v:stroke endarrow="open"/>
                <v:shadow on="t" color="black" opacity="24903f" origin=",.5" offset="0,.55556mm"/>
                <o:lock v:ext="edit" shapetype="f"/>
              </v:shape>
            </w:pict>
          </mc:Fallback>
        </mc:AlternateContent>
      </w:r>
    </w:p>
    <w:p w:rsidR="00A24282" w:rsidRPr="00802D35" w:rsidRDefault="00A24282" w:rsidP="00C340DD">
      <w:pPr>
        <w:widowControl w:val="0"/>
        <w:spacing w:after="0" w:line="240" w:lineRule="auto"/>
        <w:jc w:val="both"/>
        <w:rPr>
          <w:rFonts w:ascii="Times New Roman" w:hAnsi="Times New Roman" w:cs="Times New Roman"/>
          <w:sz w:val="28"/>
          <w:szCs w:val="28"/>
        </w:rPr>
      </w:pPr>
    </w:p>
    <w:p w:rsidR="00A24282" w:rsidRPr="00802D35" w:rsidRDefault="005368DA" w:rsidP="00C340DD">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1898015</wp:posOffset>
                </wp:positionH>
                <wp:positionV relativeFrom="paragraph">
                  <wp:posOffset>193040</wp:posOffset>
                </wp:positionV>
                <wp:extent cx="1836420" cy="50165"/>
                <wp:effectExtent l="57150" t="76200" r="68580" b="102235"/>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6420" cy="5016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0" o:spid="_x0000_s1026" type="#_x0000_t32" style="position:absolute;margin-left:149.45pt;margin-top:15.2pt;width:144.6pt;height:3.9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" strokecolor="#9bbb59 [3206]" strokeweight="2pt">
                <v:stroke endarrow="open"/>
                <v:shadow on="t" color="black" opacity="24903f" origin=",.5" offset="0,.55556mm"/>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3736340</wp:posOffset>
                </wp:positionH>
                <wp:positionV relativeFrom="paragraph">
                  <wp:posOffset>0</wp:posOffset>
                </wp:positionV>
                <wp:extent cx="2365375" cy="486410"/>
                <wp:effectExtent l="57150" t="38100" r="73025" b="10414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48641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C2C64" w:rsidRPr="00A24282" w:rsidRDefault="000C2C64" w:rsidP="005E07E0">
                            <w:pPr>
                              <w:jc w:val="center"/>
                              <w:rPr>
                                <w:rFonts w:ascii="Times New Roman" w:hAnsi="Times New Roman" w:cs="Times New Roman"/>
                                <w:sz w:val="24"/>
                                <w:szCs w:val="24"/>
                              </w:rPr>
                            </w:pPr>
                            <w:r>
                              <w:rPr>
                                <w:rFonts w:ascii="Times New Roman" w:hAnsi="Times New Roman" w:cs="Times New Roman"/>
                                <w:sz w:val="24"/>
                                <w:szCs w:val="24"/>
                              </w:rPr>
                              <w:t xml:space="preserve">Среднесрочные </w:t>
                            </w:r>
                            <w:r w:rsidRPr="00A24282">
                              <w:rPr>
                                <w:rFonts w:ascii="Times New Roman" w:hAnsi="Times New Roman" w:cs="Times New Roman"/>
                                <w:sz w:val="24"/>
                                <w:szCs w:val="24"/>
                              </w:rPr>
                              <w:t xml:space="preserve"> </w:t>
                            </w:r>
                            <w:r>
                              <w:rPr>
                                <w:rFonts w:ascii="Times New Roman" w:hAnsi="Times New Roman" w:cs="Times New Roman"/>
                                <w:sz w:val="24"/>
                                <w:szCs w:val="24"/>
                              </w:rPr>
                              <w:t xml:space="preserve">валютные инструменты фондирования </w:t>
                            </w:r>
                          </w:p>
                          <w:p w:rsidR="000C2C64" w:rsidRPr="00A24282" w:rsidRDefault="000C2C64" w:rsidP="005E07E0">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94.2pt;margin-top:0;width:186.25pt;height:38.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" fillcolor="#cdddac [1622]" strokecolor="#94b64e [3046]">
                <v:fill color2="#f0f4e6 [502]" rotate="t" angle="180" colors="0 #dafda7;22938f #e4fdc2;1 #f5ffe6" focus="100%" type="gradient"/>
                <v:shadow on="t" color="black" opacity="24903f" origin=",.5" offset="0,.55556mm"/>
                <v:textbox>
                  <w:txbxContent>
                    <w:p w:rsidR="000C2C64" w:rsidRPr="00A24282" w:rsidRDefault="000C2C64" w:rsidP="005E07E0">
                      <w:pPr>
                        <w:jc w:val="center"/>
                        <w:rPr>
                          <w:rFonts w:ascii="Times New Roman" w:hAnsi="Times New Roman" w:cs="Times New Roman"/>
                          <w:sz w:val="24"/>
                          <w:szCs w:val="24"/>
                        </w:rPr>
                      </w:pPr>
                      <w:r>
                        <w:rPr>
                          <w:rFonts w:ascii="Times New Roman" w:hAnsi="Times New Roman" w:cs="Times New Roman"/>
                          <w:sz w:val="24"/>
                          <w:szCs w:val="24"/>
                        </w:rPr>
                        <w:t xml:space="preserve">Среднесрочные </w:t>
                      </w:r>
                      <w:r w:rsidRPr="00A24282">
                        <w:rPr>
                          <w:rFonts w:ascii="Times New Roman" w:hAnsi="Times New Roman" w:cs="Times New Roman"/>
                          <w:sz w:val="24"/>
                          <w:szCs w:val="24"/>
                        </w:rPr>
                        <w:t xml:space="preserve"> </w:t>
                      </w:r>
                      <w:r>
                        <w:rPr>
                          <w:rFonts w:ascii="Times New Roman" w:hAnsi="Times New Roman" w:cs="Times New Roman"/>
                          <w:sz w:val="24"/>
                          <w:szCs w:val="24"/>
                        </w:rPr>
                        <w:t xml:space="preserve">валютные инструменты фондирования </w:t>
                      </w:r>
                    </w:p>
                    <w:p w:rsidR="000C2C64" w:rsidRPr="00A24282" w:rsidRDefault="000C2C64" w:rsidP="005E07E0">
                      <w:pPr>
                        <w:jc w:val="cente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29210</wp:posOffset>
                </wp:positionH>
                <wp:positionV relativeFrom="paragraph">
                  <wp:posOffset>18415</wp:posOffset>
                </wp:positionV>
                <wp:extent cx="1870710" cy="469265"/>
                <wp:effectExtent l="57150" t="38100" r="72390" b="102235"/>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6926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C2C64" w:rsidRPr="00A24282" w:rsidRDefault="000C2C64" w:rsidP="00A24282">
                            <w:pPr>
                              <w:jc w:val="center"/>
                              <w:rPr>
                                <w:rFonts w:ascii="Times New Roman" w:hAnsi="Times New Roman" w:cs="Times New Roman"/>
                                <w:sz w:val="24"/>
                                <w:szCs w:val="24"/>
                              </w:rPr>
                            </w:pPr>
                            <w:r>
                              <w:rPr>
                                <w:rFonts w:ascii="Times New Roman" w:hAnsi="Times New Roman" w:cs="Times New Roman"/>
                                <w:sz w:val="24"/>
                                <w:szCs w:val="24"/>
                              </w:rPr>
                              <w:t>Средне</w:t>
                            </w:r>
                            <w:r w:rsidRPr="00A24282">
                              <w:rPr>
                                <w:rFonts w:ascii="Times New Roman" w:hAnsi="Times New Roman" w:cs="Times New Roman"/>
                                <w:sz w:val="24"/>
                                <w:szCs w:val="24"/>
                              </w:rPr>
                              <w:t>срочные активы</w:t>
                            </w:r>
                            <w:r>
                              <w:rPr>
                                <w:rFonts w:ascii="Times New Roman" w:hAnsi="Times New Roman" w:cs="Times New Roman"/>
                                <w:sz w:val="24"/>
                                <w:szCs w:val="24"/>
                              </w:rPr>
                              <w:t xml:space="preserve"> в иностранной валюте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3pt;margin-top:1.45pt;width:147.3pt;height:3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0C2C64" w:rsidRPr="00A24282" w:rsidRDefault="000C2C64" w:rsidP="00A24282">
                      <w:pPr>
                        <w:jc w:val="center"/>
                        <w:rPr>
                          <w:rFonts w:ascii="Times New Roman" w:hAnsi="Times New Roman" w:cs="Times New Roman"/>
                          <w:sz w:val="24"/>
                          <w:szCs w:val="24"/>
                        </w:rPr>
                      </w:pPr>
                      <w:r>
                        <w:rPr>
                          <w:rFonts w:ascii="Times New Roman" w:hAnsi="Times New Roman" w:cs="Times New Roman"/>
                          <w:sz w:val="24"/>
                          <w:szCs w:val="24"/>
                        </w:rPr>
                        <w:t>Средне</w:t>
                      </w:r>
                      <w:r w:rsidRPr="00A24282">
                        <w:rPr>
                          <w:rFonts w:ascii="Times New Roman" w:hAnsi="Times New Roman" w:cs="Times New Roman"/>
                          <w:sz w:val="24"/>
                          <w:szCs w:val="24"/>
                        </w:rPr>
                        <w:t>срочные активы</w:t>
                      </w:r>
                      <w:r>
                        <w:rPr>
                          <w:rFonts w:ascii="Times New Roman" w:hAnsi="Times New Roman" w:cs="Times New Roman"/>
                          <w:sz w:val="24"/>
                          <w:szCs w:val="24"/>
                        </w:rPr>
                        <w:t xml:space="preserve"> в иностранной валюте</w:t>
                      </w:r>
                    </w:p>
                  </w:txbxContent>
                </v:textbox>
              </v:shape>
            </w:pict>
          </mc:Fallback>
        </mc:AlternateContent>
      </w:r>
    </w:p>
    <w:p w:rsidR="00A24282" w:rsidRPr="00802D35" w:rsidRDefault="005368DA" w:rsidP="00C340DD">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1898015</wp:posOffset>
                </wp:positionH>
                <wp:positionV relativeFrom="paragraph">
                  <wp:posOffset>38735</wp:posOffset>
                </wp:positionV>
                <wp:extent cx="1836420" cy="679450"/>
                <wp:effectExtent l="38100" t="57150" r="68580" b="82550"/>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6420" cy="6794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1" o:spid="_x0000_s1026" type="#_x0000_t32" style="position:absolute;margin-left:149.45pt;margin-top:3.05pt;width:144.6pt;height:53.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" strokecolor="#c0504d [3205]" strokeweight="2pt">
                <v:stroke endarrow="open"/>
                <v:shadow on="t" color="black" opacity="24903f" origin=",.5" offset="0,.55556mm"/>
                <o:lock v:ext="edit" shapetype="f"/>
              </v:shape>
            </w:pict>
          </mc:Fallback>
        </mc:AlternateContent>
      </w:r>
    </w:p>
    <w:p w:rsidR="00A24282" w:rsidRPr="00802D35" w:rsidRDefault="00A24282" w:rsidP="00C340DD">
      <w:pPr>
        <w:widowControl w:val="0"/>
        <w:spacing w:after="0" w:line="240" w:lineRule="auto"/>
        <w:jc w:val="both"/>
        <w:rPr>
          <w:rFonts w:ascii="Times New Roman" w:hAnsi="Times New Roman" w:cs="Times New Roman"/>
          <w:sz w:val="28"/>
          <w:szCs w:val="28"/>
        </w:rPr>
      </w:pPr>
    </w:p>
    <w:p w:rsidR="00A24282" w:rsidRPr="00802D35" w:rsidRDefault="005368DA" w:rsidP="00C340DD">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3736340</wp:posOffset>
                </wp:positionH>
                <wp:positionV relativeFrom="paragraph">
                  <wp:posOffset>16510</wp:posOffset>
                </wp:positionV>
                <wp:extent cx="2365375" cy="486410"/>
                <wp:effectExtent l="57150" t="38100" r="73025" b="10414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48641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0C2C64" w:rsidRPr="00A24282" w:rsidRDefault="000C2C64" w:rsidP="005E07E0">
                            <w:pPr>
                              <w:jc w:val="center"/>
                              <w:rPr>
                                <w:rFonts w:ascii="Times New Roman" w:hAnsi="Times New Roman" w:cs="Times New Roman"/>
                                <w:sz w:val="24"/>
                                <w:szCs w:val="24"/>
                              </w:rPr>
                            </w:pPr>
                            <w:r>
                              <w:rPr>
                                <w:rFonts w:ascii="Times New Roman" w:hAnsi="Times New Roman" w:cs="Times New Roman"/>
                                <w:sz w:val="24"/>
                                <w:szCs w:val="24"/>
                              </w:rPr>
                              <w:t xml:space="preserve">Долгосрочные валютные инструменты фондирования </w:t>
                            </w:r>
                          </w:p>
                          <w:p w:rsidR="000C2C64" w:rsidRPr="00A24282" w:rsidRDefault="000C2C64" w:rsidP="005E07E0">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4.2pt;margin-top:1.3pt;width:186.25pt;height:3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0C2C64" w:rsidRPr="00A24282" w:rsidRDefault="000C2C64" w:rsidP="005E07E0">
                      <w:pPr>
                        <w:jc w:val="center"/>
                        <w:rPr>
                          <w:rFonts w:ascii="Times New Roman" w:hAnsi="Times New Roman" w:cs="Times New Roman"/>
                          <w:sz w:val="24"/>
                          <w:szCs w:val="24"/>
                        </w:rPr>
                      </w:pPr>
                      <w:r>
                        <w:rPr>
                          <w:rFonts w:ascii="Times New Roman" w:hAnsi="Times New Roman" w:cs="Times New Roman"/>
                          <w:sz w:val="24"/>
                          <w:szCs w:val="24"/>
                        </w:rPr>
                        <w:t xml:space="preserve">Долгосрочные валютные инструменты фондирования </w:t>
                      </w:r>
                    </w:p>
                    <w:p w:rsidR="000C2C64" w:rsidRPr="00A24282" w:rsidRDefault="000C2C64" w:rsidP="005E07E0">
                      <w:pPr>
                        <w:jc w:val="center"/>
                        <w:rPr>
                          <w:rFonts w:ascii="Times New Roman" w:hAnsi="Times New Roman" w:cs="Times New Roman"/>
                          <w:sz w:val="24"/>
                          <w:szCs w:val="24"/>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29210</wp:posOffset>
                </wp:positionH>
                <wp:positionV relativeFrom="paragraph">
                  <wp:posOffset>17780</wp:posOffset>
                </wp:positionV>
                <wp:extent cx="1870710" cy="469265"/>
                <wp:effectExtent l="57150" t="38100" r="72390" b="102235"/>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6926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0C2C64" w:rsidRPr="00A24282" w:rsidRDefault="000C2C64" w:rsidP="00A24282">
                            <w:pPr>
                              <w:jc w:val="center"/>
                              <w:rPr>
                                <w:rFonts w:ascii="Times New Roman" w:hAnsi="Times New Roman" w:cs="Times New Roman"/>
                                <w:sz w:val="24"/>
                                <w:szCs w:val="24"/>
                              </w:rPr>
                            </w:pPr>
                            <w:r>
                              <w:rPr>
                                <w:rFonts w:ascii="Times New Roman" w:hAnsi="Times New Roman" w:cs="Times New Roman"/>
                                <w:sz w:val="24"/>
                                <w:szCs w:val="24"/>
                              </w:rPr>
                              <w:t>Долг</w:t>
                            </w:r>
                            <w:r w:rsidRPr="00A24282">
                              <w:rPr>
                                <w:rFonts w:ascii="Times New Roman" w:hAnsi="Times New Roman" w:cs="Times New Roman"/>
                                <w:sz w:val="24"/>
                                <w:szCs w:val="24"/>
                              </w:rPr>
                              <w:t>осрочные активы</w:t>
                            </w:r>
                            <w:r>
                              <w:rPr>
                                <w:rFonts w:ascii="Times New Roman" w:hAnsi="Times New Roman" w:cs="Times New Roman"/>
                                <w:sz w:val="24"/>
                                <w:szCs w:val="24"/>
                              </w:rPr>
                              <w:t xml:space="preserve"> в иностранной валюте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3pt;margin-top:1.4pt;width:147.3pt;height:3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" fillcolor="#dfa7a6 [1621]" strokecolor="#bc4542 [3045]">
                <v:fill color2="#f5e4e4 [501]" rotate="t" angle="180" colors="0 #ffa2a1;22938f #ffbebd;1 #ffe5e5" focus="100%" type="gradient"/>
                <v:shadow on="t" color="black" opacity="24903f" origin=",.5" offset="0,.55556mm"/>
                <v:textbox>
                  <w:txbxContent>
                    <w:p w:rsidR="000C2C64" w:rsidRPr="00A24282" w:rsidRDefault="000C2C64" w:rsidP="00A24282">
                      <w:pPr>
                        <w:jc w:val="center"/>
                        <w:rPr>
                          <w:rFonts w:ascii="Times New Roman" w:hAnsi="Times New Roman" w:cs="Times New Roman"/>
                          <w:sz w:val="24"/>
                          <w:szCs w:val="24"/>
                        </w:rPr>
                      </w:pPr>
                      <w:r>
                        <w:rPr>
                          <w:rFonts w:ascii="Times New Roman" w:hAnsi="Times New Roman" w:cs="Times New Roman"/>
                          <w:sz w:val="24"/>
                          <w:szCs w:val="24"/>
                        </w:rPr>
                        <w:t>Долг</w:t>
                      </w:r>
                      <w:r w:rsidRPr="00A24282">
                        <w:rPr>
                          <w:rFonts w:ascii="Times New Roman" w:hAnsi="Times New Roman" w:cs="Times New Roman"/>
                          <w:sz w:val="24"/>
                          <w:szCs w:val="24"/>
                        </w:rPr>
                        <w:t>осрочные активы</w:t>
                      </w:r>
                      <w:r>
                        <w:rPr>
                          <w:rFonts w:ascii="Times New Roman" w:hAnsi="Times New Roman" w:cs="Times New Roman"/>
                          <w:sz w:val="24"/>
                          <w:szCs w:val="24"/>
                        </w:rPr>
                        <w:t xml:space="preserve"> в иностранной валюте</w:t>
                      </w:r>
                    </w:p>
                  </w:txbxContent>
                </v:textbox>
              </v:shape>
            </w:pict>
          </mc:Fallback>
        </mc:AlternateContent>
      </w:r>
    </w:p>
    <w:p w:rsidR="00A24282" w:rsidRPr="00802D35" w:rsidRDefault="005368DA" w:rsidP="00C340DD">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1898015</wp:posOffset>
                </wp:positionH>
                <wp:positionV relativeFrom="paragraph">
                  <wp:posOffset>104140</wp:posOffset>
                </wp:positionV>
                <wp:extent cx="1836420" cy="635"/>
                <wp:effectExtent l="57150" t="76200" r="0" b="15176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6420" cy="63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2" o:spid="_x0000_s1026" type="#_x0000_t32" style="position:absolute;margin-left:149.45pt;margin-top:8.2pt;width:144.6pt;height:.0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" strokecolor="#c0504d [3205]" strokeweight="2pt">
                <v:stroke endarrow="open"/>
                <v:shadow on="t" color="black" opacity="24903f" origin=",.5" offset="0,.55556mm"/>
                <o:lock v:ext="edit" shapetype="f"/>
              </v:shape>
            </w:pict>
          </mc:Fallback>
        </mc:AlternateContent>
      </w:r>
    </w:p>
    <w:p w:rsidR="00A24282" w:rsidRPr="00802D35" w:rsidRDefault="00A24282" w:rsidP="00C340DD">
      <w:pPr>
        <w:widowControl w:val="0"/>
        <w:spacing w:after="0" w:line="240" w:lineRule="auto"/>
        <w:jc w:val="both"/>
        <w:rPr>
          <w:rFonts w:ascii="Times New Roman" w:hAnsi="Times New Roman" w:cs="Times New Roman"/>
          <w:sz w:val="28"/>
          <w:szCs w:val="28"/>
        </w:rPr>
      </w:pPr>
    </w:p>
    <w:p w:rsidR="00A24282" w:rsidRPr="00802D35" w:rsidRDefault="00A24282" w:rsidP="00C340DD">
      <w:pPr>
        <w:widowControl w:val="0"/>
        <w:spacing w:after="0" w:line="240" w:lineRule="auto"/>
        <w:jc w:val="both"/>
        <w:rPr>
          <w:rFonts w:ascii="Times New Roman" w:hAnsi="Times New Roman" w:cs="Times New Roman"/>
          <w:sz w:val="28"/>
          <w:szCs w:val="28"/>
        </w:rPr>
      </w:pPr>
    </w:p>
    <w:p w:rsidR="00A24282" w:rsidRPr="00802D35" w:rsidRDefault="005E07E0" w:rsidP="00F734C5">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 xml:space="preserve">Рисунок </w:t>
      </w:r>
      <w:r w:rsidR="00E361BD" w:rsidRPr="00802D35">
        <w:rPr>
          <w:rFonts w:ascii="Times New Roman" w:hAnsi="Times New Roman" w:cs="Times New Roman"/>
          <w:sz w:val="28"/>
          <w:szCs w:val="28"/>
        </w:rPr>
        <w:t>9</w:t>
      </w:r>
      <w:r w:rsidRPr="00802D35">
        <w:rPr>
          <w:rFonts w:ascii="Times New Roman" w:hAnsi="Times New Roman" w:cs="Times New Roman"/>
          <w:sz w:val="28"/>
          <w:szCs w:val="28"/>
        </w:rPr>
        <w:t xml:space="preserve"> - Сбалансированность портфеля фондирования по инструментам фондирования</w:t>
      </w:r>
    </w:p>
    <w:p w:rsidR="00F734C5" w:rsidRPr="00802D35" w:rsidRDefault="00F734C5" w:rsidP="00C340DD">
      <w:pPr>
        <w:widowControl w:val="0"/>
        <w:spacing w:after="0" w:line="240" w:lineRule="auto"/>
        <w:jc w:val="both"/>
        <w:rPr>
          <w:rFonts w:ascii="Times New Roman" w:hAnsi="Times New Roman" w:cs="Times New Roman"/>
          <w:sz w:val="28"/>
          <w:szCs w:val="28"/>
        </w:rPr>
      </w:pPr>
    </w:p>
    <w:p w:rsidR="005E07E0" w:rsidRPr="00802D35" w:rsidRDefault="005E07E0" w:rsidP="00F734C5">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w:t>
      </w:r>
    </w:p>
    <w:p w:rsidR="00A24282" w:rsidRPr="00802D35" w:rsidRDefault="00A24282" w:rsidP="00C340DD">
      <w:pPr>
        <w:widowControl w:val="0"/>
        <w:spacing w:after="0" w:line="240" w:lineRule="auto"/>
        <w:jc w:val="both"/>
        <w:rPr>
          <w:rFonts w:ascii="Times New Roman" w:hAnsi="Times New Roman" w:cs="Times New Roman"/>
          <w:sz w:val="28"/>
          <w:szCs w:val="28"/>
        </w:rPr>
      </w:pPr>
    </w:p>
    <w:p w:rsidR="00C471CA" w:rsidRPr="00802D35" w:rsidRDefault="00BA2E03" w:rsidP="00DE33E7">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Еще больший риск возникает исходя из того, что ставки Центральных банков, например, LIBOR «овернайт», для разных видов валют различны. В частности, LIBOR «овернайт» в долларах США составляет 0,1</w:t>
      </w:r>
      <w:r w:rsidR="00C471CA" w:rsidRPr="00802D35">
        <w:rPr>
          <w:rFonts w:ascii="Times New Roman" w:hAnsi="Times New Roman" w:cs="Times New Roman"/>
          <w:sz w:val="28"/>
          <w:szCs w:val="28"/>
        </w:rPr>
        <w:t>4</w:t>
      </w:r>
      <w:r w:rsidRPr="00802D35">
        <w:rPr>
          <w:rFonts w:ascii="Times New Roman" w:hAnsi="Times New Roman" w:cs="Times New Roman"/>
          <w:sz w:val="28"/>
          <w:szCs w:val="28"/>
        </w:rPr>
        <w:t>%, а для евро с тем же сроком – 0,2</w:t>
      </w:r>
      <w:r w:rsidR="00C471CA" w:rsidRPr="00802D35">
        <w:rPr>
          <w:rFonts w:ascii="Times New Roman" w:hAnsi="Times New Roman" w:cs="Times New Roman"/>
          <w:sz w:val="28"/>
          <w:szCs w:val="28"/>
        </w:rPr>
        <w:t>1</w:t>
      </w:r>
      <w:r w:rsidRPr="00802D35">
        <w:rPr>
          <w:rFonts w:ascii="Times New Roman" w:hAnsi="Times New Roman" w:cs="Times New Roman"/>
          <w:sz w:val="28"/>
          <w:szCs w:val="28"/>
        </w:rPr>
        <w:t>%</w:t>
      </w:r>
      <w:r w:rsidR="00026D5D" w:rsidRPr="00802D35">
        <w:rPr>
          <w:rFonts w:ascii="Times New Roman" w:hAnsi="Times New Roman" w:cs="Times New Roman"/>
          <w:sz w:val="28"/>
          <w:szCs w:val="28"/>
        </w:rPr>
        <w:t>. В результате, если, например, фондирование осуществлялось в евро и ставка фондирования базировалась на 0,2% + премия за риск, а активные операции финансировались за счет этих средств по ставке 0,15% +премия за риск, то может возникнуть ситуация, когда расходы банка окажутся выше или равны доходам (в данном случае большую роль сыграет премия за риск по активным операциям)</w:t>
      </w:r>
      <w:r w:rsidR="00C471CA" w:rsidRPr="00802D35">
        <w:rPr>
          <w:rFonts w:ascii="Times New Roman" w:hAnsi="Times New Roman" w:cs="Times New Roman"/>
          <w:sz w:val="28"/>
          <w:szCs w:val="28"/>
        </w:rPr>
        <w:t>. Это, в свою очередь, скажется на прибыли банка, которая вообще может оказаться отрицательной.</w:t>
      </w:r>
      <w:r w:rsidR="00026D5D" w:rsidRPr="00802D35">
        <w:rPr>
          <w:rFonts w:ascii="Times New Roman" w:hAnsi="Times New Roman" w:cs="Times New Roman"/>
          <w:sz w:val="28"/>
          <w:szCs w:val="28"/>
        </w:rPr>
        <w:t xml:space="preserve"> </w:t>
      </w:r>
      <w:r w:rsidR="00C471CA" w:rsidRPr="00802D35">
        <w:rPr>
          <w:rFonts w:ascii="Times New Roman" w:hAnsi="Times New Roman" w:cs="Times New Roman"/>
          <w:sz w:val="28"/>
          <w:szCs w:val="28"/>
        </w:rPr>
        <w:t>Учитывая также тот факт, что с 2022 г. ставка LIBOR, выступающая более 20 лет эталоном краткосрочных ставок % на глобальном рынке, перестанет существовать, то возникает новая дополнительная проблема, какую базовую ставку использовать банкам при определении ставок фондирования и ставок по активным операциям.</w:t>
      </w:r>
    </w:p>
    <w:p w:rsidR="006C4F74" w:rsidRPr="00802D35" w:rsidRDefault="00C471CA" w:rsidP="008C0E8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Таким образом, финансирование активных операций в одной валюте за счет  инструментов фондирования в другой валюте возможно (пунктирные линии на рисунке), но при соблюдении принципа срочности фондирования и дополнительном анализе результатов проводимых банком операций. </w:t>
      </w:r>
    </w:p>
    <w:p w:rsidR="00C471CA" w:rsidRPr="00802D35" w:rsidRDefault="00C471CA" w:rsidP="008C0E8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Итак, рассмотрим различные варианты инструментов фондирования и </w:t>
      </w:r>
      <w:r w:rsidRPr="00802D35">
        <w:rPr>
          <w:rFonts w:ascii="Times New Roman" w:hAnsi="Times New Roman" w:cs="Times New Roman"/>
          <w:sz w:val="28"/>
          <w:szCs w:val="28"/>
        </w:rPr>
        <w:lastRenderedPageBreak/>
        <w:t xml:space="preserve">возможности их использования для активных операций банка, а также возможные условности (рисунок </w:t>
      </w:r>
      <w:r w:rsidR="00E361BD" w:rsidRPr="00802D35">
        <w:rPr>
          <w:rFonts w:ascii="Times New Roman" w:hAnsi="Times New Roman" w:cs="Times New Roman"/>
          <w:sz w:val="28"/>
          <w:szCs w:val="28"/>
        </w:rPr>
        <w:t>10</w:t>
      </w:r>
      <w:r w:rsidRPr="00802D35">
        <w:rPr>
          <w:rFonts w:ascii="Times New Roman" w:hAnsi="Times New Roman" w:cs="Times New Roman"/>
          <w:sz w:val="28"/>
          <w:szCs w:val="28"/>
        </w:rPr>
        <w:t>).</w:t>
      </w:r>
    </w:p>
    <w:p w:rsidR="00C471CA" w:rsidRPr="00802D35" w:rsidRDefault="005368DA" w:rsidP="008C0E8A">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3986530</wp:posOffset>
                </wp:positionH>
                <wp:positionV relativeFrom="paragraph">
                  <wp:posOffset>24130</wp:posOffset>
                </wp:positionV>
                <wp:extent cx="2139315" cy="452755"/>
                <wp:effectExtent l="57150" t="38100" r="70485" b="99695"/>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45275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C2C64" w:rsidRPr="00A24282" w:rsidRDefault="000C2C64" w:rsidP="00C67E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Вклады до востребования населения и компаний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3.9pt;margin-top:1.9pt;width:168.45pt;height:35.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" fillcolor="#cdddac [1622]" strokecolor="#94b64e [3046]">
                <v:fill color2="#f0f4e6 [502]" rotate="t" angle="180" colors="0 #dafda7;22938f #e4fdc2;1 #f5ffe6" focus="100%" type="gradient"/>
                <v:shadow on="t" color="black" opacity="24903f" origin=",.5" offset="0,.55556mm"/>
                <v:textbox>
                  <w:txbxContent>
                    <w:p w:rsidR="000C2C64" w:rsidRPr="00A24282" w:rsidRDefault="000C2C64" w:rsidP="00C67E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Вклады до востребования населения и компаний</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simplePos x="0" y="0"/>
                <wp:positionH relativeFrom="column">
                  <wp:posOffset>1889760</wp:posOffset>
                </wp:positionH>
                <wp:positionV relativeFrom="paragraph">
                  <wp:posOffset>197485</wp:posOffset>
                </wp:positionV>
                <wp:extent cx="2097405" cy="906145"/>
                <wp:effectExtent l="38100" t="0" r="17145" b="6540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7405" cy="906145"/>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38" o:spid="_x0000_s1026" type="#_x0000_t32" style="position:absolute;margin-left:148.8pt;margin-top:15.55pt;width:165.15pt;height:71.3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" strokecolor="#94b64e [3046]">
                <v:stroke endarrow="open"/>
                <o:lock v:ext="edit" shapetype="f"/>
              </v:shape>
            </w:pict>
          </mc:Fallback>
        </mc:AlternateContent>
      </w:r>
    </w:p>
    <w:p w:rsidR="006C4F74" w:rsidRPr="00802D35" w:rsidRDefault="006C4F74" w:rsidP="008C0E8A">
      <w:pPr>
        <w:widowControl w:val="0"/>
        <w:spacing w:after="0" w:line="240" w:lineRule="auto"/>
        <w:jc w:val="both"/>
        <w:rPr>
          <w:rFonts w:ascii="Times New Roman" w:hAnsi="Times New Roman" w:cs="Times New Roman"/>
          <w:sz w:val="28"/>
          <w:szCs w:val="28"/>
        </w:rPr>
      </w:pPr>
    </w:p>
    <w:p w:rsidR="006C4F74"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3986530</wp:posOffset>
                </wp:positionH>
                <wp:positionV relativeFrom="paragraph">
                  <wp:posOffset>65405</wp:posOffset>
                </wp:positionV>
                <wp:extent cx="2139315" cy="427990"/>
                <wp:effectExtent l="57150" t="38100" r="70485" b="86360"/>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42799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Срочные вклады населения и компаний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13.9pt;margin-top:5.15pt;width:168.45pt;height:3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" fillcolor="#a5d5e2 [1624]" strokecolor="#40a7c2 [3048]">
                <v:fill color2="#e4f2f6 [504]" rotate="t" angle="180" colors="0 #9eeaff;22938f #bbefff;1 #e4f9ff" focus="100%" type="gradient"/>
                <v:shadow on="t" color="black" opacity="24903f" origin=",.5" offset="0,.55556mm"/>
                <v:textbo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Срочные вклады населения и компаний</w:t>
                      </w:r>
                    </w:p>
                  </w:txbxContent>
                </v:textbox>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simplePos x="0" y="0"/>
                <wp:positionH relativeFrom="column">
                  <wp:posOffset>1889760</wp:posOffset>
                </wp:positionH>
                <wp:positionV relativeFrom="paragraph">
                  <wp:posOffset>70485</wp:posOffset>
                </wp:positionV>
                <wp:extent cx="2097405" cy="1904365"/>
                <wp:effectExtent l="38100" t="0" r="17145" b="57785"/>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7405" cy="1904365"/>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6" o:spid="_x0000_s1026" type="#_x0000_t32" style="position:absolute;margin-left:148.8pt;margin-top:5.55pt;width:165.15pt;height:149.9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" strokecolor="#40a7c2 [3048]">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simplePos x="0" y="0"/>
                <wp:positionH relativeFrom="column">
                  <wp:posOffset>1889760</wp:posOffset>
                </wp:positionH>
                <wp:positionV relativeFrom="paragraph">
                  <wp:posOffset>70485</wp:posOffset>
                </wp:positionV>
                <wp:extent cx="2097405" cy="1241425"/>
                <wp:effectExtent l="38100" t="0" r="17145" b="53975"/>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7405" cy="1241425"/>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5" o:spid="_x0000_s1026" type="#_x0000_t32" style="position:absolute;margin-left:148.8pt;margin-top:5.55pt;width:165.15pt;height:97.7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" strokecolor="#40a7c2 [3048]">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1889760</wp:posOffset>
                </wp:positionH>
                <wp:positionV relativeFrom="paragraph">
                  <wp:posOffset>70485</wp:posOffset>
                </wp:positionV>
                <wp:extent cx="2096770" cy="419735"/>
                <wp:effectExtent l="38100" t="0" r="17780" b="94615"/>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6770" cy="419735"/>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0" o:spid="_x0000_s1026" type="#_x0000_t32" style="position:absolute;margin-left:148.8pt;margin-top:5.55pt;width:165.1pt;height:33.0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" strokecolor="#40a7c2 [3048]">
                <v:stroke endarrow="open"/>
                <o:lock v:ext="edit" shapetype="f"/>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3986530</wp:posOffset>
                </wp:positionH>
                <wp:positionV relativeFrom="paragraph">
                  <wp:posOffset>184785</wp:posOffset>
                </wp:positionV>
                <wp:extent cx="2139315" cy="469900"/>
                <wp:effectExtent l="57150" t="38100" r="70485" b="101600"/>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4699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Вклады финансовых институтов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13.9pt;margin-top:14.55pt;width:168.45pt;height: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textbo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Вклады финансовых институтов </w:t>
                      </w:r>
                    </w:p>
                  </w:txbxContent>
                </v:textbox>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simplePos x="0" y="0"/>
                <wp:positionH relativeFrom="column">
                  <wp:posOffset>1889760</wp:posOffset>
                </wp:positionH>
                <wp:positionV relativeFrom="paragraph">
                  <wp:posOffset>190500</wp:posOffset>
                </wp:positionV>
                <wp:extent cx="2096770" cy="1375410"/>
                <wp:effectExtent l="38100" t="0" r="17780" b="5334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6770" cy="137541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148.8pt;margin-top:15pt;width:165.1pt;height:108.3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" strokecolor="#94b64e [3046]">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768832" behindDoc="0" locked="0" layoutInCell="1" allowOverlap="1">
                <wp:simplePos x="0" y="0"/>
                <wp:positionH relativeFrom="column">
                  <wp:posOffset>1889760</wp:posOffset>
                </wp:positionH>
                <wp:positionV relativeFrom="paragraph">
                  <wp:posOffset>190499</wp:posOffset>
                </wp:positionV>
                <wp:extent cx="2096770" cy="0"/>
                <wp:effectExtent l="38100" t="76200" r="0" b="114300"/>
                <wp:wrapNone/>
                <wp:docPr id="344"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6770" cy="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4" o:spid="_x0000_s1026" type="#_x0000_t32" style="position:absolute;margin-left:148.8pt;margin-top:15pt;width:165.1pt;height:0;flip:x;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" strokecolor="#94b64e [3046]">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simplePos x="0" y="0"/>
                <wp:positionH relativeFrom="column">
                  <wp:posOffset>1889760</wp:posOffset>
                </wp:positionH>
                <wp:positionV relativeFrom="paragraph">
                  <wp:posOffset>189865</wp:posOffset>
                </wp:positionV>
                <wp:extent cx="2096770" cy="713740"/>
                <wp:effectExtent l="38100" t="0" r="17780" b="86360"/>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6770" cy="71374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41" o:spid="_x0000_s1026" type="#_x0000_t32" style="position:absolute;margin-left:148.8pt;margin-top:14.95pt;width:165.1pt;height:56.2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" strokecolor="#94b64e [3046]">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simplePos x="0" y="0"/>
                <wp:positionH relativeFrom="column">
                  <wp:posOffset>1889760</wp:posOffset>
                </wp:positionH>
                <wp:positionV relativeFrom="paragraph">
                  <wp:posOffset>81280</wp:posOffset>
                </wp:positionV>
                <wp:extent cx="2097405" cy="704850"/>
                <wp:effectExtent l="38100" t="57150" r="17145" b="19050"/>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7405" cy="70485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39" o:spid="_x0000_s1026" type="#_x0000_t32" style="position:absolute;margin-left:148.8pt;margin-top:6.4pt;width:165.15pt;height:55.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" strokecolor="#94b64e [3046]">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simplePos x="0" y="0"/>
                <wp:positionH relativeFrom="column">
                  <wp:posOffset>18415</wp:posOffset>
                </wp:positionH>
                <wp:positionV relativeFrom="paragraph">
                  <wp:posOffset>79375</wp:posOffset>
                </wp:positionV>
                <wp:extent cx="1870710" cy="318770"/>
                <wp:effectExtent l="76200" t="38100" r="91440" b="119380"/>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1877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0C2C64" w:rsidRPr="00A24282" w:rsidRDefault="000C2C64" w:rsidP="00C67E6E">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Краткосрочные активы</w:t>
                            </w: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45pt;margin-top:6.25pt;width:147.3pt;height:2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" fillcolor="#254163 [1636]" stroked="f">
                <v:fill color2="#4477b6 [3012]" rotate="t" angle="180" colors="0 #2c5d98;52429f #3c7bc7;1 #3a7ccb" focus="100%" type="gradient">
                  <o:fill v:ext="view" type="gradientUnscaled"/>
                </v:fill>
                <v:shadow on="t" color="black" opacity="22937f" origin=",.5" offset="0,.63889mm"/>
                <v:textbox>
                  <w:txbxContent>
                    <w:p w:rsidR="000C2C64" w:rsidRPr="00A24282" w:rsidRDefault="000C2C64" w:rsidP="00C67E6E">
                      <w:pPr>
                        <w:jc w:val="center"/>
                        <w:rPr>
                          <w:rFonts w:ascii="Times New Roman" w:hAnsi="Times New Roman" w:cs="Times New Roman"/>
                          <w:sz w:val="24"/>
                          <w:szCs w:val="24"/>
                        </w:rPr>
                      </w:pPr>
                      <w:r w:rsidRPr="00A24282">
                        <w:rPr>
                          <w:rFonts w:ascii="Times New Roman" w:hAnsi="Times New Roman" w:cs="Times New Roman"/>
                          <w:sz w:val="24"/>
                          <w:szCs w:val="24"/>
                        </w:rPr>
                        <w:t>Краткосрочные активы</w:t>
                      </w:r>
                      <w:r>
                        <w:rPr>
                          <w:rFonts w:ascii="Times New Roman" w:hAnsi="Times New Roman" w:cs="Times New Roman"/>
                          <w:sz w:val="24"/>
                          <w:szCs w:val="24"/>
                        </w:rPr>
                        <w:t xml:space="preserve"> </w:t>
                      </w:r>
                    </w:p>
                  </w:txbxContent>
                </v:textbox>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simplePos x="0" y="0"/>
                <wp:positionH relativeFrom="column">
                  <wp:posOffset>1889125</wp:posOffset>
                </wp:positionH>
                <wp:positionV relativeFrom="paragraph">
                  <wp:posOffset>73025</wp:posOffset>
                </wp:positionV>
                <wp:extent cx="2096135" cy="1442085"/>
                <wp:effectExtent l="38100" t="38100" r="18415" b="24765"/>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6135" cy="1442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49" o:spid="_x0000_s1026" type="#_x0000_t32" style="position:absolute;margin-left:148.75pt;margin-top:5.75pt;width:165.05pt;height:113.5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" strokecolor="#4579b8 [3044]">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simplePos x="0" y="0"/>
                <wp:positionH relativeFrom="column">
                  <wp:posOffset>1889125</wp:posOffset>
                </wp:positionH>
                <wp:positionV relativeFrom="paragraph">
                  <wp:posOffset>198755</wp:posOffset>
                </wp:positionV>
                <wp:extent cx="2096135" cy="1920240"/>
                <wp:effectExtent l="38100" t="38100" r="18415" b="22860"/>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6135" cy="19202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54" o:spid="_x0000_s1026" type="#_x0000_t32" style="position:absolute;margin-left:148.75pt;margin-top:15.65pt;width:165.05pt;height:151.2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" strokecolor="#4579b8 [3044]">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simplePos x="0" y="0"/>
                <wp:positionH relativeFrom="column">
                  <wp:posOffset>1889760</wp:posOffset>
                </wp:positionH>
                <wp:positionV relativeFrom="paragraph">
                  <wp:posOffset>27940</wp:posOffset>
                </wp:positionV>
                <wp:extent cx="2096770" cy="956310"/>
                <wp:effectExtent l="38100" t="38100" r="17780" b="34290"/>
                <wp:wrapNone/>
                <wp:docPr id="364"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6770" cy="956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64" o:spid="_x0000_s1026" type="#_x0000_t32" style="position:absolute;margin-left:148.8pt;margin-top:2.2pt;width:165.1pt;height:75.3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" strokecolor="#4579b8 [3044]">
                <v:stroke endarrow="open"/>
                <o:lock v:ext="edit" shapetype="f"/>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3986530</wp:posOffset>
                </wp:positionH>
                <wp:positionV relativeFrom="paragraph">
                  <wp:posOffset>108585</wp:posOffset>
                </wp:positionV>
                <wp:extent cx="2139315" cy="461645"/>
                <wp:effectExtent l="57150" t="38100" r="70485" b="90805"/>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46164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Остатки на текущих счетах и коррсчетах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13.9pt;margin-top:8.55pt;width:168.45pt;height:36.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" fillcolor="#cdddac [1622]" strokecolor="#94b64e [3046]">
                <v:fill color2="#f0f4e6 [502]" rotate="t" angle="180" colors="0 #dafda7;22938f #e4fdc2;1 #f5ffe6" focus="100%" type="gradient"/>
                <v:shadow on="t" color="black" opacity="24903f" origin=",.5" offset="0,.55556mm"/>
                <v:textbo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Остатки на текущих счетах и коррсчетах </w:t>
                      </w:r>
                    </w:p>
                  </w:txbxContent>
                </v:textbox>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simplePos x="0" y="0"/>
                <wp:positionH relativeFrom="column">
                  <wp:posOffset>19685</wp:posOffset>
                </wp:positionH>
                <wp:positionV relativeFrom="paragraph">
                  <wp:posOffset>172720</wp:posOffset>
                </wp:positionV>
                <wp:extent cx="1870710" cy="318770"/>
                <wp:effectExtent l="76200" t="38100" r="91440" b="119380"/>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1877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0C2C64" w:rsidRPr="00A24282" w:rsidRDefault="000C2C64" w:rsidP="00C67E6E">
                            <w:pPr>
                              <w:jc w:val="center"/>
                              <w:rPr>
                                <w:rFonts w:ascii="Times New Roman" w:hAnsi="Times New Roman" w:cs="Times New Roman"/>
                                <w:sz w:val="24"/>
                                <w:szCs w:val="24"/>
                              </w:rPr>
                            </w:pPr>
                            <w:r>
                              <w:rPr>
                                <w:rFonts w:ascii="Times New Roman" w:hAnsi="Times New Roman" w:cs="Times New Roman"/>
                                <w:sz w:val="24"/>
                                <w:szCs w:val="24"/>
                              </w:rPr>
                              <w:t>Средне</w:t>
                            </w:r>
                            <w:r w:rsidRPr="00A24282">
                              <w:rPr>
                                <w:rFonts w:ascii="Times New Roman" w:hAnsi="Times New Roman" w:cs="Times New Roman"/>
                                <w:sz w:val="24"/>
                                <w:szCs w:val="24"/>
                              </w:rPr>
                              <w:t>срочные активы</w:t>
                            </w: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55pt;margin-top:13.6pt;width:147.3pt;height:2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" fillcolor="#254163 [1636]" stroked="f">
                <v:fill color2="#4477b6 [3012]" rotate="t" angle="180" colors="0 #2c5d98;52429f #3c7bc7;1 #3a7ccb" focus="100%" type="gradient">
                  <o:fill v:ext="view" type="gradientUnscaled"/>
                </v:fill>
                <v:shadow on="t" color="black" opacity="22937f" origin=",.5" offset="0,.63889mm"/>
                <v:textbox>
                  <w:txbxContent>
                    <w:p w:rsidR="000C2C64" w:rsidRPr="00A24282" w:rsidRDefault="000C2C64" w:rsidP="00C67E6E">
                      <w:pPr>
                        <w:jc w:val="center"/>
                        <w:rPr>
                          <w:rFonts w:ascii="Times New Roman" w:hAnsi="Times New Roman" w:cs="Times New Roman"/>
                          <w:sz w:val="24"/>
                          <w:szCs w:val="24"/>
                        </w:rPr>
                      </w:pPr>
                      <w:r>
                        <w:rPr>
                          <w:rFonts w:ascii="Times New Roman" w:hAnsi="Times New Roman" w:cs="Times New Roman"/>
                          <w:sz w:val="24"/>
                          <w:szCs w:val="24"/>
                        </w:rPr>
                        <w:t>Средне</w:t>
                      </w:r>
                      <w:r w:rsidRPr="00A24282">
                        <w:rPr>
                          <w:rFonts w:ascii="Times New Roman" w:hAnsi="Times New Roman" w:cs="Times New Roman"/>
                          <w:sz w:val="24"/>
                          <w:szCs w:val="24"/>
                        </w:rPr>
                        <w:t>срочные активы</w:t>
                      </w:r>
                      <w:r>
                        <w:rPr>
                          <w:rFonts w:ascii="Times New Roman" w:hAnsi="Times New Roman" w:cs="Times New Roman"/>
                          <w:sz w:val="24"/>
                          <w:szCs w:val="24"/>
                        </w:rPr>
                        <w:t xml:space="preserve"> </w:t>
                      </w:r>
                    </w:p>
                  </w:txbxContent>
                </v:textbox>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simplePos x="0" y="0"/>
                <wp:positionH relativeFrom="column">
                  <wp:posOffset>1889125</wp:posOffset>
                </wp:positionH>
                <wp:positionV relativeFrom="paragraph">
                  <wp:posOffset>106045</wp:posOffset>
                </wp:positionV>
                <wp:extent cx="2096770" cy="1911985"/>
                <wp:effectExtent l="38100" t="38100" r="17780" b="31115"/>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6770" cy="1911985"/>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43" o:spid="_x0000_s1026" type="#_x0000_t32" style="position:absolute;margin-left:148.75pt;margin-top:8.35pt;width:165.1pt;height:150.5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" strokecolor="#f68c36 [3049]">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simplePos x="0" y="0"/>
                <wp:positionH relativeFrom="column">
                  <wp:posOffset>1889125</wp:posOffset>
                </wp:positionH>
                <wp:positionV relativeFrom="paragraph">
                  <wp:posOffset>164465</wp:posOffset>
                </wp:positionV>
                <wp:extent cx="2096770" cy="2214245"/>
                <wp:effectExtent l="38100" t="38100" r="17780" b="33655"/>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6770" cy="221424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50" o:spid="_x0000_s1026" type="#_x0000_t32" style="position:absolute;margin-left:148.75pt;margin-top:12.95pt;width:165.1pt;height:174.3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" strokecolor="#bc4542 [3045]">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1889760</wp:posOffset>
                </wp:positionH>
                <wp:positionV relativeFrom="paragraph">
                  <wp:posOffset>85725</wp:posOffset>
                </wp:positionV>
                <wp:extent cx="2096770" cy="285115"/>
                <wp:effectExtent l="38100" t="76200" r="17780" b="19685"/>
                <wp:wrapNone/>
                <wp:docPr id="342" name="Прямая со стрелкой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6770" cy="2851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42" o:spid="_x0000_s1026" type="#_x0000_t32" style="position:absolute;margin-left:148.8pt;margin-top:6.75pt;width:165.1pt;height:22.4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" strokecolor="#4579b8 [3044]">
                <v:stroke endarrow="open"/>
                <o:lock v:ext="edit" shapetype="f"/>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simplePos x="0" y="0"/>
                <wp:positionH relativeFrom="column">
                  <wp:posOffset>1889760</wp:posOffset>
                </wp:positionH>
                <wp:positionV relativeFrom="paragraph">
                  <wp:posOffset>86360</wp:posOffset>
                </wp:positionV>
                <wp:extent cx="2097405" cy="1216025"/>
                <wp:effectExtent l="38100" t="38100" r="17145" b="22225"/>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7405" cy="1216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53" o:spid="_x0000_s1026" type="#_x0000_t32" style="position:absolute;margin-left:148.8pt;margin-top:6.8pt;width:165.15pt;height:95.7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" strokecolor="#4579b8 [3044]">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simplePos x="0" y="0"/>
                <wp:positionH relativeFrom="column">
                  <wp:posOffset>1889760</wp:posOffset>
                </wp:positionH>
                <wp:positionV relativeFrom="paragraph">
                  <wp:posOffset>166370</wp:posOffset>
                </wp:positionV>
                <wp:extent cx="2096770" cy="377190"/>
                <wp:effectExtent l="38100" t="0" r="17780" b="99060"/>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6770" cy="377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7" o:spid="_x0000_s1026" type="#_x0000_t32" style="position:absolute;margin-left:148.8pt;margin-top:13.1pt;width:165.1pt;height:29.7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" strokecolor="#4579b8 [3044]">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simplePos x="0" y="0"/>
                <wp:positionH relativeFrom="column">
                  <wp:posOffset>3986530</wp:posOffset>
                </wp:positionH>
                <wp:positionV relativeFrom="paragraph">
                  <wp:posOffset>15240</wp:posOffset>
                </wp:positionV>
                <wp:extent cx="2139315" cy="318770"/>
                <wp:effectExtent l="57150" t="38100" r="70485" b="100330"/>
                <wp:wrapNone/>
                <wp:docPr id="3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31877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C2C64" w:rsidRPr="00A24282" w:rsidRDefault="000C2C64" w:rsidP="00C67E6E">
                            <w:pPr>
                              <w:jc w:val="center"/>
                              <w:rPr>
                                <w:rFonts w:ascii="Times New Roman" w:hAnsi="Times New Roman" w:cs="Times New Roman"/>
                                <w:sz w:val="24"/>
                                <w:szCs w:val="24"/>
                              </w:rPr>
                            </w:pPr>
                            <w:r>
                              <w:rPr>
                                <w:rFonts w:ascii="Times New Roman" w:hAnsi="Times New Roman" w:cs="Times New Roman"/>
                                <w:sz w:val="24"/>
                                <w:szCs w:val="24"/>
                              </w:rPr>
                              <w:t xml:space="preserve">Банковские сертификаты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13.9pt;margin-top:1.2pt;width:168.45pt;height:2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" fillcolor="#a7bfde [1620]" strokecolor="#4579b8 [3044]">
                <v:fill color2="#e4ecf5 [500]" rotate="t" angle="180" colors="0 #a3c4ff;22938f #bfd5ff;1 #e5eeff" focus="100%" type="gradient"/>
                <v:shadow on="t" color="black" opacity="24903f" origin=",.5" offset="0,.55556mm"/>
                <v:textbox>
                  <w:txbxContent>
                    <w:p w:rsidR="000C2C64" w:rsidRPr="00A24282" w:rsidRDefault="000C2C64" w:rsidP="00C67E6E">
                      <w:pPr>
                        <w:jc w:val="center"/>
                        <w:rPr>
                          <w:rFonts w:ascii="Times New Roman" w:hAnsi="Times New Roman" w:cs="Times New Roman"/>
                          <w:sz w:val="24"/>
                          <w:szCs w:val="24"/>
                        </w:rPr>
                      </w:pPr>
                      <w:r>
                        <w:rPr>
                          <w:rFonts w:ascii="Times New Roman" w:hAnsi="Times New Roman" w:cs="Times New Roman"/>
                          <w:sz w:val="24"/>
                          <w:szCs w:val="24"/>
                        </w:rPr>
                        <w:t xml:space="preserve">Банковские сертификаты </w:t>
                      </w:r>
                    </w:p>
                  </w:txbxContent>
                </v:textbox>
              </v:shape>
            </w:pict>
          </mc:Fallback>
        </mc:AlternateContent>
      </w:r>
    </w:p>
    <w:p w:rsidR="00C67E6E" w:rsidRPr="00802D35" w:rsidRDefault="00C67E6E" w:rsidP="008C0E8A">
      <w:pPr>
        <w:widowControl w:val="0"/>
        <w:spacing w:after="0" w:line="240" w:lineRule="auto"/>
        <w:jc w:val="both"/>
        <w:rPr>
          <w:rFonts w:ascii="Times New Roman" w:hAnsi="Times New Roman" w:cs="Times New Roman"/>
          <w:sz w:val="28"/>
          <w:szCs w:val="28"/>
        </w:rPr>
      </w:pP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simplePos x="0" y="0"/>
                <wp:positionH relativeFrom="column">
                  <wp:posOffset>3985260</wp:posOffset>
                </wp:positionH>
                <wp:positionV relativeFrom="paragraph">
                  <wp:posOffset>28575</wp:posOffset>
                </wp:positionV>
                <wp:extent cx="2138680" cy="444500"/>
                <wp:effectExtent l="57150" t="38100" r="71120" b="88900"/>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4445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Займы последней инстанции и РЕПО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13.8pt;margin-top:2.25pt;width:168.4pt;height: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" fillcolor="#a7bfde [1620]" strokecolor="#4579b8 [3044]">
                <v:fill color2="#e4ecf5 [500]" rotate="t" angle="180" colors="0 #a3c4ff;22938f #bfd5ff;1 #e5eeff" focus="100%" type="gradient"/>
                <v:shadow on="t" color="black" opacity="24903f" origin=",.5" offset="0,.55556mm"/>
                <v:textbo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Займы последней инстанции и РЕПО</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simplePos x="0" y="0"/>
                <wp:positionH relativeFrom="column">
                  <wp:posOffset>19685</wp:posOffset>
                </wp:positionH>
                <wp:positionV relativeFrom="paragraph">
                  <wp:posOffset>26035</wp:posOffset>
                </wp:positionV>
                <wp:extent cx="1870710" cy="318770"/>
                <wp:effectExtent l="76200" t="38100" r="91440" b="119380"/>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1877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0C2C64" w:rsidRPr="00A24282" w:rsidRDefault="000C2C64" w:rsidP="00C67E6E">
                            <w:pPr>
                              <w:jc w:val="center"/>
                              <w:rPr>
                                <w:rFonts w:ascii="Times New Roman" w:hAnsi="Times New Roman" w:cs="Times New Roman"/>
                                <w:sz w:val="24"/>
                                <w:szCs w:val="24"/>
                              </w:rPr>
                            </w:pPr>
                            <w:r>
                              <w:rPr>
                                <w:rFonts w:ascii="Times New Roman" w:hAnsi="Times New Roman" w:cs="Times New Roman"/>
                                <w:sz w:val="24"/>
                                <w:szCs w:val="24"/>
                              </w:rPr>
                              <w:t>Долго</w:t>
                            </w:r>
                            <w:r w:rsidRPr="00A24282">
                              <w:rPr>
                                <w:rFonts w:ascii="Times New Roman" w:hAnsi="Times New Roman" w:cs="Times New Roman"/>
                                <w:sz w:val="24"/>
                                <w:szCs w:val="24"/>
                              </w:rPr>
                              <w:t>срочные активы</w:t>
                            </w: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55pt;margin-top:2.05pt;width:147.3pt;height:2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" fillcolor="#254163 [1636]" stroked="f">
                <v:fill color2="#4477b6 [3012]" rotate="t" angle="180" colors="0 #2c5d98;52429f #3c7bc7;1 #3a7ccb" focus="100%" type="gradient">
                  <o:fill v:ext="view" type="gradientUnscaled"/>
                </v:fill>
                <v:shadow on="t" color="black" opacity="22937f" origin=",.5" offset="0,.63889mm"/>
                <v:textbox>
                  <w:txbxContent>
                    <w:p w:rsidR="000C2C64" w:rsidRPr="00A24282" w:rsidRDefault="000C2C64" w:rsidP="00C67E6E">
                      <w:pPr>
                        <w:jc w:val="center"/>
                        <w:rPr>
                          <w:rFonts w:ascii="Times New Roman" w:hAnsi="Times New Roman" w:cs="Times New Roman"/>
                          <w:sz w:val="24"/>
                          <w:szCs w:val="24"/>
                        </w:rPr>
                      </w:pPr>
                      <w:r>
                        <w:rPr>
                          <w:rFonts w:ascii="Times New Roman" w:hAnsi="Times New Roman" w:cs="Times New Roman"/>
                          <w:sz w:val="24"/>
                          <w:szCs w:val="24"/>
                        </w:rPr>
                        <w:t>Долго</w:t>
                      </w:r>
                      <w:r w:rsidRPr="00A24282">
                        <w:rPr>
                          <w:rFonts w:ascii="Times New Roman" w:hAnsi="Times New Roman" w:cs="Times New Roman"/>
                          <w:sz w:val="24"/>
                          <w:szCs w:val="24"/>
                        </w:rPr>
                        <w:t>срочные активы</w:t>
                      </w:r>
                      <w:r>
                        <w:rPr>
                          <w:rFonts w:ascii="Times New Roman" w:hAnsi="Times New Roman" w:cs="Times New Roman"/>
                          <w:sz w:val="24"/>
                          <w:szCs w:val="24"/>
                        </w:rPr>
                        <w:t xml:space="preserve"> </w:t>
                      </w:r>
                    </w:p>
                  </w:txbxContent>
                </v:textbox>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simplePos x="0" y="0"/>
                <wp:positionH relativeFrom="column">
                  <wp:posOffset>1889125</wp:posOffset>
                </wp:positionH>
                <wp:positionV relativeFrom="paragraph">
                  <wp:posOffset>9525</wp:posOffset>
                </wp:positionV>
                <wp:extent cx="2096770" cy="1190625"/>
                <wp:effectExtent l="38100" t="38100" r="17780" b="28575"/>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6770" cy="1190625"/>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48" o:spid="_x0000_s1026" type="#_x0000_t32" style="position:absolute;margin-left:148.75pt;margin-top:.75pt;width:165.1pt;height:93.7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" strokecolor="#f68c36 [3049]">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simplePos x="0" y="0"/>
                <wp:positionH relativeFrom="column">
                  <wp:posOffset>1788795</wp:posOffset>
                </wp:positionH>
                <wp:positionV relativeFrom="paragraph">
                  <wp:posOffset>193675</wp:posOffset>
                </wp:positionV>
                <wp:extent cx="2197735" cy="545465"/>
                <wp:effectExtent l="38100" t="57150" r="12065" b="2603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97735" cy="545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52" o:spid="_x0000_s1026" type="#_x0000_t32" style="position:absolute;margin-left:140.85pt;margin-top:15.25pt;width:173.05pt;height:42.9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" strokecolor="#4579b8 [3044]">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simplePos x="0" y="0"/>
                <wp:positionH relativeFrom="column">
                  <wp:posOffset>1889125</wp:posOffset>
                </wp:positionH>
                <wp:positionV relativeFrom="paragraph">
                  <wp:posOffset>85090</wp:posOffset>
                </wp:positionV>
                <wp:extent cx="2096770" cy="1476375"/>
                <wp:effectExtent l="38100" t="38100" r="17780" b="28575"/>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96770" cy="14763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51" o:spid="_x0000_s1026" type="#_x0000_t32" style="position:absolute;margin-left:148.75pt;margin-top:6.7pt;width:165.1pt;height:116.25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" strokecolor="#bc4542 [3045]">
                <v:stroke endarrow="open"/>
                <o:lock v:ext="edit" shapetype="f"/>
              </v:shape>
            </w:pict>
          </mc:Fallback>
        </mc:AlternateContent>
      </w:r>
    </w:p>
    <w:p w:rsidR="00C67E6E"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simplePos x="0" y="0"/>
                <wp:positionH relativeFrom="column">
                  <wp:posOffset>3985895</wp:posOffset>
                </wp:positionH>
                <wp:positionV relativeFrom="paragraph">
                  <wp:posOffset>151130</wp:posOffset>
                </wp:positionV>
                <wp:extent cx="2138680" cy="662305"/>
                <wp:effectExtent l="57150" t="38100" r="71120" b="99695"/>
                <wp:wrapNone/>
                <wp:docPr id="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6230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0C2C64" w:rsidRPr="00A24282" w:rsidRDefault="000C2C64" w:rsidP="007F02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Структурные, синтетические и секьюритизированные  продукты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13.85pt;margin-top:11.9pt;width:168.4pt;height:52.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" fillcolor="#a7bfde [1620]" strokecolor="#4579b8 [3044]">
                <v:fill color2="#e4ecf5 [500]" rotate="t" angle="180" colors="0 #a3c4ff;22938f #bfd5ff;1 #e5eeff" focus="100%" type="gradient"/>
                <v:shadow on="t" color="black" opacity="24903f" origin=",.5" offset="0,.55556mm"/>
                <v:textbox>
                  <w:txbxContent>
                    <w:p w:rsidR="000C2C64" w:rsidRPr="00A24282" w:rsidRDefault="000C2C64" w:rsidP="007F02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Структурные, синтетические и секьюритизированные  продукты</w:t>
                      </w:r>
                    </w:p>
                  </w:txbxContent>
                </v:textbox>
              </v:shape>
            </w:pict>
          </mc:Fallback>
        </mc:AlternateContent>
      </w:r>
    </w:p>
    <w:p w:rsidR="00BC216B" w:rsidRPr="00802D35" w:rsidRDefault="00BC216B" w:rsidP="008C0E8A">
      <w:pPr>
        <w:widowControl w:val="0"/>
        <w:spacing w:after="0" w:line="240" w:lineRule="auto"/>
        <w:jc w:val="both"/>
        <w:rPr>
          <w:rFonts w:ascii="Times New Roman" w:hAnsi="Times New Roman" w:cs="Times New Roman"/>
          <w:sz w:val="28"/>
          <w:szCs w:val="28"/>
        </w:rPr>
      </w:pPr>
    </w:p>
    <w:p w:rsidR="00BC216B"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simplePos x="0" y="0"/>
                <wp:positionH relativeFrom="column">
                  <wp:posOffset>1592580</wp:posOffset>
                </wp:positionH>
                <wp:positionV relativeFrom="paragraph">
                  <wp:posOffset>128270</wp:posOffset>
                </wp:positionV>
                <wp:extent cx="821690" cy="301625"/>
                <wp:effectExtent l="0" t="0" r="0" b="3175"/>
                <wp:wrapNone/>
                <wp:docPr id="3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301625"/>
                        </a:xfrm>
                        <a:prstGeom prst="rect">
                          <a:avLst/>
                        </a:prstGeom>
                        <a:noFill/>
                        <a:ln w="9525">
                          <a:noFill/>
                          <a:miter lim="800000"/>
                          <a:headEnd/>
                          <a:tailEnd/>
                        </a:ln>
                      </wps:spPr>
                      <wps:txbx>
                        <w:txbxContent>
                          <w:p w:rsidR="000C2C64" w:rsidRPr="008F4933" w:rsidRDefault="000C2C64" w:rsidP="008F4933">
                            <w:pPr>
                              <w:rPr>
                                <w:rFonts w:ascii="Times New Roman" w:hAnsi="Times New Roman" w:cs="Times New Roman"/>
                              </w:rPr>
                            </w:pPr>
                            <w:r>
                              <w:rPr>
                                <w:rFonts w:ascii="Times New Roman" w:hAnsi="Times New Roman" w:cs="Times New Roman"/>
                              </w:rPr>
                              <w:t>дорогие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25.4pt;margin-top:10.1pt;width:64.7pt;height:2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" filled="f" stroked="f">
                <v:textbox>
                  <w:txbxContent>
                    <w:p w:rsidR="000C2C64" w:rsidRPr="008F4933" w:rsidRDefault="000C2C64" w:rsidP="008F4933">
                      <w:pPr>
                        <w:rPr>
                          <w:rFonts w:ascii="Times New Roman" w:hAnsi="Times New Roman" w:cs="Times New Roman"/>
                        </w:rPr>
                      </w:pPr>
                      <w:r>
                        <w:rPr>
                          <w:rFonts w:ascii="Times New Roman" w:hAnsi="Times New Roman" w:cs="Times New Roman"/>
                        </w:rPr>
                        <w:t>дорогие</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simplePos x="0" y="0"/>
                <wp:positionH relativeFrom="column">
                  <wp:posOffset>-26670</wp:posOffset>
                </wp:positionH>
                <wp:positionV relativeFrom="paragraph">
                  <wp:posOffset>127635</wp:posOffset>
                </wp:positionV>
                <wp:extent cx="821690" cy="301625"/>
                <wp:effectExtent l="0" t="0" r="0" b="3175"/>
                <wp:wrapNone/>
                <wp:docPr id="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301625"/>
                        </a:xfrm>
                        <a:prstGeom prst="rect">
                          <a:avLst/>
                        </a:prstGeom>
                        <a:noFill/>
                        <a:ln w="9525">
                          <a:noFill/>
                          <a:miter lim="800000"/>
                          <a:headEnd/>
                          <a:tailEnd/>
                        </a:ln>
                      </wps:spPr>
                      <wps:txbx>
                        <w:txbxContent>
                          <w:p w:rsidR="000C2C64" w:rsidRPr="008F4933" w:rsidRDefault="000C2C64">
                            <w:pPr>
                              <w:rPr>
                                <w:rFonts w:ascii="Times New Roman" w:hAnsi="Times New Roman" w:cs="Times New Roman"/>
                              </w:rPr>
                            </w:pPr>
                            <w:r w:rsidRPr="008F4933">
                              <w:rPr>
                                <w:rFonts w:ascii="Times New Roman" w:hAnsi="Times New Roman" w:cs="Times New Roman"/>
                              </w:rPr>
                              <w:t>дешевые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1pt;margin-top:10.05pt;width:64.7pt;height:2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" filled="f" stroked="f">
                <v:textbox>
                  <w:txbxContent>
                    <w:p w:rsidR="000C2C64" w:rsidRPr="008F4933" w:rsidRDefault="000C2C64">
                      <w:pPr>
                        <w:rPr>
                          <w:rFonts w:ascii="Times New Roman" w:hAnsi="Times New Roman" w:cs="Times New Roman"/>
                        </w:rPr>
                      </w:pPr>
                      <w:r w:rsidRPr="008F4933">
                        <w:rPr>
                          <w:rFonts w:ascii="Times New Roman" w:hAnsi="Times New Roman" w:cs="Times New Roman"/>
                        </w:rPr>
                        <w:t>дешевые</w:t>
                      </w:r>
                    </w:p>
                  </w:txbxContent>
                </v:textbox>
              </v:shape>
            </w:pict>
          </mc:Fallback>
        </mc:AlternateContent>
      </w:r>
    </w:p>
    <w:p w:rsidR="00BC216B"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simplePos x="0" y="0"/>
                <wp:positionH relativeFrom="column">
                  <wp:posOffset>303530</wp:posOffset>
                </wp:positionH>
                <wp:positionV relativeFrom="paragraph">
                  <wp:posOffset>77470</wp:posOffset>
                </wp:positionV>
                <wp:extent cx="1803400" cy="301625"/>
                <wp:effectExtent l="0" t="0" r="0" b="3175"/>
                <wp:wrapNone/>
                <wp:docPr id="3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01625"/>
                        </a:xfrm>
                        <a:prstGeom prst="rect">
                          <a:avLst/>
                        </a:prstGeom>
                        <a:noFill/>
                        <a:ln w="9525">
                          <a:noFill/>
                          <a:miter lim="800000"/>
                          <a:headEnd/>
                          <a:tailEnd/>
                        </a:ln>
                      </wps:spPr>
                      <wps:txbx>
                        <w:txbxContent>
                          <w:p w:rsidR="000C2C64" w:rsidRPr="00060E8B" w:rsidRDefault="000C2C64" w:rsidP="00060E8B">
                            <w:pPr>
                              <w:rPr>
                                <w:rFonts w:ascii="Times New Roman" w:hAnsi="Times New Roman" w:cs="Times New Roman"/>
                                <w:i/>
                                <w:sz w:val="20"/>
                                <w:szCs w:val="20"/>
                              </w:rPr>
                            </w:pPr>
                            <w:r w:rsidRPr="00060E8B">
                              <w:rPr>
                                <w:rFonts w:ascii="Times New Roman" w:hAnsi="Times New Roman" w:cs="Times New Roman"/>
                                <w:i/>
                                <w:sz w:val="20"/>
                                <w:szCs w:val="20"/>
                              </w:rPr>
                              <w:t>стоимость фондирования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3.9pt;margin-top:6.1pt;width:142pt;height:2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" filled="f" stroked="f">
                <v:textbox>
                  <w:txbxContent>
                    <w:p w:rsidR="000C2C64" w:rsidRPr="00060E8B" w:rsidRDefault="000C2C64" w:rsidP="00060E8B">
                      <w:pPr>
                        <w:rPr>
                          <w:rFonts w:ascii="Times New Roman" w:hAnsi="Times New Roman" w:cs="Times New Roman"/>
                          <w:i/>
                          <w:sz w:val="20"/>
                          <w:szCs w:val="20"/>
                        </w:rPr>
                      </w:pPr>
                      <w:r w:rsidRPr="00060E8B">
                        <w:rPr>
                          <w:rFonts w:ascii="Times New Roman" w:hAnsi="Times New Roman" w:cs="Times New Roman"/>
                          <w:i/>
                          <w:sz w:val="20"/>
                          <w:szCs w:val="20"/>
                        </w:rPr>
                        <w:t>стоимость фондирования</w:t>
                      </w:r>
                    </w:p>
                  </w:txbxContent>
                </v:textbox>
              </v:shape>
            </w:pict>
          </mc:Fallback>
        </mc:AlternateContent>
      </w:r>
    </w:p>
    <w:p w:rsidR="00BC216B"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3986530</wp:posOffset>
                </wp:positionH>
                <wp:positionV relativeFrom="paragraph">
                  <wp:posOffset>65405</wp:posOffset>
                </wp:positionV>
                <wp:extent cx="2138680" cy="309880"/>
                <wp:effectExtent l="57150" t="38100" r="71120" b="90170"/>
                <wp:wrapNone/>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30988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Акции, облигации банка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13.9pt;margin-top:5.15pt;width:168.4pt;height:2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" fillcolor="#fbcaa2 [1625]" strokecolor="#f68c36 [3049]">
                <v:fill color2="#fdefe3 [505]" rotate="t" angle="180" colors="0 #ffbe86;22938f #ffd0aa;1 #ffebdb" focus="100%" type="gradient"/>
                <v:shadow on="t" color="black" opacity="24903f" origin=",.5" offset="0,.55556mm"/>
                <v:textbo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Акции, облигации банка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simplePos x="0" y="0"/>
                <wp:positionH relativeFrom="column">
                  <wp:posOffset>1780540</wp:posOffset>
                </wp:positionH>
                <wp:positionV relativeFrom="paragraph">
                  <wp:posOffset>152400</wp:posOffset>
                </wp:positionV>
                <wp:extent cx="427355" cy="167640"/>
                <wp:effectExtent l="57150" t="38100" r="67945" b="99060"/>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16764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63" o:spid="_x0000_s1026" style="position:absolute;margin-left:140.2pt;margin-top:12pt;width:33.65pt;height:1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" fillcolor="#dfa7a6 [1621]" strokecolor="#bc4542 [3045]">
                <v:fill color2="#f5e4e4 [501]" rotate="t" angle="180" colors="0 #ffa2a1;22938f #ffbebd;1 #ffe5e5" focus="100%" type="gradient"/>
                <v:shadow on="t" color="black" opacity="24903f" origin=",.5" offset="0,.55556mm"/>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simplePos x="0" y="0"/>
                <wp:positionH relativeFrom="column">
                  <wp:posOffset>1351280</wp:posOffset>
                </wp:positionH>
                <wp:positionV relativeFrom="paragraph">
                  <wp:posOffset>151130</wp:posOffset>
                </wp:positionV>
                <wp:extent cx="427355" cy="167640"/>
                <wp:effectExtent l="57150" t="38100" r="67945" b="99060"/>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16764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59" o:spid="_x0000_s1026" style="position:absolute;margin-left:106.4pt;margin-top:11.9pt;width:33.65pt;height:13.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" fillcolor="#fbcaa2 [1625]" strokecolor="#f68c36 [3049]">
                <v:fill color2="#fdefe3 [505]" rotate="t" angle="180" colors="0 #ffbe86;22938f #ffd0aa;1 #ffebdb" focus="100%" type="gradient"/>
                <v:shadow on="t" color="black" opacity="24903f" origin=",.5" offset="0,.55556mm"/>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simplePos x="0" y="0"/>
                <wp:positionH relativeFrom="column">
                  <wp:posOffset>923925</wp:posOffset>
                </wp:positionH>
                <wp:positionV relativeFrom="paragraph">
                  <wp:posOffset>151130</wp:posOffset>
                </wp:positionV>
                <wp:extent cx="427355" cy="167640"/>
                <wp:effectExtent l="57150" t="38100" r="67945" b="99060"/>
                <wp:wrapNone/>
                <wp:docPr id="358"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16764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58" o:spid="_x0000_s1026" style="position:absolute;margin-left:72.75pt;margin-top:11.9pt;width:33.65pt;height:13.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" fillcolor="#a7bfde [1620]" strokecolor="#4579b8 [3044]">
                <v:fill color2="#e4ecf5 [500]" rotate="t" angle="180" colors="0 #a3c4ff;22938f #bfd5ff;1 #e5eeff" focus="100%" type="gradient"/>
                <v:shadow on="t" color="black" opacity="24903f" origin=",.5" offset="0,.55556mm"/>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simplePos x="0" y="0"/>
                <wp:positionH relativeFrom="column">
                  <wp:posOffset>497205</wp:posOffset>
                </wp:positionH>
                <wp:positionV relativeFrom="paragraph">
                  <wp:posOffset>151130</wp:posOffset>
                </wp:positionV>
                <wp:extent cx="427355" cy="167640"/>
                <wp:effectExtent l="57150" t="38100" r="67945" b="99060"/>
                <wp:wrapNone/>
                <wp:docPr id="357" name="Прямоугольник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167640"/>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57" o:spid="_x0000_s1026" style="position:absolute;margin-left:39.15pt;margin-top:11.9pt;width:33.65pt;height:1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" fillcolor="#a5d5e2 [1624]" strokecolor="#40a7c2 [3048]">
                <v:fill color2="#e4f2f6 [504]" rotate="t" angle="180" colors="0 #9eeaff;22938f #bbefff;1 #e4f9ff" focus="100%" type="gradient"/>
                <v:shadow on="t" color="black" opacity="24903f" origin=",.5" offset="0,.55556mm"/>
                <v:path arrowok="t"/>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simplePos x="0" y="0"/>
                <wp:positionH relativeFrom="column">
                  <wp:posOffset>68580</wp:posOffset>
                </wp:positionH>
                <wp:positionV relativeFrom="paragraph">
                  <wp:posOffset>158115</wp:posOffset>
                </wp:positionV>
                <wp:extent cx="427355" cy="167640"/>
                <wp:effectExtent l="57150" t="38100" r="67945" b="9906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16764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56" o:spid="_x0000_s1026" style="position:absolute;margin-left:5.4pt;margin-top:12.45pt;width:33.65pt;height:13.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" fillcolor="#cdddac [1622]" strokecolor="#94b64e [3046]">
                <v:fill color2="#f0f4e6 [502]" rotate="t" angle="180" colors="0 #dafda7;22938f #e4fdc2;1 #f5ffe6" focus="100%" type="gradient"/>
                <v:shadow on="t" color="black" opacity="24903f" origin=",.5" offset="0,.55556mm"/>
                <v:path arrowok="t"/>
              </v:rect>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792384" behindDoc="0" locked="0" layoutInCell="1" allowOverlap="1">
                <wp:simplePos x="0" y="0"/>
                <wp:positionH relativeFrom="column">
                  <wp:posOffset>68580</wp:posOffset>
                </wp:positionH>
                <wp:positionV relativeFrom="paragraph">
                  <wp:posOffset>90804</wp:posOffset>
                </wp:positionV>
                <wp:extent cx="2138680" cy="0"/>
                <wp:effectExtent l="0" t="76200" r="33020" b="152400"/>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86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362" o:spid="_x0000_s1026" type="#_x0000_t32" style="position:absolute;margin-left:5.4pt;margin-top:7.15pt;width:168.4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" strokecolor="black [3200]" strokeweight="2pt">
                <v:stroke endarrow="open"/>
                <v:shadow on="t" color="black" opacity="24903f" origin=",.5" offset="0,.55556mm"/>
                <o:lock v:ext="edit" shapetype="f"/>
              </v:shape>
            </w:pict>
          </mc:Fallback>
        </mc:AlternateContent>
      </w:r>
    </w:p>
    <w:p w:rsidR="007F020B"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simplePos x="0" y="0"/>
                <wp:positionH relativeFrom="column">
                  <wp:posOffset>495935</wp:posOffset>
                </wp:positionH>
                <wp:positionV relativeFrom="paragraph">
                  <wp:posOffset>172085</wp:posOffset>
                </wp:positionV>
                <wp:extent cx="1476375" cy="301625"/>
                <wp:effectExtent l="0" t="0" r="0" b="3175"/>
                <wp:wrapNone/>
                <wp:docPr id="3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01625"/>
                        </a:xfrm>
                        <a:prstGeom prst="rect">
                          <a:avLst/>
                        </a:prstGeom>
                        <a:noFill/>
                        <a:ln w="9525">
                          <a:noFill/>
                          <a:miter lim="800000"/>
                          <a:headEnd/>
                          <a:tailEnd/>
                        </a:ln>
                      </wps:spPr>
                      <wps:txbx>
                        <w:txbxContent>
                          <w:p w:rsidR="000C2C64" w:rsidRPr="00060E8B" w:rsidRDefault="000C2C64" w:rsidP="00060E8B">
                            <w:pPr>
                              <w:rPr>
                                <w:rFonts w:ascii="Times New Roman" w:hAnsi="Times New Roman" w:cs="Times New Roman"/>
                                <w:i/>
                                <w:sz w:val="20"/>
                                <w:szCs w:val="20"/>
                              </w:rPr>
                            </w:pPr>
                            <w:r>
                              <w:rPr>
                                <w:rFonts w:ascii="Times New Roman" w:hAnsi="Times New Roman" w:cs="Times New Roman"/>
                                <w:i/>
                                <w:sz w:val="20"/>
                                <w:szCs w:val="20"/>
                              </w:rPr>
                              <w:t>риски</w:t>
                            </w:r>
                            <w:r w:rsidRPr="00060E8B">
                              <w:rPr>
                                <w:rFonts w:ascii="Times New Roman" w:hAnsi="Times New Roman" w:cs="Times New Roman"/>
                                <w:i/>
                                <w:sz w:val="20"/>
                                <w:szCs w:val="20"/>
                              </w:rPr>
                              <w:t xml:space="preserve"> фондирования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9.05pt;margin-top:13.55pt;width:116.25pt;height:2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" filled="f" stroked="f">
                <v:textbox>
                  <w:txbxContent>
                    <w:p w:rsidR="000C2C64" w:rsidRPr="00060E8B" w:rsidRDefault="000C2C64" w:rsidP="00060E8B">
                      <w:pPr>
                        <w:rPr>
                          <w:rFonts w:ascii="Times New Roman" w:hAnsi="Times New Roman" w:cs="Times New Roman"/>
                          <w:i/>
                          <w:sz w:val="20"/>
                          <w:szCs w:val="20"/>
                        </w:rPr>
                      </w:pPr>
                      <w:r>
                        <w:rPr>
                          <w:rFonts w:ascii="Times New Roman" w:hAnsi="Times New Roman" w:cs="Times New Roman"/>
                          <w:i/>
                          <w:sz w:val="20"/>
                          <w:szCs w:val="20"/>
                        </w:rPr>
                        <w:t>риски</w:t>
                      </w:r>
                      <w:r w:rsidRPr="00060E8B">
                        <w:rPr>
                          <w:rFonts w:ascii="Times New Roman" w:hAnsi="Times New Roman" w:cs="Times New Roman"/>
                          <w:i/>
                          <w:sz w:val="20"/>
                          <w:szCs w:val="20"/>
                        </w:rPr>
                        <w:t xml:space="preserve"> фондирования</w:t>
                      </w:r>
                    </w:p>
                  </w:txbxContent>
                </v:textbox>
              </v:shape>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799552" behindDoc="0" locked="0" layoutInCell="1" allowOverlap="1">
                <wp:simplePos x="0" y="0"/>
                <wp:positionH relativeFrom="column">
                  <wp:posOffset>69850</wp:posOffset>
                </wp:positionH>
                <wp:positionV relativeFrom="paragraph">
                  <wp:posOffset>172719</wp:posOffset>
                </wp:positionV>
                <wp:extent cx="2138680" cy="0"/>
                <wp:effectExtent l="0" t="76200" r="33020" b="152400"/>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86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Прямая со стрелкой 366" o:spid="_x0000_s1026" type="#_x0000_t32" style="position:absolute;margin-left:5.5pt;margin-top:13.6pt;width:168.4pt;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" strokecolor="black [3200]" strokeweight="2pt">
                <v:stroke endarrow="open"/>
                <v:shadow on="t" color="black" opacity="24903f" origin=",.5" offset="0,.55556mm"/>
                <o:lock v:ext="edit" shapetype="f"/>
              </v:shape>
            </w:pict>
          </mc:Fallback>
        </mc:AlternateContent>
      </w:r>
    </w:p>
    <w:p w:rsidR="007F020B" w:rsidRPr="00802D35" w:rsidRDefault="005368DA" w:rsidP="008C0E8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simplePos x="0" y="0"/>
                <wp:positionH relativeFrom="column">
                  <wp:posOffset>3985895</wp:posOffset>
                </wp:positionH>
                <wp:positionV relativeFrom="paragraph">
                  <wp:posOffset>50165</wp:posOffset>
                </wp:positionV>
                <wp:extent cx="2138680" cy="309880"/>
                <wp:effectExtent l="57150" t="38100" r="71120" b="90170"/>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30988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Банковские займы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13.85pt;margin-top:3.95pt;width:168.4pt;height:2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" fillcolor="#dfa7a6 [1621]" strokecolor="#bc4542 [3045]">
                <v:fill color2="#f5e4e4 [501]" rotate="t" angle="180" colors="0 #ffa2a1;22938f #ffbebd;1 #ffe5e5" focus="100%" type="gradient"/>
                <v:shadow on="t" color="black" opacity="24903f" origin=",.5" offset="0,.55556mm"/>
                <v:textbox>
                  <w:txbxContent>
                    <w:p w:rsidR="000C2C64" w:rsidRPr="00A24282" w:rsidRDefault="000C2C64" w:rsidP="00BC21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Банковские займы</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simplePos x="0" y="0"/>
                <wp:positionH relativeFrom="column">
                  <wp:posOffset>1593850</wp:posOffset>
                </wp:positionH>
                <wp:positionV relativeFrom="paragraph">
                  <wp:posOffset>132715</wp:posOffset>
                </wp:positionV>
                <wp:extent cx="821690" cy="301625"/>
                <wp:effectExtent l="0" t="0" r="0" b="3175"/>
                <wp:wrapNone/>
                <wp:docPr id="3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301625"/>
                        </a:xfrm>
                        <a:prstGeom prst="rect">
                          <a:avLst/>
                        </a:prstGeom>
                        <a:noFill/>
                        <a:ln w="9525">
                          <a:noFill/>
                          <a:miter lim="800000"/>
                          <a:headEnd/>
                          <a:tailEnd/>
                        </a:ln>
                      </wps:spPr>
                      <wps:txbx>
                        <w:txbxContent>
                          <w:p w:rsidR="000C2C64" w:rsidRPr="008F4933" w:rsidRDefault="000C2C64" w:rsidP="00060E8B">
                            <w:pPr>
                              <w:rPr>
                                <w:rFonts w:ascii="Times New Roman" w:hAnsi="Times New Roman" w:cs="Times New Roman"/>
                              </w:rPr>
                            </w:pPr>
                            <w:r>
                              <w:rPr>
                                <w:rFonts w:ascii="Times New Roman" w:hAnsi="Times New Roman" w:cs="Times New Roman"/>
                              </w:rPr>
                              <w:t>высоки</w:t>
                            </w:r>
                            <w:r w:rsidRPr="008F4933">
                              <w:rPr>
                                <w:rFonts w:ascii="Times New Roman" w:hAnsi="Times New Roman" w:cs="Times New Roman"/>
                              </w:rPr>
                              <w:t>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25.5pt;margin-top:10.45pt;width:64.7pt;height:2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" filled="f" stroked="f">
                <v:textbox>
                  <w:txbxContent>
                    <w:p w:rsidR="000C2C64" w:rsidRPr="008F4933" w:rsidRDefault="000C2C64" w:rsidP="00060E8B">
                      <w:pPr>
                        <w:rPr>
                          <w:rFonts w:ascii="Times New Roman" w:hAnsi="Times New Roman" w:cs="Times New Roman"/>
                        </w:rPr>
                      </w:pPr>
                      <w:r>
                        <w:rPr>
                          <w:rFonts w:ascii="Times New Roman" w:hAnsi="Times New Roman" w:cs="Times New Roman"/>
                        </w:rPr>
                        <w:t>высоки</w:t>
                      </w:r>
                      <w:r w:rsidRPr="008F4933">
                        <w:rPr>
                          <w:rFonts w:ascii="Times New Roman" w:hAnsi="Times New Roman" w:cs="Times New Roman"/>
                        </w:rPr>
                        <w:t>е</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simplePos x="0" y="0"/>
                <wp:positionH relativeFrom="column">
                  <wp:posOffset>16510</wp:posOffset>
                </wp:positionH>
                <wp:positionV relativeFrom="paragraph">
                  <wp:posOffset>133350</wp:posOffset>
                </wp:positionV>
                <wp:extent cx="821690" cy="301625"/>
                <wp:effectExtent l="0" t="0" r="0" b="3175"/>
                <wp:wrapNone/>
                <wp:docPr id="3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301625"/>
                        </a:xfrm>
                        <a:prstGeom prst="rect">
                          <a:avLst/>
                        </a:prstGeom>
                        <a:noFill/>
                        <a:ln w="9525">
                          <a:noFill/>
                          <a:miter lim="800000"/>
                          <a:headEnd/>
                          <a:tailEnd/>
                        </a:ln>
                      </wps:spPr>
                      <wps:txbx>
                        <w:txbxContent>
                          <w:p w:rsidR="000C2C64" w:rsidRPr="008F4933" w:rsidRDefault="000C2C64" w:rsidP="00060E8B">
                            <w:pPr>
                              <w:rPr>
                                <w:rFonts w:ascii="Times New Roman" w:hAnsi="Times New Roman" w:cs="Times New Roman"/>
                              </w:rPr>
                            </w:pPr>
                            <w:r>
                              <w:rPr>
                                <w:rFonts w:ascii="Times New Roman" w:hAnsi="Times New Roman" w:cs="Times New Roman"/>
                              </w:rPr>
                              <w:t>низки</w:t>
                            </w:r>
                            <w:r w:rsidRPr="008F4933">
                              <w:rPr>
                                <w:rFonts w:ascii="Times New Roman" w:hAnsi="Times New Roman" w:cs="Times New Roman"/>
                              </w:rPr>
                              <w:t>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3pt;margin-top:10.5pt;width:64.7pt;height:23.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" filled="f" stroked="f">
                <v:textbox>
                  <w:txbxContent>
                    <w:p w:rsidR="000C2C64" w:rsidRPr="008F4933" w:rsidRDefault="000C2C64" w:rsidP="00060E8B">
                      <w:pPr>
                        <w:rPr>
                          <w:rFonts w:ascii="Times New Roman" w:hAnsi="Times New Roman" w:cs="Times New Roman"/>
                        </w:rPr>
                      </w:pPr>
                      <w:r>
                        <w:rPr>
                          <w:rFonts w:ascii="Times New Roman" w:hAnsi="Times New Roman" w:cs="Times New Roman"/>
                        </w:rPr>
                        <w:t>низки</w:t>
                      </w:r>
                      <w:r w:rsidRPr="008F4933">
                        <w:rPr>
                          <w:rFonts w:ascii="Times New Roman" w:hAnsi="Times New Roman" w:cs="Times New Roman"/>
                        </w:rPr>
                        <w:t>е</w:t>
                      </w:r>
                    </w:p>
                  </w:txbxContent>
                </v:textbox>
              </v:shape>
            </w:pict>
          </mc:Fallback>
        </mc:AlternateContent>
      </w:r>
    </w:p>
    <w:p w:rsidR="007F020B" w:rsidRPr="00802D35" w:rsidRDefault="007F020B" w:rsidP="008C0E8A">
      <w:pPr>
        <w:widowControl w:val="0"/>
        <w:spacing w:after="0" w:line="240" w:lineRule="auto"/>
        <w:jc w:val="both"/>
        <w:rPr>
          <w:rFonts w:ascii="Times New Roman" w:hAnsi="Times New Roman" w:cs="Times New Roman"/>
          <w:sz w:val="28"/>
          <w:szCs w:val="28"/>
        </w:rPr>
      </w:pPr>
    </w:p>
    <w:p w:rsidR="007F020B" w:rsidRPr="00802D35" w:rsidRDefault="007F020B" w:rsidP="008C0E8A">
      <w:pPr>
        <w:widowControl w:val="0"/>
        <w:spacing w:after="0" w:line="240" w:lineRule="auto"/>
        <w:jc w:val="both"/>
        <w:rPr>
          <w:rFonts w:ascii="Times New Roman" w:hAnsi="Times New Roman" w:cs="Times New Roman"/>
          <w:sz w:val="28"/>
          <w:szCs w:val="28"/>
        </w:rPr>
      </w:pPr>
    </w:p>
    <w:p w:rsidR="007F020B" w:rsidRPr="00802D35" w:rsidRDefault="008F4933" w:rsidP="008C0E8A">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 xml:space="preserve">Рисунок </w:t>
      </w:r>
      <w:r w:rsidR="00E361BD" w:rsidRPr="00802D35">
        <w:rPr>
          <w:rFonts w:ascii="Times New Roman" w:hAnsi="Times New Roman" w:cs="Times New Roman"/>
          <w:sz w:val="28"/>
          <w:szCs w:val="28"/>
        </w:rPr>
        <w:t>10</w:t>
      </w:r>
      <w:r w:rsidRPr="00802D35">
        <w:rPr>
          <w:rFonts w:ascii="Times New Roman" w:hAnsi="Times New Roman" w:cs="Times New Roman"/>
          <w:sz w:val="28"/>
          <w:szCs w:val="28"/>
        </w:rPr>
        <w:t xml:space="preserve"> - Шкала финансирования активов банка посредством инструментов фондирования</w:t>
      </w:r>
    </w:p>
    <w:p w:rsidR="00F734C5" w:rsidRPr="00802D35" w:rsidRDefault="00F734C5" w:rsidP="008C0E8A">
      <w:pPr>
        <w:widowControl w:val="0"/>
        <w:spacing w:after="0" w:line="240" w:lineRule="auto"/>
        <w:jc w:val="both"/>
        <w:rPr>
          <w:rFonts w:ascii="Times New Roman" w:hAnsi="Times New Roman" w:cs="Times New Roman"/>
          <w:sz w:val="28"/>
          <w:szCs w:val="28"/>
        </w:rPr>
      </w:pPr>
    </w:p>
    <w:p w:rsidR="008F4933" w:rsidRPr="00802D35" w:rsidRDefault="008F4933" w:rsidP="008C0E8A">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разработано автором</w:t>
      </w:r>
    </w:p>
    <w:p w:rsidR="008F4933" w:rsidRPr="00802D35" w:rsidRDefault="008F4933" w:rsidP="008C0E8A">
      <w:pPr>
        <w:widowControl w:val="0"/>
        <w:spacing w:after="0" w:line="240" w:lineRule="auto"/>
        <w:jc w:val="both"/>
        <w:rPr>
          <w:rFonts w:ascii="Times New Roman" w:hAnsi="Times New Roman" w:cs="Times New Roman"/>
          <w:sz w:val="28"/>
          <w:szCs w:val="28"/>
        </w:rPr>
      </w:pPr>
    </w:p>
    <w:p w:rsidR="00E40DE9" w:rsidRPr="00802D35" w:rsidRDefault="00E40DE9" w:rsidP="008C0E8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Согласно рисунка 10 можно отметить, что самым дешевым и, как следствие, наиболее предпочитаемым инструментом фондирования являются депозиты различных форм. При этом, вклады до востребования являются наиболее дешевыми наряду с остатками на текущих счетах, которые предоставляют клиентам безопасное хранение своих сбережений и возможность снимать наличные или осуществлять электронные платежи непосредственно со своего счета. </w:t>
      </w:r>
    </w:p>
    <w:p w:rsidR="00E361BD" w:rsidRPr="00802D35" w:rsidRDefault="00E40DE9" w:rsidP="008C0E8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Вкладчики требуют меньшую компенсацию (то есть более низкие процентные ставки) в обмен на то, что они оставляют свои деньги на этих счетах, чем сумма, которую банки должны выплатить за другие источники финансирования.</w:t>
      </w:r>
      <w:r w:rsidR="008C0E8A" w:rsidRPr="00802D35">
        <w:rPr>
          <w:rFonts w:ascii="Times New Roman" w:hAnsi="Times New Roman" w:cs="Times New Roman"/>
          <w:sz w:val="28"/>
          <w:szCs w:val="28"/>
        </w:rPr>
        <w:t xml:space="preserve"> </w:t>
      </w:r>
      <w:r w:rsidR="009E1E17" w:rsidRPr="00802D35">
        <w:rPr>
          <w:rFonts w:ascii="Times New Roman" w:hAnsi="Times New Roman" w:cs="Times New Roman"/>
          <w:sz w:val="28"/>
          <w:szCs w:val="28"/>
        </w:rPr>
        <w:t>Кроме того, депозиты до востребования физических лиц более выгодны для банка, поскольку этим счетам характерна меньшая активность передвижения ден</w:t>
      </w:r>
      <w:r w:rsidR="00E97595" w:rsidRPr="00802D35">
        <w:rPr>
          <w:rFonts w:ascii="Times New Roman" w:hAnsi="Times New Roman" w:cs="Times New Roman"/>
          <w:sz w:val="28"/>
          <w:szCs w:val="28"/>
        </w:rPr>
        <w:t>ежных ресу</w:t>
      </w:r>
      <w:r w:rsidR="009E1E17" w:rsidRPr="00802D35">
        <w:rPr>
          <w:rFonts w:ascii="Times New Roman" w:hAnsi="Times New Roman" w:cs="Times New Roman"/>
          <w:sz w:val="28"/>
          <w:szCs w:val="28"/>
        </w:rPr>
        <w:t>рсов, чем по счетам компаний</w:t>
      </w:r>
      <w:r w:rsidR="00DE33E7" w:rsidRPr="00802D35">
        <w:rPr>
          <w:rFonts w:ascii="Times New Roman" w:hAnsi="Times New Roman" w:cs="Times New Roman"/>
          <w:sz w:val="28"/>
          <w:szCs w:val="28"/>
        </w:rPr>
        <w:t xml:space="preserve">. </w:t>
      </w:r>
      <w:r w:rsidR="00C340DD" w:rsidRPr="00802D35">
        <w:rPr>
          <w:rFonts w:ascii="Times New Roman" w:hAnsi="Times New Roman" w:cs="Times New Roman"/>
          <w:sz w:val="28"/>
          <w:szCs w:val="28"/>
        </w:rPr>
        <w:t xml:space="preserve">Банкам, как правило, необходимо </w:t>
      </w:r>
      <w:r w:rsidR="00CE0341" w:rsidRPr="00802D35">
        <w:rPr>
          <w:rFonts w:ascii="Times New Roman" w:hAnsi="Times New Roman" w:cs="Times New Roman"/>
          <w:sz w:val="28"/>
          <w:szCs w:val="28"/>
        </w:rPr>
        <w:t xml:space="preserve">платить большее вознаграждение по </w:t>
      </w:r>
      <w:r w:rsidR="00C340DD" w:rsidRPr="00802D35">
        <w:rPr>
          <w:rFonts w:ascii="Times New Roman" w:hAnsi="Times New Roman" w:cs="Times New Roman"/>
          <w:sz w:val="28"/>
          <w:szCs w:val="28"/>
        </w:rPr>
        <w:t>срочны</w:t>
      </w:r>
      <w:r w:rsidR="00CE0341" w:rsidRPr="00802D35">
        <w:rPr>
          <w:rFonts w:ascii="Times New Roman" w:hAnsi="Times New Roman" w:cs="Times New Roman"/>
          <w:sz w:val="28"/>
          <w:szCs w:val="28"/>
        </w:rPr>
        <w:t>м</w:t>
      </w:r>
      <w:r w:rsidR="00C340DD" w:rsidRPr="00802D35">
        <w:rPr>
          <w:rFonts w:ascii="Times New Roman" w:hAnsi="Times New Roman" w:cs="Times New Roman"/>
          <w:sz w:val="28"/>
          <w:szCs w:val="28"/>
        </w:rPr>
        <w:t xml:space="preserve"> вклад</w:t>
      </w:r>
      <w:r w:rsidR="00CE0341" w:rsidRPr="00802D35">
        <w:rPr>
          <w:rFonts w:ascii="Times New Roman" w:hAnsi="Times New Roman" w:cs="Times New Roman"/>
          <w:sz w:val="28"/>
          <w:szCs w:val="28"/>
        </w:rPr>
        <w:t>ам</w:t>
      </w:r>
      <w:r w:rsidR="00C340DD" w:rsidRPr="00802D35">
        <w:rPr>
          <w:rFonts w:ascii="Times New Roman" w:hAnsi="Times New Roman" w:cs="Times New Roman"/>
          <w:sz w:val="28"/>
          <w:szCs w:val="28"/>
        </w:rPr>
        <w:t xml:space="preserve"> с установленным договором срок</w:t>
      </w:r>
      <w:r w:rsidR="00CE0341" w:rsidRPr="00802D35">
        <w:rPr>
          <w:rFonts w:ascii="Times New Roman" w:hAnsi="Times New Roman" w:cs="Times New Roman"/>
          <w:sz w:val="28"/>
          <w:szCs w:val="28"/>
        </w:rPr>
        <w:t>ом</w:t>
      </w:r>
      <w:r w:rsidR="00C340DD" w:rsidRPr="00802D35">
        <w:rPr>
          <w:rFonts w:ascii="Times New Roman" w:hAnsi="Times New Roman" w:cs="Times New Roman"/>
          <w:sz w:val="28"/>
          <w:szCs w:val="28"/>
        </w:rPr>
        <w:t xml:space="preserve"> погашения с фиксированной </w:t>
      </w:r>
      <w:r w:rsidR="008974DB" w:rsidRPr="00802D35">
        <w:rPr>
          <w:rFonts w:ascii="Times New Roman" w:hAnsi="Times New Roman" w:cs="Times New Roman"/>
          <w:sz w:val="28"/>
          <w:szCs w:val="28"/>
        </w:rPr>
        <w:t xml:space="preserve">или </w:t>
      </w:r>
      <w:r w:rsidR="008974DB" w:rsidRPr="00802D35">
        <w:rPr>
          <w:rFonts w:ascii="Times New Roman" w:hAnsi="Times New Roman" w:cs="Times New Roman"/>
          <w:sz w:val="28"/>
          <w:szCs w:val="28"/>
        </w:rPr>
        <w:lastRenderedPageBreak/>
        <w:t xml:space="preserve">плавающей </w:t>
      </w:r>
      <w:r w:rsidR="00C340DD" w:rsidRPr="00802D35">
        <w:rPr>
          <w:rFonts w:ascii="Times New Roman" w:hAnsi="Times New Roman" w:cs="Times New Roman"/>
          <w:sz w:val="28"/>
          <w:szCs w:val="28"/>
        </w:rPr>
        <w:t>процентной ставкой, поскольку вкладчики требуют более крупную премию за риск ликвидности и, следовательно, более высокую процентн</w:t>
      </w:r>
      <w:r w:rsidR="008974DB" w:rsidRPr="00802D35">
        <w:rPr>
          <w:rFonts w:ascii="Times New Roman" w:hAnsi="Times New Roman" w:cs="Times New Roman"/>
          <w:sz w:val="28"/>
          <w:szCs w:val="28"/>
        </w:rPr>
        <w:t>ую</w:t>
      </w:r>
      <w:r w:rsidR="00C340DD" w:rsidRPr="00802D35">
        <w:rPr>
          <w:rFonts w:ascii="Times New Roman" w:hAnsi="Times New Roman" w:cs="Times New Roman"/>
          <w:sz w:val="28"/>
          <w:szCs w:val="28"/>
        </w:rPr>
        <w:t xml:space="preserve"> ставк</w:t>
      </w:r>
      <w:r w:rsidR="008974DB" w:rsidRPr="00802D35">
        <w:rPr>
          <w:rFonts w:ascii="Times New Roman" w:hAnsi="Times New Roman" w:cs="Times New Roman"/>
          <w:sz w:val="28"/>
          <w:szCs w:val="28"/>
        </w:rPr>
        <w:t>у</w:t>
      </w:r>
      <w:r w:rsidR="00C340DD" w:rsidRPr="00802D35">
        <w:rPr>
          <w:rFonts w:ascii="Times New Roman" w:hAnsi="Times New Roman" w:cs="Times New Roman"/>
          <w:sz w:val="28"/>
          <w:szCs w:val="28"/>
        </w:rPr>
        <w:t xml:space="preserve"> в обмен на </w:t>
      </w:r>
      <w:r w:rsidR="008974DB" w:rsidRPr="00802D35">
        <w:rPr>
          <w:rFonts w:ascii="Times New Roman" w:hAnsi="Times New Roman" w:cs="Times New Roman"/>
          <w:sz w:val="28"/>
          <w:szCs w:val="28"/>
        </w:rPr>
        <w:t xml:space="preserve">возможность использования </w:t>
      </w:r>
      <w:r w:rsidR="00C340DD" w:rsidRPr="00802D35">
        <w:rPr>
          <w:rFonts w:ascii="Times New Roman" w:hAnsi="Times New Roman" w:cs="Times New Roman"/>
          <w:sz w:val="28"/>
          <w:szCs w:val="28"/>
        </w:rPr>
        <w:t>их денег на определенный период времени.</w:t>
      </w:r>
      <w:r w:rsidR="00E361BD" w:rsidRPr="00802D35">
        <w:rPr>
          <w:rFonts w:ascii="Times New Roman" w:hAnsi="Times New Roman" w:cs="Times New Roman"/>
          <w:sz w:val="28"/>
          <w:szCs w:val="28"/>
        </w:rPr>
        <w:t xml:space="preserve"> </w:t>
      </w:r>
    </w:p>
    <w:p w:rsidR="00C340DD" w:rsidRPr="00802D35" w:rsidRDefault="00C340DD" w:rsidP="008C0E8A">
      <w:pPr>
        <w:widowControl w:val="0"/>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sz w:val="28"/>
          <w:szCs w:val="28"/>
        </w:rPr>
        <w:t>Еще одним фактором, снижающим стоимость розничного ф</w:t>
      </w:r>
      <w:r w:rsidR="008974DB" w:rsidRPr="00802D35">
        <w:rPr>
          <w:rFonts w:ascii="Times New Roman" w:hAnsi="Times New Roman" w:cs="Times New Roman"/>
          <w:sz w:val="28"/>
          <w:szCs w:val="28"/>
        </w:rPr>
        <w:t>онд</w:t>
      </w:r>
      <w:r w:rsidRPr="00802D35">
        <w:rPr>
          <w:rFonts w:ascii="Times New Roman" w:hAnsi="Times New Roman" w:cs="Times New Roman"/>
          <w:sz w:val="28"/>
          <w:szCs w:val="28"/>
        </w:rPr>
        <w:t xml:space="preserve">ирования по сравнению со стоимостью оптового </w:t>
      </w:r>
      <w:r w:rsidR="008974DB" w:rsidRPr="00802D35">
        <w:rPr>
          <w:rFonts w:ascii="Times New Roman" w:hAnsi="Times New Roman" w:cs="Times New Roman"/>
          <w:sz w:val="28"/>
          <w:szCs w:val="28"/>
        </w:rPr>
        <w:t>фондирования</w:t>
      </w:r>
      <w:r w:rsidRPr="00802D35">
        <w:rPr>
          <w:rFonts w:ascii="Times New Roman" w:hAnsi="Times New Roman" w:cs="Times New Roman"/>
          <w:sz w:val="28"/>
          <w:szCs w:val="28"/>
        </w:rPr>
        <w:t>, являются гарантии по депозитам</w:t>
      </w:r>
      <w:r w:rsidR="008D3B7A" w:rsidRPr="00802D35">
        <w:rPr>
          <w:rFonts w:ascii="Times New Roman" w:hAnsi="Times New Roman" w:cs="Times New Roman"/>
          <w:sz w:val="28"/>
          <w:szCs w:val="28"/>
        </w:rPr>
        <w:t xml:space="preserve"> в</w:t>
      </w:r>
      <w:r w:rsidR="008974DB" w:rsidRPr="00802D35">
        <w:rPr>
          <w:rFonts w:ascii="Times New Roman" w:hAnsi="Times New Roman" w:cs="Times New Roman"/>
          <w:sz w:val="28"/>
          <w:szCs w:val="28"/>
        </w:rPr>
        <w:t>виду наличия страхования</w:t>
      </w:r>
      <w:r w:rsidRPr="00802D35">
        <w:rPr>
          <w:rFonts w:ascii="Times New Roman" w:hAnsi="Times New Roman" w:cs="Times New Roman"/>
          <w:sz w:val="28"/>
          <w:szCs w:val="28"/>
        </w:rPr>
        <w:t xml:space="preserve"> </w:t>
      </w:r>
      <w:r w:rsidR="008D3B7A" w:rsidRPr="00802D35">
        <w:rPr>
          <w:rFonts w:ascii="Times New Roman" w:hAnsi="Times New Roman" w:cs="Times New Roman"/>
          <w:sz w:val="28"/>
          <w:szCs w:val="28"/>
        </w:rPr>
        <w:t xml:space="preserve">депозитов в Республике Казахстан. </w:t>
      </w:r>
      <w:r w:rsidRPr="00802D35">
        <w:rPr>
          <w:rFonts w:ascii="Times New Roman" w:hAnsi="Times New Roman" w:cs="Times New Roman"/>
          <w:sz w:val="28"/>
          <w:szCs w:val="28"/>
        </w:rPr>
        <w:t>Поэтому вкладчики несут гораздо меньший риск по сравнению с другими кредиторами в случае дефолта банка.</w:t>
      </w:r>
    </w:p>
    <w:p w:rsidR="005353A3" w:rsidRPr="00802D35" w:rsidRDefault="008D3B7A" w:rsidP="008C0E8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Следующими по рэнкингу стоимости фондирования выступают </w:t>
      </w:r>
      <w:r w:rsidR="00E5013A" w:rsidRPr="00802D35">
        <w:rPr>
          <w:rFonts w:ascii="Times New Roman" w:hAnsi="Times New Roman" w:cs="Times New Roman"/>
          <w:sz w:val="28"/>
          <w:szCs w:val="28"/>
        </w:rPr>
        <w:t>банковские</w:t>
      </w:r>
      <w:r w:rsidRPr="00802D35">
        <w:rPr>
          <w:rFonts w:ascii="Times New Roman" w:hAnsi="Times New Roman" w:cs="Times New Roman"/>
          <w:sz w:val="28"/>
          <w:szCs w:val="28"/>
        </w:rPr>
        <w:t xml:space="preserve"> сертификаты</w:t>
      </w:r>
      <w:r w:rsidR="00E5013A" w:rsidRPr="00802D35">
        <w:rPr>
          <w:rFonts w:ascii="Times New Roman" w:hAnsi="Times New Roman" w:cs="Times New Roman"/>
          <w:sz w:val="28"/>
          <w:szCs w:val="28"/>
        </w:rPr>
        <w:t>, займы НБРК, репо</w:t>
      </w:r>
      <w:r w:rsidRPr="00802D35">
        <w:rPr>
          <w:rFonts w:ascii="Times New Roman" w:hAnsi="Times New Roman" w:cs="Times New Roman"/>
          <w:sz w:val="28"/>
          <w:szCs w:val="28"/>
        </w:rPr>
        <w:t xml:space="preserve"> и различные гибридные продукты. Такой подход, с нашей точки зрения, обусловлен тем, что и те, и другие, хотя и представляют определенную степень риска для инвестора, все же являются достаточно предпочтительными в силу меньшего риска, чем, например, ценные бумаги банка. </w:t>
      </w:r>
      <w:r w:rsidR="00AE4B79" w:rsidRPr="00802D35">
        <w:rPr>
          <w:rFonts w:ascii="Times New Roman" w:hAnsi="Times New Roman" w:cs="Times New Roman"/>
          <w:sz w:val="28"/>
          <w:szCs w:val="28"/>
        </w:rPr>
        <w:t>В отношении банковских сертификатов следует отметить, что с точки зрения инструмента фондирования, они являются долгосрочными, а это очень важный и необходимый фактор для банка, с другой стороны, они имеют хотя и более высокую стоимость фондирования</w:t>
      </w:r>
      <w:r w:rsidR="00A27CAB" w:rsidRPr="00802D35">
        <w:rPr>
          <w:rFonts w:ascii="Times New Roman" w:hAnsi="Times New Roman" w:cs="Times New Roman"/>
          <w:sz w:val="28"/>
          <w:szCs w:val="28"/>
        </w:rPr>
        <w:t>, являющейся платой за долгосрочность,</w:t>
      </w:r>
      <w:r w:rsidR="00AE4B79" w:rsidRPr="00802D35">
        <w:rPr>
          <w:rFonts w:ascii="Times New Roman" w:hAnsi="Times New Roman" w:cs="Times New Roman"/>
          <w:sz w:val="28"/>
          <w:szCs w:val="28"/>
        </w:rPr>
        <w:t xml:space="preserve"> по сравнению с депозитами, но все же ниже, чем по долговым финансовым инструментам. С позиций инвестора, преимуществом является более высокий процент, чем по вкладам, и возможность перепродать их на вторичном рынке. </w:t>
      </w:r>
    </w:p>
    <w:p w:rsidR="00E5013A" w:rsidRPr="00802D35" w:rsidRDefault="00E5013A" w:rsidP="008C0E8A">
      <w:pPr>
        <w:widowControl w:val="0"/>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sz w:val="28"/>
          <w:szCs w:val="28"/>
        </w:rPr>
        <w:t>Национальный банк РК предоставляет БВУ займы последней инстанции, причем только тем, которые не относятся к разряду банков с неустойчивым финансовым положением [</w:t>
      </w:r>
      <w:r w:rsidR="000B0564" w:rsidRPr="00802D35">
        <w:rPr>
          <w:rFonts w:ascii="Times New Roman" w:hAnsi="Times New Roman" w:cs="Times New Roman"/>
          <w:sz w:val="28"/>
          <w:szCs w:val="28"/>
        </w:rPr>
        <w:t>49</w:t>
      </w:r>
      <w:r w:rsidRPr="00802D35">
        <w:rPr>
          <w:rFonts w:ascii="Times New Roman" w:hAnsi="Times New Roman" w:cs="Times New Roman"/>
          <w:sz w:val="28"/>
          <w:szCs w:val="28"/>
        </w:rPr>
        <w:t>]. При этом, займ предоставляется под залог нормативно установленных активов на срок от 14 до 90 дней, но не более, чем на 1 год при пролонгации займа не более 3-х раз [</w:t>
      </w:r>
      <w:r w:rsidR="000B0564" w:rsidRPr="00802D35">
        <w:rPr>
          <w:rFonts w:ascii="Times New Roman" w:hAnsi="Times New Roman" w:cs="Times New Roman"/>
          <w:sz w:val="28"/>
          <w:szCs w:val="28"/>
        </w:rPr>
        <w:t>50</w:t>
      </w:r>
      <w:r w:rsidRPr="00802D35">
        <w:rPr>
          <w:rFonts w:ascii="Times New Roman" w:hAnsi="Times New Roman" w:cs="Times New Roman"/>
          <w:sz w:val="28"/>
          <w:szCs w:val="28"/>
        </w:rPr>
        <w:t xml:space="preserve">]. Таким образом, фондирование через такие инструменты фондирования как займы НБРК являются «спасательными» для банка, но не могут составлять основной источник поступления ресурсов. </w:t>
      </w:r>
    </w:p>
    <w:p w:rsidR="00E5013A" w:rsidRPr="00802D35" w:rsidRDefault="00E5013A" w:rsidP="008C0E8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Аналогично, банки часто прибегают к операциям РЕПО для покрытия ликвидности. Сделки репо представляют собой операции по продаже ценных бумаг банком с условием обязательного их выкупа через заранее оговоренный определенный срок [</w:t>
      </w:r>
      <w:r w:rsidR="000B0564" w:rsidRPr="00802D35">
        <w:rPr>
          <w:rFonts w:ascii="Times New Roman" w:hAnsi="Times New Roman" w:cs="Times New Roman"/>
          <w:sz w:val="28"/>
          <w:szCs w:val="28"/>
        </w:rPr>
        <w:t>51</w:t>
      </w:r>
      <w:r w:rsidRPr="00802D35">
        <w:rPr>
          <w:rFonts w:ascii="Times New Roman" w:hAnsi="Times New Roman" w:cs="Times New Roman"/>
          <w:sz w:val="28"/>
          <w:szCs w:val="28"/>
        </w:rPr>
        <w:t>]. По сути, репо являются вариантами межбанковского кредитования, но установлены нами отдельно ввиду специфики и особенностей проведения данных операций (под залог ценных бумаг). Как правило, такие сделки носят краткосрочный характер и вырученные средства «спасают» банки в случае возникновения сложностей с ликвидностью. Но, как правило, такие средства не могут быть серьезными источниками фондирования. Именно поэтому, нами данные инструменты были отнесены к более низкой ступени фондирования по сравнению с ценными бумагами банка, сертификатами, депозитами. Однако, ввиду более дешевой стоимости данные инструменты находятся по шкале выше займов.</w:t>
      </w:r>
    </w:p>
    <w:p w:rsidR="00831B2F" w:rsidRPr="00802D35" w:rsidRDefault="00EE5044" w:rsidP="008C0E8A">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rPr>
        <w:t>Д</w:t>
      </w:r>
      <w:r w:rsidR="00802735" w:rsidRPr="00802D35">
        <w:rPr>
          <w:rFonts w:ascii="Times New Roman" w:hAnsi="Times New Roman" w:cs="Times New Roman"/>
          <w:sz w:val="28"/>
          <w:szCs w:val="28"/>
        </w:rPr>
        <w:t>ополнительным</w:t>
      </w:r>
      <w:r w:rsidRPr="00802D35">
        <w:rPr>
          <w:rFonts w:ascii="Times New Roman" w:hAnsi="Times New Roman" w:cs="Times New Roman"/>
          <w:sz w:val="28"/>
          <w:szCs w:val="28"/>
        </w:rPr>
        <w:t xml:space="preserve"> </w:t>
      </w:r>
      <w:r w:rsidR="00802735" w:rsidRPr="00802D35">
        <w:rPr>
          <w:rFonts w:ascii="Times New Roman" w:hAnsi="Times New Roman" w:cs="Times New Roman"/>
          <w:sz w:val="28"/>
          <w:szCs w:val="28"/>
        </w:rPr>
        <w:t xml:space="preserve">и достаточно привлекательным инструментом </w:t>
      </w:r>
      <w:r w:rsidR="00802735" w:rsidRPr="00802D35">
        <w:rPr>
          <w:rFonts w:ascii="Times New Roman" w:hAnsi="Times New Roman" w:cs="Times New Roman"/>
          <w:sz w:val="28"/>
          <w:szCs w:val="28"/>
        </w:rPr>
        <w:lastRenderedPageBreak/>
        <w:t xml:space="preserve">фондирования в современных условиях развития финансового рынка могут стать структурные, синтетические и секьюритизированные продукты банков. </w:t>
      </w:r>
      <w:r w:rsidR="00F9119E" w:rsidRPr="00802D35">
        <w:rPr>
          <w:rFonts w:ascii="Times New Roman" w:hAnsi="Times New Roman" w:cs="Times New Roman"/>
          <w:sz w:val="28"/>
          <w:szCs w:val="28"/>
        </w:rPr>
        <w:t>Е</w:t>
      </w:r>
      <w:r w:rsidR="00802735" w:rsidRPr="00802D35">
        <w:rPr>
          <w:rFonts w:ascii="Times New Roman" w:hAnsi="Times New Roman" w:cs="Times New Roman"/>
          <w:sz w:val="28"/>
          <w:szCs w:val="28"/>
        </w:rPr>
        <w:t xml:space="preserve">сли посмотреть по шкале фондирования, то можно отметить, что данные инструменты фондирования </w:t>
      </w:r>
      <w:r w:rsidR="00F9119E" w:rsidRPr="00802D35">
        <w:rPr>
          <w:rFonts w:ascii="Times New Roman" w:hAnsi="Times New Roman" w:cs="Times New Roman"/>
          <w:sz w:val="28"/>
          <w:szCs w:val="28"/>
        </w:rPr>
        <w:t>располагаются в це</w:t>
      </w:r>
      <w:r w:rsidR="00060E8B" w:rsidRPr="00802D35">
        <w:rPr>
          <w:rFonts w:ascii="Times New Roman" w:hAnsi="Times New Roman" w:cs="Times New Roman"/>
          <w:sz w:val="28"/>
          <w:szCs w:val="28"/>
        </w:rPr>
        <w:t>н</w:t>
      </w:r>
      <w:r w:rsidR="00F9119E" w:rsidRPr="00802D35">
        <w:rPr>
          <w:rFonts w:ascii="Times New Roman" w:hAnsi="Times New Roman" w:cs="Times New Roman"/>
          <w:sz w:val="28"/>
          <w:szCs w:val="28"/>
        </w:rPr>
        <w:t xml:space="preserve">тре шкалы. Это означает, что они занимают наиболее оптимальное положение по стоимости фондирования и по </w:t>
      </w:r>
      <w:r w:rsidR="00060E8B" w:rsidRPr="00802D35">
        <w:rPr>
          <w:rFonts w:ascii="Times New Roman" w:hAnsi="Times New Roman" w:cs="Times New Roman"/>
          <w:sz w:val="28"/>
          <w:szCs w:val="28"/>
        </w:rPr>
        <w:t>рискам покрытия обязательств.</w:t>
      </w:r>
      <w:r w:rsidR="008C0E8A" w:rsidRPr="00802D35">
        <w:rPr>
          <w:rFonts w:ascii="Times New Roman" w:hAnsi="Times New Roman" w:cs="Times New Roman"/>
          <w:sz w:val="28"/>
          <w:szCs w:val="28"/>
        </w:rPr>
        <w:t xml:space="preserve"> </w:t>
      </w:r>
      <w:r w:rsidR="00E836FC" w:rsidRPr="00802D35">
        <w:rPr>
          <w:rFonts w:ascii="Times New Roman" w:hAnsi="Times New Roman" w:cs="Times New Roman"/>
          <w:sz w:val="28"/>
          <w:szCs w:val="28"/>
          <w:shd w:val="clear" w:color="auto" w:fill="FFFFFF"/>
        </w:rPr>
        <w:t>Поскольку существует огромное разнообразие структурных продуктов, то не существует простого определения или единой формулы для расчета риска и доходности структурных продуктов.</w:t>
      </w:r>
      <w:r w:rsidR="00A27CAB" w:rsidRPr="00802D35">
        <w:rPr>
          <w:rFonts w:ascii="Times New Roman" w:hAnsi="Times New Roman" w:cs="Times New Roman"/>
          <w:sz w:val="28"/>
          <w:szCs w:val="28"/>
          <w:shd w:val="clear" w:color="auto" w:fill="FFFFFF"/>
        </w:rPr>
        <w:t xml:space="preserve"> </w:t>
      </w:r>
    </w:p>
    <w:p w:rsidR="00A27CAB" w:rsidRPr="00802D35" w:rsidRDefault="009D56B6" w:rsidP="008C0E8A">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Ступенью ниже находятся такие инструменты фондирования как акции и облигации банков. Выпуская акции, банки предоставляют долю в капитале, что значительно увеличивает риски потери бизнеса в целом. Привлекая ресурсы посредством эмиссии дополнительных акций, банк увеличивает долю акционеров и одновременно предоставляет возможности увеличения уже имеющихся долей держателям предыдущих выпусков. В результате, возникает риск потери контроля за деятельностью банком и возможностью перехода контрольного пакета акций в «чужие» руки. Пытаясь избежать потери власти, некоторые прибегают к эмиссии привилегированных акций, однако, в таком случае банк берет на себя пожизненные обязательства уплаты фиксированных дивидендов при любых обстоятельствах.</w:t>
      </w:r>
    </w:p>
    <w:p w:rsidR="00844791" w:rsidRPr="00802D35" w:rsidRDefault="009D56B6" w:rsidP="008C0E8A">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Альтернативой акциям становятся облигации, которые при сравнении с предыдущими инструментами, становятся более привлекательными. Во-первых, они существуют строго определенный период времени, что ограничивает обязательства банка по выплате процентов на заранее определенный срок. Во-вторых, облигации не участвуют в управлении банком</w:t>
      </w:r>
      <w:r w:rsidR="009D0146" w:rsidRPr="00802D35">
        <w:rPr>
          <w:rFonts w:ascii="Times New Roman" w:hAnsi="Times New Roman" w:cs="Times New Roman"/>
          <w:sz w:val="28"/>
          <w:szCs w:val="28"/>
          <w:shd w:val="clear" w:color="auto" w:fill="FFFFFF"/>
        </w:rPr>
        <w:t xml:space="preserve">, что снижает риски потери бизнеса. Минусом являются более высокие проценты по сравнению с депозитами и сертификатами. Однако, </w:t>
      </w:r>
      <w:r w:rsidR="00844791" w:rsidRPr="00802D35">
        <w:rPr>
          <w:rFonts w:ascii="Times New Roman" w:hAnsi="Times New Roman" w:cs="Times New Roman"/>
          <w:sz w:val="28"/>
          <w:szCs w:val="28"/>
          <w:shd w:val="clear" w:color="auto" w:fill="FFFFFF"/>
        </w:rPr>
        <w:t xml:space="preserve">как показывает казахстанская практика, облигации являются более предпочитаемым инструментом фондирования у банков по сравнению с сертификатами и структурными продуктами. </w:t>
      </w:r>
    </w:p>
    <w:p w:rsidR="008C0E8A" w:rsidRPr="00802D35" w:rsidRDefault="00E5013A" w:rsidP="008C0E8A">
      <w:pPr>
        <w:widowControl w:val="0"/>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sz w:val="28"/>
          <w:szCs w:val="28"/>
        </w:rPr>
        <w:t xml:space="preserve">Самыми дорогими и рисковыми инструментами фондирования выступают различного рода займы одних банков у других банков на внутреннем рынке, международные межбанковские займы и др. Поскольку займы у НБРК были отнесены нами по шкале инструментов фондирования выше, то данную ступень занимают займы БВУ у других банков. </w:t>
      </w:r>
      <w:r w:rsidR="00511F5B" w:rsidRPr="00802D35">
        <w:rPr>
          <w:rFonts w:ascii="Times New Roman" w:hAnsi="Times New Roman" w:cs="Times New Roman"/>
          <w:sz w:val="28"/>
          <w:szCs w:val="28"/>
        </w:rPr>
        <w:t>На практике основную долю в портфеле фондирования БВУ занимают межбанковские кредиты</w:t>
      </w:r>
      <w:r w:rsidR="000C6985" w:rsidRPr="00802D35">
        <w:rPr>
          <w:rFonts w:ascii="Times New Roman" w:hAnsi="Times New Roman" w:cs="Times New Roman"/>
          <w:sz w:val="28"/>
          <w:szCs w:val="28"/>
        </w:rPr>
        <w:t xml:space="preserve">, удобство которых заключается практически в немедленном поступлении средств на счет БВУ без требования резервного обеспечения. Однако, данный инструмент фондирования является самым дорогим и рисковым, именно поэтому был определен нами на самую низшую ступень по шкале инструментов фондирования. </w:t>
      </w:r>
    </w:p>
    <w:p w:rsidR="00EE5044" w:rsidRPr="00802D35" w:rsidRDefault="00EE5044" w:rsidP="008C0E8A">
      <w:pPr>
        <w:widowControl w:val="0"/>
        <w:tabs>
          <w:tab w:val="left" w:pos="709"/>
        </w:tabs>
        <w:spacing w:after="0" w:line="240" w:lineRule="auto"/>
        <w:ind w:firstLine="709"/>
        <w:jc w:val="both"/>
        <w:rPr>
          <w:rFonts w:ascii="Times New Roman" w:eastAsia="Times New Roman" w:hAnsi="Times New Roman" w:cs="Times New Roman"/>
          <w:color w:val="000000"/>
          <w:sz w:val="28"/>
          <w:szCs w:val="28"/>
        </w:rPr>
      </w:pPr>
      <w:r w:rsidRPr="00802D35">
        <w:rPr>
          <w:rFonts w:ascii="Times New Roman" w:eastAsia="Times New Roman" w:hAnsi="Times New Roman" w:cs="Times New Roman"/>
          <w:color w:val="000000"/>
          <w:sz w:val="28"/>
          <w:szCs w:val="28"/>
        </w:rPr>
        <w:t xml:space="preserve">Для устойчивости банка необходима диверсификация ресурсной базы. Зависимость банка от какого-либо определенного источника фондирования может стать причиной повышенных рисков деятельности. В частности, большая доля депозитов физических лиц несет в себе повышение риска </w:t>
      </w:r>
      <w:r w:rsidRPr="00802D35">
        <w:rPr>
          <w:rFonts w:ascii="Times New Roman" w:eastAsia="Times New Roman" w:hAnsi="Times New Roman" w:cs="Times New Roman"/>
          <w:color w:val="000000"/>
          <w:sz w:val="28"/>
          <w:szCs w:val="28"/>
        </w:rPr>
        <w:lastRenderedPageBreak/>
        <w:t>ликвидности. Банки, фондирующиеся преимущественно на межбанковском рынке становятся зависимыми от изменчивости рынка и уязвимы в периоды экономической нестабильности.</w:t>
      </w:r>
      <w:r w:rsidR="008C0E8A" w:rsidRPr="00802D35">
        <w:rPr>
          <w:rFonts w:ascii="Times New Roman" w:eastAsia="Times New Roman" w:hAnsi="Times New Roman" w:cs="Times New Roman"/>
          <w:color w:val="000000"/>
          <w:sz w:val="28"/>
          <w:szCs w:val="28"/>
        </w:rPr>
        <w:t xml:space="preserve"> </w:t>
      </w:r>
      <w:r w:rsidRPr="00802D35">
        <w:rPr>
          <w:rFonts w:ascii="Times New Roman" w:eastAsia="Times New Roman" w:hAnsi="Times New Roman" w:cs="Times New Roman"/>
          <w:color w:val="000000"/>
          <w:sz w:val="28"/>
          <w:szCs w:val="28"/>
        </w:rPr>
        <w:t xml:space="preserve">Специфика банков второго уровня проявляется, как уже говорилось, в структуре их </w:t>
      </w:r>
      <w:r w:rsidR="002F73ED" w:rsidRPr="00802D35">
        <w:rPr>
          <w:rFonts w:ascii="Times New Roman" w:eastAsia="Times New Roman" w:hAnsi="Times New Roman" w:cs="Times New Roman"/>
          <w:color w:val="000000"/>
          <w:sz w:val="28"/>
          <w:szCs w:val="28"/>
        </w:rPr>
        <w:t>фондирования</w:t>
      </w:r>
      <w:r w:rsidRPr="00802D35">
        <w:rPr>
          <w:rFonts w:ascii="Times New Roman" w:eastAsia="Times New Roman" w:hAnsi="Times New Roman" w:cs="Times New Roman"/>
          <w:color w:val="000000"/>
          <w:sz w:val="28"/>
          <w:szCs w:val="28"/>
        </w:rPr>
        <w:t xml:space="preserve">, в которой </w:t>
      </w:r>
      <w:r w:rsidR="002F73ED" w:rsidRPr="00802D35">
        <w:rPr>
          <w:rFonts w:ascii="Times New Roman" w:eastAsia="Times New Roman" w:hAnsi="Times New Roman" w:cs="Times New Roman"/>
          <w:color w:val="000000"/>
          <w:sz w:val="28"/>
          <w:szCs w:val="28"/>
        </w:rPr>
        <w:t xml:space="preserve">превалируют </w:t>
      </w:r>
      <w:r w:rsidRPr="00802D35">
        <w:rPr>
          <w:rFonts w:ascii="Times New Roman" w:eastAsia="Times New Roman" w:hAnsi="Times New Roman" w:cs="Times New Roman"/>
          <w:color w:val="000000"/>
          <w:sz w:val="28"/>
          <w:szCs w:val="28"/>
        </w:rPr>
        <w:t xml:space="preserve">привлеченные, а не собственные </w:t>
      </w:r>
      <w:r w:rsidR="002F73ED" w:rsidRPr="00802D35">
        <w:rPr>
          <w:rFonts w:ascii="Times New Roman" w:eastAsia="Times New Roman" w:hAnsi="Times New Roman" w:cs="Times New Roman"/>
          <w:color w:val="000000"/>
          <w:sz w:val="28"/>
          <w:szCs w:val="28"/>
        </w:rPr>
        <w:t>ресурсы</w:t>
      </w:r>
      <w:r w:rsidRPr="00802D35">
        <w:rPr>
          <w:rFonts w:ascii="Times New Roman" w:eastAsia="Times New Roman" w:hAnsi="Times New Roman" w:cs="Times New Roman"/>
          <w:color w:val="000000"/>
          <w:sz w:val="28"/>
          <w:szCs w:val="28"/>
        </w:rPr>
        <w:t xml:space="preserve">. </w:t>
      </w:r>
      <w:r w:rsidR="002F73ED" w:rsidRPr="00802D35">
        <w:rPr>
          <w:rFonts w:ascii="Times New Roman" w:eastAsia="Times New Roman" w:hAnsi="Times New Roman" w:cs="Times New Roman"/>
          <w:color w:val="000000"/>
          <w:sz w:val="28"/>
          <w:szCs w:val="28"/>
        </w:rPr>
        <w:t>Поэтому</w:t>
      </w:r>
      <w:r w:rsidRPr="00802D35">
        <w:rPr>
          <w:rFonts w:ascii="Times New Roman" w:eastAsia="Times New Roman" w:hAnsi="Times New Roman" w:cs="Times New Roman"/>
          <w:color w:val="000000"/>
          <w:sz w:val="28"/>
          <w:szCs w:val="28"/>
        </w:rPr>
        <w:t xml:space="preserve">, именно от эффективности формирования привлеченных ресурсов зависит и финансовый результат деятельности банка. </w:t>
      </w:r>
    </w:p>
    <w:p w:rsidR="00EE5044" w:rsidRPr="00802D35" w:rsidRDefault="002F73ED" w:rsidP="008C0E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02D35">
        <w:rPr>
          <w:rFonts w:ascii="Times New Roman" w:eastAsia="Times New Roman" w:hAnsi="Times New Roman" w:cs="Times New Roman"/>
          <w:color w:val="000000"/>
          <w:sz w:val="28"/>
          <w:szCs w:val="28"/>
        </w:rPr>
        <w:t>Обеспечение сбалансированности</w:t>
      </w:r>
      <w:r w:rsidR="00EE5044" w:rsidRPr="00802D35">
        <w:rPr>
          <w:rFonts w:ascii="Times New Roman" w:eastAsia="Times New Roman" w:hAnsi="Times New Roman" w:cs="Times New Roman"/>
          <w:color w:val="000000"/>
          <w:sz w:val="28"/>
          <w:szCs w:val="28"/>
        </w:rPr>
        <w:t xml:space="preserve"> </w:t>
      </w:r>
      <w:r w:rsidRPr="00802D35">
        <w:rPr>
          <w:rFonts w:ascii="Times New Roman" w:eastAsia="Times New Roman" w:hAnsi="Times New Roman" w:cs="Times New Roman"/>
          <w:color w:val="000000"/>
          <w:sz w:val="28"/>
          <w:szCs w:val="28"/>
        </w:rPr>
        <w:t>депозитных и недепозитных источников фондирования</w:t>
      </w:r>
      <w:r w:rsidR="00EE5044" w:rsidRPr="00802D35">
        <w:rPr>
          <w:rFonts w:ascii="Times New Roman" w:eastAsia="Times New Roman" w:hAnsi="Times New Roman" w:cs="Times New Roman"/>
          <w:color w:val="000000"/>
          <w:sz w:val="28"/>
          <w:szCs w:val="28"/>
        </w:rPr>
        <w:t xml:space="preserve"> в структуре ресурс</w:t>
      </w:r>
      <w:r w:rsidRPr="00802D35">
        <w:rPr>
          <w:rFonts w:ascii="Times New Roman" w:eastAsia="Times New Roman" w:hAnsi="Times New Roman" w:cs="Times New Roman"/>
          <w:color w:val="000000"/>
          <w:sz w:val="28"/>
          <w:szCs w:val="28"/>
        </w:rPr>
        <w:t>ов</w:t>
      </w:r>
      <w:r w:rsidR="00EE5044" w:rsidRPr="00802D35">
        <w:rPr>
          <w:rFonts w:ascii="Times New Roman" w:eastAsia="Times New Roman" w:hAnsi="Times New Roman" w:cs="Times New Roman"/>
          <w:color w:val="000000"/>
          <w:sz w:val="28"/>
          <w:szCs w:val="28"/>
        </w:rPr>
        <w:t xml:space="preserve"> </w:t>
      </w:r>
      <w:r w:rsidRPr="00802D35">
        <w:rPr>
          <w:rFonts w:ascii="Times New Roman" w:eastAsia="Times New Roman" w:hAnsi="Times New Roman" w:cs="Times New Roman"/>
          <w:color w:val="000000"/>
          <w:sz w:val="28"/>
          <w:szCs w:val="28"/>
        </w:rPr>
        <w:t>банка в определенной степени должно исходить из</w:t>
      </w:r>
      <w:r w:rsidR="00EE5044" w:rsidRPr="00802D35">
        <w:rPr>
          <w:rFonts w:ascii="Times New Roman" w:eastAsia="Times New Roman" w:hAnsi="Times New Roman" w:cs="Times New Roman"/>
          <w:color w:val="000000"/>
          <w:sz w:val="28"/>
          <w:szCs w:val="28"/>
        </w:rPr>
        <w:t xml:space="preserve"> специализации </w:t>
      </w:r>
      <w:r w:rsidRPr="00802D35">
        <w:rPr>
          <w:rFonts w:ascii="Times New Roman" w:eastAsia="Times New Roman" w:hAnsi="Times New Roman" w:cs="Times New Roman"/>
          <w:color w:val="000000"/>
          <w:sz w:val="28"/>
          <w:szCs w:val="28"/>
        </w:rPr>
        <w:t xml:space="preserve">банковской </w:t>
      </w:r>
      <w:r w:rsidR="00EE5044" w:rsidRPr="00802D35">
        <w:rPr>
          <w:rFonts w:ascii="Times New Roman" w:eastAsia="Times New Roman" w:hAnsi="Times New Roman" w:cs="Times New Roman"/>
          <w:color w:val="000000"/>
          <w:sz w:val="28"/>
          <w:szCs w:val="28"/>
        </w:rPr>
        <w:t>деятельности [</w:t>
      </w:r>
      <w:r w:rsidR="000B0564" w:rsidRPr="00802D35">
        <w:rPr>
          <w:rFonts w:ascii="Times New Roman" w:eastAsia="Times New Roman" w:hAnsi="Times New Roman" w:cs="Times New Roman"/>
          <w:color w:val="000000"/>
          <w:sz w:val="28"/>
          <w:szCs w:val="28"/>
        </w:rPr>
        <w:t>52</w:t>
      </w:r>
      <w:r w:rsidR="00EE5044" w:rsidRPr="00802D35">
        <w:rPr>
          <w:rFonts w:ascii="Times New Roman" w:eastAsia="Times New Roman" w:hAnsi="Times New Roman" w:cs="Times New Roman"/>
          <w:color w:val="000000"/>
          <w:sz w:val="28"/>
          <w:szCs w:val="28"/>
        </w:rPr>
        <w:t>].</w:t>
      </w:r>
    </w:p>
    <w:p w:rsidR="00EE5044" w:rsidRPr="00802D35" w:rsidRDefault="002F73ED" w:rsidP="008C0E8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02D35">
        <w:rPr>
          <w:rFonts w:ascii="Times New Roman" w:eastAsia="Times New Roman" w:hAnsi="Times New Roman" w:cs="Times New Roman"/>
          <w:color w:val="000000"/>
          <w:sz w:val="28"/>
          <w:szCs w:val="28"/>
        </w:rPr>
        <w:t>К</w:t>
      </w:r>
      <w:r w:rsidR="00EE5044" w:rsidRPr="00802D35">
        <w:rPr>
          <w:rFonts w:ascii="Times New Roman" w:eastAsia="Times New Roman" w:hAnsi="Times New Roman" w:cs="Times New Roman"/>
          <w:color w:val="000000"/>
          <w:sz w:val="28"/>
          <w:szCs w:val="28"/>
        </w:rPr>
        <w:t xml:space="preserve">азахстанские банки </w:t>
      </w:r>
      <w:r w:rsidRPr="00802D35">
        <w:rPr>
          <w:rFonts w:ascii="Times New Roman" w:eastAsia="Times New Roman" w:hAnsi="Times New Roman" w:cs="Times New Roman"/>
          <w:color w:val="000000"/>
          <w:sz w:val="28"/>
          <w:szCs w:val="28"/>
        </w:rPr>
        <w:t>не имеют специализации в</w:t>
      </w:r>
      <w:r w:rsidR="00EE5044" w:rsidRPr="00802D35">
        <w:rPr>
          <w:rFonts w:ascii="Times New Roman" w:eastAsia="Times New Roman" w:hAnsi="Times New Roman" w:cs="Times New Roman"/>
          <w:color w:val="000000"/>
          <w:sz w:val="28"/>
          <w:szCs w:val="28"/>
        </w:rPr>
        <w:t xml:space="preserve"> инвестиционной деятельности, </w:t>
      </w:r>
      <w:r w:rsidRPr="00802D35">
        <w:rPr>
          <w:rFonts w:ascii="Times New Roman" w:eastAsia="Times New Roman" w:hAnsi="Times New Roman" w:cs="Times New Roman"/>
          <w:color w:val="000000"/>
          <w:sz w:val="28"/>
          <w:szCs w:val="28"/>
        </w:rPr>
        <w:t>поэтому отдают преимущество вкладам как основному источнику фондирования</w:t>
      </w:r>
      <w:r w:rsidR="00EE5044" w:rsidRPr="00802D35">
        <w:rPr>
          <w:rFonts w:ascii="Times New Roman" w:eastAsia="Times New Roman" w:hAnsi="Times New Roman" w:cs="Times New Roman"/>
          <w:color w:val="000000"/>
          <w:sz w:val="28"/>
          <w:szCs w:val="28"/>
        </w:rPr>
        <w:t xml:space="preserve"> </w:t>
      </w:r>
      <w:r w:rsidR="006814E1" w:rsidRPr="00802D35">
        <w:rPr>
          <w:rFonts w:ascii="Times New Roman" w:eastAsia="Times New Roman" w:hAnsi="Times New Roman" w:cs="Times New Roman"/>
          <w:color w:val="000000"/>
          <w:sz w:val="28"/>
          <w:szCs w:val="28"/>
        </w:rPr>
        <w:t>[</w:t>
      </w:r>
      <w:r w:rsidR="000B0564" w:rsidRPr="00802D35">
        <w:rPr>
          <w:rFonts w:ascii="Times New Roman" w:eastAsia="Times New Roman" w:hAnsi="Times New Roman" w:cs="Times New Roman"/>
          <w:color w:val="000000"/>
          <w:sz w:val="28"/>
          <w:szCs w:val="28"/>
        </w:rPr>
        <w:t>53</w:t>
      </w:r>
      <w:r w:rsidR="006814E1" w:rsidRPr="00802D35">
        <w:rPr>
          <w:rFonts w:ascii="Times New Roman" w:eastAsia="Times New Roman" w:hAnsi="Times New Roman" w:cs="Times New Roman"/>
          <w:color w:val="000000"/>
          <w:sz w:val="28"/>
          <w:szCs w:val="28"/>
        </w:rPr>
        <w:t>].</w:t>
      </w:r>
    </w:p>
    <w:p w:rsidR="00EE5044" w:rsidRPr="00802D35" w:rsidRDefault="002F73ED" w:rsidP="008C0E8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02D35">
        <w:rPr>
          <w:rFonts w:ascii="Times New Roman" w:eastAsia="Times New Roman" w:hAnsi="Times New Roman" w:cs="Times New Roman"/>
          <w:color w:val="000000"/>
          <w:sz w:val="28"/>
          <w:szCs w:val="28"/>
        </w:rPr>
        <w:t>В отличие от отечественных БВУ, о</w:t>
      </w:r>
      <w:r w:rsidR="00EE5044" w:rsidRPr="00802D35">
        <w:rPr>
          <w:rFonts w:ascii="Times New Roman" w:eastAsia="Times New Roman" w:hAnsi="Times New Roman" w:cs="Times New Roman"/>
          <w:color w:val="000000"/>
          <w:sz w:val="28"/>
          <w:szCs w:val="28"/>
        </w:rPr>
        <w:t>сновное фондирование зарубежные банки преимущественно получают напрямую от институциональных инвесторов на мировых финансовых рынках. Данные средства в основном используется для финансирования деятельности банков на рынках капитала, приобретения высококачественных ликвидных активов, а также для финансирования различных банковских услуг. Источники фондирования, полученные от размещения долговых финансовых инструментов, позволяют банкам быстро привлекать большие суммы как краткосрочные, так и долгосрочные. Однако стоимость и доступность такого фондирования зависят от условий на мировых финансовых рынках, что делает его менее стабильным по сравнению с розничными и корпоративными депозитами. Например, во время финансового кризиса сильная зависимость от краткосрочного такого фондирования некоторыми иностранными банками способствовала возникновению проблем с платежеспособностью [</w:t>
      </w:r>
      <w:r w:rsidR="000B0564" w:rsidRPr="00802D35">
        <w:rPr>
          <w:rFonts w:ascii="Times New Roman" w:eastAsia="Times New Roman" w:hAnsi="Times New Roman" w:cs="Times New Roman"/>
          <w:color w:val="000000"/>
          <w:sz w:val="28"/>
          <w:szCs w:val="28"/>
        </w:rPr>
        <w:t>54</w:t>
      </w:r>
      <w:r w:rsidR="00EE5044" w:rsidRPr="00802D35">
        <w:rPr>
          <w:rFonts w:ascii="Times New Roman" w:eastAsia="Times New Roman" w:hAnsi="Times New Roman" w:cs="Times New Roman"/>
          <w:color w:val="000000"/>
          <w:sz w:val="28"/>
          <w:szCs w:val="28"/>
        </w:rPr>
        <w:t>]</w:t>
      </w:r>
      <w:r w:rsidR="006814E1" w:rsidRPr="00802D35">
        <w:rPr>
          <w:rFonts w:ascii="Times New Roman" w:eastAsia="Times New Roman" w:hAnsi="Times New Roman" w:cs="Times New Roman"/>
          <w:color w:val="000000"/>
          <w:sz w:val="28"/>
          <w:szCs w:val="28"/>
        </w:rPr>
        <w:t>.</w:t>
      </w:r>
    </w:p>
    <w:p w:rsidR="00EE5044" w:rsidRPr="00802D35" w:rsidRDefault="00EE5044" w:rsidP="008C0E8A">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8"/>
          <w:szCs w:val="28"/>
        </w:rPr>
      </w:pPr>
      <w:r w:rsidRPr="00802D35">
        <w:rPr>
          <w:rFonts w:ascii="Times New Roman" w:eastAsia="Times New Roman" w:hAnsi="Times New Roman" w:cs="Times New Roman"/>
          <w:color w:val="000000"/>
          <w:sz w:val="28"/>
          <w:szCs w:val="28"/>
        </w:rPr>
        <w:t>Большая часть фондирования в зарубежных банках, особенно с более длительными сроками погашения, поступает напрямую от институциональных инвесторов, которые предоставляют банкам финансирование путем приобретения рыночных ценных бумаг на первичном рынке. Эти инструменты впоследствии могут быть проданы на вторичном рынке среди различных типов инвесторов. Например, Большая шестерка канадских банков использует широкий спектр инструментов данного типа фондирования как на канадском, так и на зарубежных рынках. Эти инструменты финансирования, которые обычно считаются обязательствами на балансах банков, могут быть классифицированы как обеспеченные или необеспеченные займы, сроки погашения которых могут варьироваться от краткосрочных до долгосрочных [</w:t>
      </w:r>
      <w:r w:rsidR="000B0564" w:rsidRPr="00802D35">
        <w:rPr>
          <w:rFonts w:ascii="Times New Roman" w:eastAsia="Times New Roman" w:hAnsi="Times New Roman" w:cs="Times New Roman"/>
          <w:color w:val="000000"/>
          <w:sz w:val="28"/>
          <w:szCs w:val="28"/>
        </w:rPr>
        <w:t>55</w:t>
      </w:r>
      <w:r w:rsidRPr="00802D35">
        <w:rPr>
          <w:rFonts w:ascii="Times New Roman" w:eastAsia="Times New Roman" w:hAnsi="Times New Roman" w:cs="Times New Roman"/>
          <w:color w:val="000000"/>
          <w:sz w:val="28"/>
          <w:szCs w:val="28"/>
        </w:rPr>
        <w:t>]</w:t>
      </w:r>
      <w:r w:rsidR="006814E1" w:rsidRPr="00802D35">
        <w:rPr>
          <w:rFonts w:ascii="Times New Roman" w:eastAsia="Times New Roman" w:hAnsi="Times New Roman" w:cs="Times New Roman"/>
          <w:color w:val="000000"/>
          <w:sz w:val="28"/>
          <w:szCs w:val="28"/>
        </w:rPr>
        <w:t>.</w:t>
      </w:r>
    </w:p>
    <w:p w:rsidR="00EE5044" w:rsidRPr="00802D35" w:rsidRDefault="00EE5044" w:rsidP="008C0E8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02D35">
        <w:rPr>
          <w:rFonts w:ascii="Times New Roman" w:eastAsia="Times New Roman" w:hAnsi="Times New Roman" w:cs="Times New Roman"/>
          <w:color w:val="000000"/>
          <w:sz w:val="28"/>
          <w:szCs w:val="28"/>
        </w:rPr>
        <w:t>В целом, выбор источника фондирования зависит от масштабов деятельности банка</w:t>
      </w:r>
      <w:r w:rsidR="006814E1" w:rsidRPr="00802D35">
        <w:rPr>
          <w:rFonts w:ascii="Times New Roman" w:eastAsia="Times New Roman" w:hAnsi="Times New Roman" w:cs="Times New Roman"/>
          <w:color w:val="000000"/>
          <w:sz w:val="28"/>
          <w:szCs w:val="28"/>
        </w:rPr>
        <w:t xml:space="preserve">. Для </w:t>
      </w:r>
      <w:r w:rsidRPr="00802D35">
        <w:rPr>
          <w:rFonts w:ascii="Times New Roman" w:eastAsia="Times New Roman" w:hAnsi="Times New Roman" w:cs="Times New Roman"/>
          <w:color w:val="000000"/>
          <w:sz w:val="28"/>
          <w:szCs w:val="28"/>
        </w:rPr>
        <w:t xml:space="preserve"> </w:t>
      </w:r>
      <w:r w:rsidR="006814E1" w:rsidRPr="00802D35">
        <w:rPr>
          <w:rFonts w:ascii="Times New Roman" w:eastAsia="Times New Roman" w:hAnsi="Times New Roman" w:cs="Times New Roman"/>
          <w:color w:val="000000"/>
          <w:sz w:val="28"/>
          <w:szCs w:val="28"/>
        </w:rPr>
        <w:t xml:space="preserve">банков, функционирующих на территории определенной страны, </w:t>
      </w:r>
      <w:r w:rsidRPr="00802D35">
        <w:rPr>
          <w:rFonts w:ascii="Times New Roman" w:eastAsia="Times New Roman" w:hAnsi="Times New Roman" w:cs="Times New Roman"/>
          <w:color w:val="000000"/>
          <w:sz w:val="28"/>
          <w:szCs w:val="28"/>
        </w:rPr>
        <w:t xml:space="preserve">денежный рынок </w:t>
      </w:r>
      <w:r w:rsidR="006814E1" w:rsidRPr="00802D35">
        <w:rPr>
          <w:rFonts w:ascii="Times New Roman" w:eastAsia="Times New Roman" w:hAnsi="Times New Roman" w:cs="Times New Roman"/>
          <w:color w:val="000000"/>
          <w:sz w:val="28"/>
          <w:szCs w:val="28"/>
        </w:rPr>
        <w:t xml:space="preserve">в их национальной валюте </w:t>
      </w:r>
      <w:r w:rsidRPr="00802D35">
        <w:rPr>
          <w:rFonts w:ascii="Times New Roman" w:eastAsia="Times New Roman" w:hAnsi="Times New Roman" w:cs="Times New Roman"/>
          <w:color w:val="000000"/>
          <w:sz w:val="28"/>
          <w:szCs w:val="28"/>
        </w:rPr>
        <w:t>является существенным источником ликвидности для финансового сектора, в том числе для банковского сектора [</w:t>
      </w:r>
      <w:r w:rsidR="000B0564" w:rsidRPr="00802D35">
        <w:rPr>
          <w:rFonts w:ascii="Times New Roman" w:eastAsia="Times New Roman" w:hAnsi="Times New Roman" w:cs="Times New Roman"/>
          <w:color w:val="000000"/>
          <w:sz w:val="28"/>
          <w:szCs w:val="28"/>
        </w:rPr>
        <w:t>56</w:t>
      </w:r>
      <w:r w:rsidRPr="00802D35">
        <w:rPr>
          <w:rFonts w:ascii="Times New Roman" w:eastAsia="Times New Roman" w:hAnsi="Times New Roman" w:cs="Times New Roman"/>
          <w:color w:val="000000"/>
          <w:sz w:val="28"/>
          <w:szCs w:val="28"/>
        </w:rPr>
        <w:t>].</w:t>
      </w:r>
    </w:p>
    <w:p w:rsidR="00EE5044" w:rsidRPr="00802D35" w:rsidRDefault="00EE5044" w:rsidP="008C0E8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802D35">
        <w:rPr>
          <w:rFonts w:ascii="Times New Roman" w:eastAsia="Times New Roman" w:hAnsi="Times New Roman" w:cs="Times New Roman"/>
          <w:color w:val="000000"/>
          <w:sz w:val="28"/>
          <w:szCs w:val="28"/>
        </w:rPr>
        <w:lastRenderedPageBreak/>
        <w:t>В банковском фондировании стран еврозоны после мирового финансового кризиса произошли серьезные изменения. За последние несколько десятилетий банки ослабили ограничения роста депозитов и привлекли средства от институциональных инвесторов на мировых финансовых рынках. Они стали активно использовать новый источник фондирования, такой как секьюритизация [</w:t>
      </w:r>
      <w:r w:rsidR="000B0564" w:rsidRPr="00802D35">
        <w:rPr>
          <w:rFonts w:ascii="Times New Roman" w:eastAsia="Times New Roman" w:hAnsi="Times New Roman" w:cs="Times New Roman"/>
          <w:color w:val="000000"/>
          <w:sz w:val="28"/>
          <w:szCs w:val="28"/>
        </w:rPr>
        <w:t>57</w:t>
      </w:r>
      <w:r w:rsidRPr="00802D35">
        <w:rPr>
          <w:rFonts w:ascii="Times New Roman" w:eastAsia="Times New Roman" w:hAnsi="Times New Roman" w:cs="Times New Roman"/>
          <w:color w:val="000000"/>
          <w:sz w:val="28"/>
          <w:szCs w:val="28"/>
        </w:rPr>
        <w:t>]. Финансовая глобализация позволила банкам привлечь фондирование далеко за пределами национальных границ, что расширило традиционное международное финансирование на международных межбанковских рынках [</w:t>
      </w:r>
      <w:r w:rsidR="000B0564" w:rsidRPr="00802D35">
        <w:rPr>
          <w:rFonts w:ascii="Times New Roman" w:eastAsia="Times New Roman" w:hAnsi="Times New Roman" w:cs="Times New Roman"/>
          <w:color w:val="000000"/>
          <w:sz w:val="28"/>
          <w:szCs w:val="28"/>
        </w:rPr>
        <w:t>58</w:t>
      </w:r>
      <w:r w:rsidRPr="00802D35">
        <w:rPr>
          <w:rFonts w:ascii="Times New Roman" w:eastAsia="Times New Roman" w:hAnsi="Times New Roman" w:cs="Times New Roman"/>
          <w:color w:val="000000"/>
          <w:sz w:val="28"/>
          <w:szCs w:val="28"/>
        </w:rPr>
        <w:t xml:space="preserve">]. </w:t>
      </w:r>
    </w:p>
    <w:p w:rsidR="00A54C61" w:rsidRPr="00802D35" w:rsidRDefault="005353A3" w:rsidP="008C0E8A">
      <w:pPr>
        <w:pStyle w:val="3"/>
        <w:keepNext w:val="0"/>
        <w:keepLines w:val="0"/>
        <w:widowControl w:val="0"/>
        <w:shd w:val="clear" w:color="auto" w:fill="FFFFFF"/>
        <w:spacing w:before="0" w:line="240" w:lineRule="auto"/>
        <w:ind w:firstLine="567"/>
        <w:jc w:val="both"/>
        <w:textAlignment w:val="baseline"/>
        <w:rPr>
          <w:rFonts w:ascii="Times New Roman" w:hAnsi="Times New Roman" w:cs="Times New Roman"/>
          <w:b w:val="0"/>
          <w:color w:val="auto"/>
          <w:sz w:val="28"/>
          <w:szCs w:val="28"/>
        </w:rPr>
      </w:pPr>
      <w:r w:rsidRPr="00802D35">
        <w:rPr>
          <w:rFonts w:ascii="Times New Roman" w:hAnsi="Times New Roman" w:cs="Times New Roman"/>
          <w:b w:val="0"/>
          <w:color w:val="auto"/>
          <w:sz w:val="28"/>
          <w:szCs w:val="28"/>
        </w:rPr>
        <w:t xml:space="preserve">Таким образом, проведенные анализ и обобщение инструментов фондирования позволяют свидетельствовать о том, что причинами снижения конкурентоустойчивости банков и роста их уязвимости становятся повышение плотности фондирования по источникам, инструментам, срокам и валюте, а также отсутствие сбалансированности в структуре портфеля фондирования. </w:t>
      </w:r>
    </w:p>
    <w:p w:rsidR="005353A3" w:rsidRPr="00802D35" w:rsidRDefault="005353A3" w:rsidP="008C0E8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частности, если возникает ситуация, когда увеличивается плотность фондирования по краткосрочным инструментам, например, увеличивается доля репо, депозитов до востребования, использование остатков на текущих счетах для финансирования активных операций. В результате, возрастают риски ликвидности, что может потянуть за собой проблемы с платежеспособностью, поскольку клиенты могут потребовать выплат практически одновременно. В такой ситуации банк может оказаться вынужден продать и некоторые долгосрочные активы и порой в убыток с целью </w:t>
      </w:r>
      <w:r w:rsidR="00753E02" w:rsidRPr="00802D35">
        <w:rPr>
          <w:rFonts w:ascii="Times New Roman" w:hAnsi="Times New Roman" w:cs="Times New Roman"/>
          <w:sz w:val="28"/>
          <w:szCs w:val="28"/>
        </w:rPr>
        <w:t>погашения текущих обязательств. Если возникшие убытки окажутся выше поддерживаемого капитала, то это может привести к банкротству. Аналогично любые замешательства банка могут дать трещину, поскольку вызовут неуверенность и недоверие со стороны клиентов, в первую очередь, вкладчиков. Поэтому банк должен стремиться прогнозировать возможные сценарии и опасаться, в первую очередь, бегства вкладчиков, поскольку депозиты остаются самыми дешевыми и менее рисковыми инструментами фондирования деятельности.</w:t>
      </w:r>
    </w:p>
    <w:p w:rsidR="00731625" w:rsidRPr="00802D35" w:rsidRDefault="00753E02" w:rsidP="008C0E8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результате, банк стремится как можно больше привлечь вклады. Это означает, что основная масса выдаваемых кредитов должна финансироваться за счет депозитов. Такая цепочка фондирование-финансирование позволяет повысить устойчивость и стабильность банка. Если банк больше полагается на репо и прочие виды краткосрочного межбанковского кредитования, то это усиливает финансовую нестабильность. </w:t>
      </w:r>
      <w:r w:rsidR="00731625" w:rsidRPr="00802D35">
        <w:rPr>
          <w:rFonts w:ascii="Times New Roman" w:hAnsi="Times New Roman" w:cs="Times New Roman"/>
          <w:sz w:val="28"/>
          <w:szCs w:val="28"/>
        </w:rPr>
        <w:t>В свою очередь, выпуск облигаций оказался менее предпочтительным инструментом фондирования, чем депозиты как по стоимости, так и по риску. Однако, в случае потребности дополнительных средств, именно данные инструменты фондирования становятся более предпочтительными, чем займы у других банков.</w:t>
      </w:r>
    </w:p>
    <w:p w:rsidR="00731625" w:rsidRPr="00802D35" w:rsidRDefault="00731625" w:rsidP="008C0E8A">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банк должен постоянно мониторить плотность фондирования и поддерживать сбалансированность портфеля, чтобы обеспечить конкурентоустойчивость в условиях постоянных изменений финансового рынка.</w:t>
      </w:r>
    </w:p>
    <w:p w:rsidR="00731625" w:rsidRPr="00802D35" w:rsidRDefault="00731625" w:rsidP="008C0E8A">
      <w:pPr>
        <w:widowControl w:val="0"/>
        <w:spacing w:after="0" w:line="240" w:lineRule="auto"/>
        <w:ind w:firstLine="567"/>
        <w:jc w:val="both"/>
        <w:rPr>
          <w:rFonts w:ascii="Times New Roman" w:hAnsi="Times New Roman" w:cs="Times New Roman"/>
          <w:sz w:val="28"/>
          <w:szCs w:val="28"/>
        </w:rPr>
      </w:pPr>
    </w:p>
    <w:p w:rsidR="00731625" w:rsidRPr="00802D35" w:rsidRDefault="00731625" w:rsidP="00731625">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 xml:space="preserve">Выводы по 1 </w:t>
      </w:r>
      <w:r w:rsidR="00C22913" w:rsidRPr="00802D35">
        <w:rPr>
          <w:rFonts w:ascii="Times New Roman" w:hAnsi="Times New Roman" w:cs="Times New Roman"/>
          <w:sz w:val="28"/>
          <w:szCs w:val="28"/>
        </w:rPr>
        <w:t>разделу</w:t>
      </w:r>
    </w:p>
    <w:p w:rsidR="001146D9" w:rsidRPr="00802D35" w:rsidRDefault="002747E4" w:rsidP="00203A4B">
      <w:pPr>
        <w:pStyle w:val="a3"/>
        <w:widowControl w:val="0"/>
        <w:numPr>
          <w:ilvl w:val="0"/>
          <w:numId w:val="6"/>
        </w:numPr>
        <w:tabs>
          <w:tab w:val="left" w:pos="993"/>
        </w:tabs>
        <w:spacing w:after="0" w:line="240" w:lineRule="auto"/>
        <w:ind w:left="0" w:firstLine="567"/>
        <w:jc w:val="both"/>
        <w:rPr>
          <w:rFonts w:ascii="Times New Roman" w:hAnsi="Times New Roman" w:cs="Times New Roman"/>
          <w:i/>
          <w:sz w:val="28"/>
          <w:szCs w:val="28"/>
        </w:rPr>
      </w:pPr>
      <w:r w:rsidRPr="00802D35">
        <w:rPr>
          <w:rFonts w:ascii="Times New Roman" w:hAnsi="Times New Roman" w:cs="Times New Roman"/>
          <w:sz w:val="28"/>
          <w:szCs w:val="28"/>
        </w:rPr>
        <w:t xml:space="preserve">Несмотря на наличие большого объема мировой и отечественной научной литературы относительно фондирования деятельности банков, в настоящее время не представлено четких и устоявшихся определений самого понятия фондирования банковской деятельности. В связи с этим, на основании обобщения и анализа научных источников нами было дано следующее определение. </w:t>
      </w:r>
      <w:r w:rsidR="001146D9" w:rsidRPr="00802D35">
        <w:rPr>
          <w:rFonts w:ascii="Times New Roman" w:hAnsi="Times New Roman" w:cs="Times New Roman"/>
          <w:sz w:val="28"/>
          <w:szCs w:val="28"/>
        </w:rPr>
        <w:t>По нашему мнению, фондирование банковской деятельности представляет собой континуальный, целенаправленный и контролируемый процесс формирования фонда финансовых ресурсов с наименьшей стоимостью и трансформации их в средства финансирования доходных активных операций в пределах имеющихся ресурсов банка.</w:t>
      </w:r>
    </w:p>
    <w:p w:rsidR="001146D9" w:rsidRPr="00802D35" w:rsidRDefault="001146D9" w:rsidP="001146D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Также на основании анализа мировой и отечественной научной литературы нами определены признаки, позволяющие уточнить различия в терминах «фондирование» и «финансирование».</w:t>
      </w:r>
    </w:p>
    <w:p w:rsidR="001146D9" w:rsidRPr="00802D35" w:rsidRDefault="001146D9" w:rsidP="001146D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2) Дальнейшее исследование сущности и содержания фондирования банковской деятельности позволило определить и выявить особенности фондирования банков. К принципам фондирования банков нами были отнесены: непрерывность поступления ресурсов, диверсификация структуры источников и инструментов фондирования, снижение стоимости фондирования, соответствие срочности пассивов и активов, соответствие нормативам регулирования. </w:t>
      </w:r>
    </w:p>
    <w:p w:rsidR="001146D9" w:rsidRPr="00802D35" w:rsidRDefault="001146D9" w:rsidP="001146D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3) Поскольку основными источниками фондирования становятся привлекаемые банком ресурсы, которые по своей природе являются ограниченными, то деятельность банков в пределах имеющихся в их распоряжении ресурсов создает реальную потребность в борьбе за эти средства. Иными словами, ограниченность ресурсов на рынке и потребность в организации непрерывности их поступления в банк с целью обеспечения бесперебойности деятельности банков создает актуальные предпосылки развития конкуренции на банковском рынке. Учитывая тот факт, что привлекаемые ресурсы выступают движущей силой, катализаторами роста прибыльности банка, то фондирование становится драйвером финансовой стабильности банка. </w:t>
      </w:r>
    </w:p>
    <w:p w:rsidR="001146D9" w:rsidRPr="00802D35" w:rsidRDefault="001146D9" w:rsidP="001146D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4) Расширяя понятия проанализированных научных источников, на наш взгляд, понятие «конкурентоустойчивость» включает в себя стабильность и гибкость банка по отношению к изменениям внешней и внутренней среды, адаптивность банка, персистентность и воспроизводимость качественных функций банка по удержанию конкурентных преимуществ вне зависимости от влияния экзогенных и эндогенных факторов. Иными словами конкурентоустойчивость банка следует рассматривать не только как способность работать и выживать в конкурентной среде, но и как способность предлагать такие продукты и услуги (или даже создавать на них спрос), которые нацелят банк на достижение эффективных финансовых результатов, несмотря на трудности и ограничения, обусловленные характером изменчивости финансового рынка страны. В результате, важно отметить, что </w:t>
      </w:r>
      <w:r w:rsidRPr="00802D35">
        <w:rPr>
          <w:rFonts w:ascii="Times New Roman" w:hAnsi="Times New Roman" w:cs="Times New Roman"/>
          <w:sz w:val="28"/>
          <w:szCs w:val="28"/>
        </w:rPr>
        <w:lastRenderedPageBreak/>
        <w:t>конкурентоустойчивость банка является значимым и необходимым условием его успешной деятельности.</w:t>
      </w:r>
    </w:p>
    <w:p w:rsidR="001146D9" w:rsidRPr="00802D35" w:rsidRDefault="001146D9" w:rsidP="001146D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 5) Важно выделить составляющие стоимости фондирования, которые, к сожалению, в отечественной научной литературе не рассматриваются: предельная стоимость фондирования и стоимость запасов фондирования. Предельная стоимость фондирования, на наш взгляд, это стоимость дополнительной единицы фондирования и ее вклад в средневзвешенную стоимость фондирования банка в целом</w:t>
      </w:r>
      <w:r w:rsidRPr="00802D35">
        <w:rPr>
          <w:rFonts w:ascii="Times New Roman" w:hAnsi="Times New Roman" w:cs="Times New Roman"/>
          <w:i/>
          <w:sz w:val="28"/>
          <w:szCs w:val="28"/>
        </w:rPr>
        <w:t xml:space="preserve">. </w:t>
      </w:r>
      <w:r w:rsidRPr="00802D35">
        <w:rPr>
          <w:rFonts w:ascii="Times New Roman" w:hAnsi="Times New Roman" w:cs="Times New Roman"/>
          <w:sz w:val="28"/>
          <w:szCs w:val="28"/>
        </w:rPr>
        <w:t>Между поступлением ресурсов и их непосредственном размещении в активы в процессе фондирования возникает разрыв во времени, в течение которого образуются провизии, стоимость в текущий момент которых мы рассматриваем как стоимость запасов фондирования. Таким образом, с нашей точки зрения, стоимость запаса фондирования представляет собой цену привлеченных ресурсов банка, которые в течение определенного времени не были распределены в активы.</w:t>
      </w:r>
    </w:p>
    <w:p w:rsidR="001146D9" w:rsidRPr="00802D35" w:rsidRDefault="001146D9" w:rsidP="001146D9">
      <w:pPr>
        <w:widowControl w:val="0"/>
        <w:spacing w:after="0" w:line="240" w:lineRule="auto"/>
        <w:ind w:firstLine="567"/>
        <w:jc w:val="both"/>
        <w:rPr>
          <w:rFonts w:ascii="Times New Roman" w:hAnsi="Times New Roman" w:cs="Times New Roman"/>
          <w:i/>
          <w:sz w:val="28"/>
          <w:szCs w:val="28"/>
        </w:rPr>
      </w:pPr>
      <w:r w:rsidRPr="00802D35">
        <w:rPr>
          <w:rFonts w:ascii="Times New Roman" w:hAnsi="Times New Roman" w:cs="Times New Roman"/>
          <w:sz w:val="28"/>
          <w:szCs w:val="28"/>
        </w:rPr>
        <w:t xml:space="preserve">6) В экономической литературе нет определения инструмента фондирования, несмотря на то, что данное понятие используется. Также, многие авторы проводят аналогию </w:t>
      </w:r>
      <w:r w:rsidRPr="00802D35">
        <w:rPr>
          <w:rFonts w:ascii="Times New Roman" w:hAnsi="Times New Roman" w:cs="Times New Roman"/>
          <w:i/>
          <w:sz w:val="28"/>
          <w:szCs w:val="28"/>
        </w:rPr>
        <w:t>инструмента</w:t>
      </w:r>
      <w:r w:rsidRPr="00802D35">
        <w:rPr>
          <w:rFonts w:ascii="Times New Roman" w:hAnsi="Times New Roman" w:cs="Times New Roman"/>
          <w:sz w:val="28"/>
          <w:szCs w:val="28"/>
        </w:rPr>
        <w:t xml:space="preserve"> фондирования с понятием </w:t>
      </w:r>
      <w:r w:rsidRPr="00802D35">
        <w:rPr>
          <w:rFonts w:ascii="Times New Roman" w:hAnsi="Times New Roman" w:cs="Times New Roman"/>
          <w:i/>
          <w:sz w:val="28"/>
          <w:szCs w:val="28"/>
        </w:rPr>
        <w:t>источника</w:t>
      </w:r>
      <w:r w:rsidRPr="00802D35">
        <w:rPr>
          <w:rFonts w:ascii="Times New Roman" w:hAnsi="Times New Roman" w:cs="Times New Roman"/>
          <w:sz w:val="28"/>
          <w:szCs w:val="28"/>
        </w:rPr>
        <w:t xml:space="preserve"> фондирования. Однако, на наш взгляд, следует провести четкие границы между понятием «источник фондирования» и «инструмент фондирования». Рассматривая сущность и содержание </w:t>
      </w:r>
      <w:r w:rsidRPr="00802D35">
        <w:rPr>
          <w:rFonts w:ascii="Times New Roman" w:hAnsi="Times New Roman" w:cs="Times New Roman"/>
          <w:i/>
          <w:sz w:val="28"/>
          <w:szCs w:val="28"/>
        </w:rPr>
        <w:t>источников фондирования</w:t>
      </w:r>
      <w:r w:rsidRPr="00802D35">
        <w:rPr>
          <w:rFonts w:ascii="Times New Roman" w:hAnsi="Times New Roman" w:cs="Times New Roman"/>
          <w:sz w:val="28"/>
          <w:szCs w:val="28"/>
        </w:rPr>
        <w:t>, как правило, речь идет о ресурсах, основе их происхождения. Иными словами, источник фондирования предполагает, откуда берутся те или иные ресурсы для финансирования деятельности банков. Источниками фондирования могут быть собственные ресурсы банка, привлеченные, заемные различных видов.</w:t>
      </w:r>
      <w:r w:rsidR="001F130A" w:rsidRPr="00802D35">
        <w:rPr>
          <w:rFonts w:ascii="Times New Roman" w:hAnsi="Times New Roman" w:cs="Times New Roman"/>
          <w:sz w:val="28"/>
          <w:szCs w:val="28"/>
        </w:rPr>
        <w:t xml:space="preserve"> </w:t>
      </w:r>
      <w:r w:rsidRPr="00802D35">
        <w:rPr>
          <w:rFonts w:ascii="Times New Roman" w:hAnsi="Times New Roman" w:cs="Times New Roman"/>
          <w:sz w:val="28"/>
          <w:szCs w:val="28"/>
        </w:rPr>
        <w:t xml:space="preserve">Между тем, когда речь идет об </w:t>
      </w:r>
      <w:r w:rsidRPr="00802D35">
        <w:rPr>
          <w:rFonts w:ascii="Times New Roman" w:hAnsi="Times New Roman" w:cs="Times New Roman"/>
          <w:i/>
          <w:sz w:val="28"/>
          <w:szCs w:val="28"/>
        </w:rPr>
        <w:t>инструментах фондирования</w:t>
      </w:r>
      <w:r w:rsidRPr="00802D35">
        <w:rPr>
          <w:rFonts w:ascii="Times New Roman" w:hAnsi="Times New Roman" w:cs="Times New Roman"/>
          <w:sz w:val="28"/>
          <w:szCs w:val="28"/>
        </w:rPr>
        <w:t xml:space="preserve">, их суть заключается в способе и методе обеспечения деятельности банка соответствующими ресурсами. Здесь возникает вопрос, как обеспечить поступление ресурсов в банк для осуществления деятельности. Инструментами фондирования становятся депозиты, облигации, IPO, банковские займы и др. То есть банк, посредством депозитов привлекает свободные средства населения. Таким образом, можно отметить, что банки постоянно находятся в поисках новых </w:t>
      </w:r>
      <w:r w:rsidRPr="00802D35">
        <w:rPr>
          <w:rFonts w:ascii="Times New Roman" w:hAnsi="Times New Roman" w:cs="Times New Roman"/>
          <w:i/>
          <w:sz w:val="28"/>
          <w:szCs w:val="28"/>
        </w:rPr>
        <w:t>инструментов фондирования</w:t>
      </w:r>
      <w:r w:rsidRPr="00802D35">
        <w:rPr>
          <w:rFonts w:ascii="Times New Roman" w:hAnsi="Times New Roman" w:cs="Times New Roman"/>
          <w:sz w:val="28"/>
          <w:szCs w:val="28"/>
        </w:rPr>
        <w:t xml:space="preserve">, с помощью которых, они смогли бы привлекать средства из различных </w:t>
      </w:r>
      <w:r w:rsidRPr="00802D35">
        <w:rPr>
          <w:rFonts w:ascii="Times New Roman" w:hAnsi="Times New Roman" w:cs="Times New Roman"/>
          <w:i/>
          <w:sz w:val="28"/>
          <w:szCs w:val="28"/>
        </w:rPr>
        <w:t>источников фондирования.</w:t>
      </w:r>
    </w:p>
    <w:p w:rsidR="001146D9" w:rsidRPr="00802D35" w:rsidRDefault="001146D9" w:rsidP="001146D9">
      <w:pPr>
        <w:widowControl w:val="0"/>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 xml:space="preserve">7) С целью соблюдения принципа сбалансированности фондирования, нами предлагается рассмотреть </w:t>
      </w:r>
      <w:r w:rsidRPr="00802D35">
        <w:rPr>
          <w:rFonts w:ascii="Times New Roman" w:eastAsia="Times New Roman" w:hAnsi="Times New Roman" w:cs="Times New Roman"/>
          <w:i/>
          <w:sz w:val="28"/>
          <w:szCs w:val="28"/>
          <w:lang w:eastAsia="ru-RU"/>
        </w:rPr>
        <w:t>показатели плотности фондирования</w:t>
      </w:r>
      <w:r w:rsidRPr="00802D35">
        <w:rPr>
          <w:rFonts w:ascii="Times New Roman" w:eastAsia="Times New Roman" w:hAnsi="Times New Roman" w:cs="Times New Roman"/>
          <w:sz w:val="28"/>
          <w:szCs w:val="28"/>
          <w:lang w:eastAsia="ru-RU"/>
        </w:rPr>
        <w:t xml:space="preserve"> по следующим составляющим: валютам, инструментам, клиентам и срокам. На наш взгляд, соблюдение каждым банком установленных лимитов плотности фондирования позволит избежать дополнительных рисков, связанных с концентрацией ресурсов в одной валюте, по одному инструменту, у одного клиента или по одним срокам. </w:t>
      </w:r>
      <w:r w:rsidRPr="00802D35">
        <w:rPr>
          <w:rFonts w:ascii="Times New Roman" w:hAnsi="Times New Roman" w:cs="Times New Roman"/>
          <w:sz w:val="28"/>
          <w:szCs w:val="28"/>
        </w:rPr>
        <w:t>Проведенные анализ и обобщение инструментов фондирования позволяют свидетельствовать о том, что причинами снижения конкурентоустойчивости банков и роста их уязвимости становятся повышение плотности фондирования по источникам, инструментам, срокам и валюте, а также отсутствие сбалансированности в структуре портфеля фондирования.</w:t>
      </w:r>
    </w:p>
    <w:p w:rsidR="00603572" w:rsidRPr="00802D35" w:rsidRDefault="00603572" w:rsidP="00603572">
      <w:pPr>
        <w:widowControl w:val="0"/>
        <w:tabs>
          <w:tab w:val="left" w:pos="851"/>
          <w:tab w:val="left" w:pos="993"/>
        </w:tabs>
        <w:spacing w:after="0" w:line="240" w:lineRule="auto"/>
        <w:ind w:firstLine="567"/>
        <w:jc w:val="center"/>
        <w:rPr>
          <w:rFonts w:ascii="Times New Roman" w:hAnsi="Times New Roman" w:cs="Times New Roman"/>
          <w:b/>
          <w:sz w:val="28"/>
          <w:szCs w:val="28"/>
        </w:rPr>
      </w:pPr>
      <w:r w:rsidRPr="00802D35">
        <w:rPr>
          <w:rFonts w:ascii="Times New Roman" w:hAnsi="Times New Roman" w:cs="Times New Roman"/>
          <w:b/>
          <w:sz w:val="28"/>
          <w:szCs w:val="28"/>
        </w:rPr>
        <w:lastRenderedPageBreak/>
        <w:t xml:space="preserve">2 </w:t>
      </w:r>
      <w:r w:rsidRPr="00802D35">
        <w:rPr>
          <w:rFonts w:ascii="Times New Roman" w:hAnsi="Times New Roman" w:cs="Times New Roman"/>
          <w:b/>
          <w:caps/>
          <w:sz w:val="28"/>
          <w:szCs w:val="28"/>
        </w:rPr>
        <w:t>квалиметрия организации фондирования деятельности БАНКов</w:t>
      </w:r>
      <w:r w:rsidRPr="00802D35">
        <w:rPr>
          <w:rFonts w:ascii="Times New Roman" w:hAnsi="Times New Roman" w:cs="Times New Roman"/>
          <w:b/>
          <w:sz w:val="28"/>
          <w:szCs w:val="28"/>
        </w:rPr>
        <w:t xml:space="preserve"> ВТОРОГО УРОВНЯ РЕСПУБЛИКИ КАЗАХСТАН</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b/>
          <w:sz w:val="28"/>
          <w:szCs w:val="28"/>
        </w:rPr>
        <w:t>2.1 Имплементационная оценка источников банковского фондирования</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rPr>
        <w:t xml:space="preserve">Как было отмечено в предыдущей главе банковский сектор представляет собой основу экономического развития любого государства. </w:t>
      </w:r>
      <w:r w:rsidRPr="00802D35">
        <w:rPr>
          <w:rFonts w:ascii="Times New Roman" w:hAnsi="Times New Roman" w:cs="Times New Roman"/>
          <w:sz w:val="28"/>
          <w:szCs w:val="28"/>
          <w:shd w:val="clear" w:color="auto" w:fill="FFFFFF"/>
        </w:rPr>
        <w:t>Банки второго уровня играют важную роль в накоплении капитала, что имеет важное значение для экономического роста страны. Они мобилизуют небольшие сбережения физических и юридических лиц и аккумулируют их для производственных и инвестиционных целей.</w:t>
      </w:r>
      <w:r w:rsidRPr="00802D35">
        <w:rPr>
          <w:rFonts w:ascii="Times New Roman" w:hAnsi="Times New Roman" w:cs="Times New Roman"/>
          <w:sz w:val="28"/>
          <w:szCs w:val="28"/>
        </w:rPr>
        <w:t xml:space="preserve"> Образованные таким образом накопления </w:t>
      </w:r>
      <w:r w:rsidRPr="00802D35">
        <w:rPr>
          <w:rFonts w:ascii="Times New Roman" w:hAnsi="Times New Roman" w:cs="Times New Roman"/>
          <w:sz w:val="28"/>
          <w:szCs w:val="28"/>
          <w:shd w:val="clear" w:color="auto" w:fill="FFFFFF"/>
        </w:rPr>
        <w:t>используются на цели развития различных регионов страны, что обеспечивает более полное и эффективное использование ресурсов.</w:t>
      </w:r>
    </w:p>
    <w:p w:rsidR="00603572" w:rsidRPr="00802D35" w:rsidRDefault="00603572" w:rsidP="00603572">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За последние 6 лет, начиная с 2015 г. банковский сектор Казахстана характеризуется устойчивой тенденцией сокращения количества БВУ (рисунок 11).</w:t>
      </w:r>
    </w:p>
    <w:p w:rsidR="00603572" w:rsidRPr="00802D35" w:rsidRDefault="00603572" w:rsidP="00603572">
      <w:pPr>
        <w:widowControl w:val="0"/>
        <w:spacing w:after="0" w:line="240" w:lineRule="auto"/>
        <w:jc w:val="both"/>
        <w:rPr>
          <w:rFonts w:ascii="Times New Roman" w:hAnsi="Times New Roman" w:cs="Times New Roman"/>
          <w:sz w:val="28"/>
          <w:szCs w:val="28"/>
        </w:rPr>
      </w:pPr>
      <w:r w:rsidRPr="00802D35">
        <w:rPr>
          <w:noProof/>
          <w:lang w:eastAsia="ru-RU"/>
        </w:rPr>
        <w:drawing>
          <wp:inline distT="0" distB="0" distL="0" distR="0">
            <wp:extent cx="6088380" cy="1882140"/>
            <wp:effectExtent l="0" t="0" r="7620" b="38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Рисунок 11 - Динамика банков второго уровня в Казахстане</w:t>
      </w:r>
    </w:p>
    <w:p w:rsidR="00603572" w:rsidRPr="00802D35" w:rsidRDefault="00603572" w:rsidP="00603572">
      <w:pPr>
        <w:widowControl w:val="0"/>
        <w:spacing w:after="0" w:line="240" w:lineRule="auto"/>
        <w:ind w:firstLine="567"/>
        <w:jc w:val="both"/>
        <w:rPr>
          <w:rFonts w:ascii="Times New Roman" w:hAnsi="Times New Roman" w:cs="Times New Roman"/>
          <w:sz w:val="24"/>
          <w:szCs w:val="24"/>
        </w:rPr>
      </w:pPr>
    </w:p>
    <w:p w:rsidR="00603572" w:rsidRPr="00802D35" w:rsidRDefault="00603572" w:rsidP="00603572">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 на основании источников [</w:t>
      </w:r>
      <w:r w:rsidR="000B0564" w:rsidRPr="00802D35">
        <w:rPr>
          <w:rFonts w:ascii="Times New Roman" w:hAnsi="Times New Roman" w:cs="Times New Roman"/>
          <w:sz w:val="24"/>
          <w:szCs w:val="24"/>
        </w:rPr>
        <w:t>59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65</w:t>
      </w:r>
      <w:r w:rsidRPr="00802D35">
        <w:rPr>
          <w:rFonts w:ascii="Times New Roman" w:hAnsi="Times New Roman" w:cs="Times New Roman"/>
          <w:sz w:val="24"/>
          <w:szCs w:val="24"/>
        </w:rPr>
        <w:t xml:space="preserve">]. </w:t>
      </w:r>
    </w:p>
    <w:p w:rsidR="00603572" w:rsidRPr="00802D35" w:rsidRDefault="00603572" w:rsidP="00603572">
      <w:pPr>
        <w:widowControl w:val="0"/>
        <w:spacing w:after="0" w:line="240" w:lineRule="auto"/>
        <w:ind w:firstLine="567"/>
        <w:jc w:val="both"/>
        <w:rPr>
          <w:rFonts w:ascii="Times New Roman" w:hAnsi="Times New Roman" w:cs="Times New Roman"/>
          <w:sz w:val="24"/>
          <w:szCs w:val="24"/>
        </w:rPr>
      </w:pP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Как видно из представленного рисунка 11 за период с начала 2015 г. количество БВУ в Казахстане сократилось на 46,15%  или на 12 банков. Данная тенденция обусловлена не только прекращением деятельности некоторых БВУ, но и объединением и укрупнением отдельных банков. Так, в 2015 г. было осуществлено </w:t>
      </w:r>
      <w:r w:rsidRPr="00802D35">
        <w:rPr>
          <w:rFonts w:ascii="Times New Roman" w:hAnsi="Times New Roman" w:cs="Times New Roman"/>
          <w:sz w:val="28"/>
          <w:szCs w:val="28"/>
          <w:shd w:val="clear" w:color="auto" w:fill="FFFFFF"/>
        </w:rPr>
        <w:t xml:space="preserve">слияние АО Казкоммерцбанк с АО БТА, а АО Альянс Банк с АО  Темірбанк и АО ForteBank. В 2018 г. произошли объединения банков АО Народный банк и АО Казкоммерцбанк и с рынка ушли АО Qazaq Banki, АО Банк Астаны и АО Эксимбанк. В 2019 г. </w:t>
      </w:r>
      <w:r w:rsidRPr="00802D35">
        <w:rPr>
          <w:rFonts w:ascii="Times New Roman" w:hAnsi="Times New Roman" w:cs="Times New Roman"/>
          <w:bCs/>
          <w:sz w:val="28"/>
          <w:szCs w:val="28"/>
        </w:rPr>
        <w:t>АО</w:t>
      </w:r>
      <w:r w:rsidRPr="00802D35">
        <w:rPr>
          <w:bCs/>
          <w:sz w:val="28"/>
          <w:szCs w:val="28"/>
        </w:rPr>
        <w:t xml:space="preserve"> </w:t>
      </w:r>
      <w:r w:rsidRPr="00802D35">
        <w:rPr>
          <w:rStyle w:val="af"/>
          <w:rFonts w:ascii="Times New Roman" w:hAnsi="Times New Roman" w:cs="Times New Roman"/>
          <w:b w:val="0"/>
          <w:sz w:val="28"/>
          <w:szCs w:val="28"/>
          <w:shd w:val="clear" w:color="auto" w:fill="FFFFFF"/>
        </w:rPr>
        <w:t>ForteBank</w:t>
      </w:r>
      <w:r w:rsidRPr="00802D35">
        <w:rPr>
          <w:rStyle w:val="af"/>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приобрел акции</w:t>
      </w:r>
      <w:r w:rsidRPr="00802D35">
        <w:rPr>
          <w:rFonts w:ascii="Times New Roman" w:hAnsi="Times New Roman" w:cs="Times New Roman"/>
          <w:b/>
          <w:sz w:val="28"/>
          <w:szCs w:val="28"/>
          <w:shd w:val="clear" w:color="auto" w:fill="FFFFFF"/>
        </w:rPr>
        <w:t> </w:t>
      </w:r>
      <w:r w:rsidRPr="00802D35">
        <w:rPr>
          <w:rFonts w:ascii="Times New Roman" w:hAnsi="Times New Roman" w:cs="Times New Roman"/>
          <w:sz w:val="28"/>
          <w:szCs w:val="28"/>
          <w:shd w:val="clear" w:color="auto" w:fill="FFFFFF"/>
        </w:rPr>
        <w:t>АО Банк KassaNova</w:t>
      </w:r>
      <w:r w:rsidRPr="00802D35">
        <w:rPr>
          <w:rFonts w:ascii="Times New Roman" w:hAnsi="Times New Roman" w:cs="Times New Roman"/>
          <w:sz w:val="28"/>
          <w:szCs w:val="28"/>
        </w:rPr>
        <w:t xml:space="preserve">. </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Значимость банков в экономическом развитии государства можно отследить на основании соотношения их активов, займов и вкладов к ВВП страны (рисунок 12).</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jc w:val="both"/>
        <w:rPr>
          <w:rFonts w:ascii="Times New Roman" w:hAnsi="Times New Roman" w:cs="Times New Roman"/>
          <w:sz w:val="28"/>
          <w:szCs w:val="28"/>
        </w:rPr>
      </w:pPr>
      <w:r w:rsidRPr="00802D35">
        <w:rPr>
          <w:noProof/>
          <w:lang w:eastAsia="ru-RU"/>
        </w:rPr>
        <w:lastRenderedPageBreak/>
        <w:drawing>
          <wp:inline distT="0" distB="0" distL="0" distR="0">
            <wp:extent cx="6149340" cy="2430780"/>
            <wp:effectExtent l="0" t="0" r="381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03572" w:rsidRPr="00802D35" w:rsidRDefault="00603572" w:rsidP="00603572">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Рисунок 12 - Роль БВУ в экономическом развитии Казахстана</w:t>
      </w:r>
    </w:p>
    <w:p w:rsidR="00603572" w:rsidRPr="00802D35" w:rsidRDefault="00603572" w:rsidP="00603572">
      <w:pPr>
        <w:widowControl w:val="0"/>
        <w:spacing w:after="0" w:line="240" w:lineRule="auto"/>
        <w:ind w:firstLine="567"/>
        <w:jc w:val="both"/>
        <w:rPr>
          <w:rFonts w:ascii="Times New Roman" w:hAnsi="Times New Roman" w:cs="Times New Roman"/>
          <w:sz w:val="24"/>
          <w:szCs w:val="24"/>
        </w:rPr>
      </w:pPr>
    </w:p>
    <w:p w:rsidR="00603572" w:rsidRPr="00802D35" w:rsidRDefault="00603572" w:rsidP="00603572">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 на основании источников [</w:t>
      </w:r>
      <w:r w:rsidR="000B0564" w:rsidRPr="00802D35">
        <w:rPr>
          <w:rFonts w:ascii="Times New Roman" w:hAnsi="Times New Roman" w:cs="Times New Roman"/>
          <w:sz w:val="24"/>
          <w:szCs w:val="24"/>
        </w:rPr>
        <w:t>59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65</w:t>
      </w:r>
      <w:r w:rsidRPr="00802D35">
        <w:rPr>
          <w:rFonts w:ascii="Times New Roman" w:hAnsi="Times New Roman" w:cs="Times New Roman"/>
          <w:sz w:val="24"/>
          <w:szCs w:val="24"/>
        </w:rPr>
        <w:t>].</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можно отметить, активы и вклады имеют строгую прямую корреляционную зависимость. При этом, в период 2017-2020 гг. наблюдался постепенный и устоявшийся спад всех трех показателей. Средний темп спада вкладов в БВУ по отношению к ВВП составил 16,9%, ссудного портфеля к ВВП – 38,7% и активов по отношению  к ВВП – 5,1%. Тем не менее, на начало 2021 г. заметна положительная динамика: рост вкладов к ВВП составил 15,8%, кредитов к ВВП – 5,7%, а активов БВУ к ВВП – 13%.</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Проанализируем доходность банковского сектора Казахстана (рисунок 13).</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jc w:val="both"/>
        <w:rPr>
          <w:rFonts w:ascii="Times New Roman" w:hAnsi="Times New Roman" w:cs="Times New Roman"/>
          <w:sz w:val="28"/>
          <w:szCs w:val="28"/>
        </w:rPr>
      </w:pPr>
      <w:r w:rsidRPr="00802D35">
        <w:rPr>
          <w:noProof/>
          <w:lang w:eastAsia="ru-RU"/>
        </w:rPr>
        <w:drawing>
          <wp:inline distT="0" distB="0" distL="0" distR="0">
            <wp:extent cx="6115574" cy="2256638"/>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Рисунок 13 - Анализ доходности БВУ</w:t>
      </w:r>
    </w:p>
    <w:p w:rsidR="00603572" w:rsidRPr="00802D35" w:rsidRDefault="00603572" w:rsidP="00603572">
      <w:pPr>
        <w:widowControl w:val="0"/>
        <w:spacing w:after="0" w:line="240" w:lineRule="auto"/>
        <w:ind w:firstLine="567"/>
        <w:jc w:val="both"/>
        <w:rPr>
          <w:rFonts w:ascii="Times New Roman" w:hAnsi="Times New Roman" w:cs="Times New Roman"/>
          <w:sz w:val="24"/>
          <w:szCs w:val="24"/>
        </w:rPr>
      </w:pPr>
    </w:p>
    <w:p w:rsidR="00603572" w:rsidRPr="00802D35" w:rsidRDefault="00603572" w:rsidP="00603572">
      <w:pPr>
        <w:widowControl w:val="0"/>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w:t>
      </w:r>
      <w:r w:rsidR="001F130A" w:rsidRPr="00802D35">
        <w:rPr>
          <w:rFonts w:ascii="Times New Roman" w:hAnsi="Times New Roman" w:cs="Times New Roman"/>
          <w:sz w:val="24"/>
          <w:szCs w:val="24"/>
        </w:rPr>
        <w:t xml:space="preserve"> -</w:t>
      </w:r>
      <w:r w:rsidRPr="00802D35">
        <w:rPr>
          <w:rFonts w:ascii="Times New Roman" w:hAnsi="Times New Roman" w:cs="Times New Roman"/>
          <w:sz w:val="24"/>
          <w:szCs w:val="24"/>
        </w:rPr>
        <w:t xml:space="preserve"> составлено автором на основании источников [</w:t>
      </w:r>
      <w:r w:rsidR="000B0564" w:rsidRPr="00802D35">
        <w:rPr>
          <w:rFonts w:ascii="Times New Roman" w:hAnsi="Times New Roman" w:cs="Times New Roman"/>
          <w:sz w:val="24"/>
          <w:szCs w:val="24"/>
        </w:rPr>
        <w:t>59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65</w:t>
      </w:r>
      <w:r w:rsidRPr="00802D35">
        <w:rPr>
          <w:rFonts w:ascii="Times New Roman" w:hAnsi="Times New Roman" w:cs="Times New Roman"/>
          <w:sz w:val="24"/>
          <w:szCs w:val="24"/>
        </w:rPr>
        <w:t>] и расчетов автора</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Представленные данные демонстрируют плавное снижение доходности банков, начиная с 2018 г. Можно также отметить, что данный период 2018-2020 гг. характеризуется своего рода флетом (торможением) показателей процентной маржи и процентного спрэда БВУ. Расчет полиномиальных трендов позволяет </w:t>
      </w:r>
      <w:r w:rsidRPr="00802D35">
        <w:rPr>
          <w:rFonts w:ascii="Times New Roman" w:hAnsi="Times New Roman" w:cs="Times New Roman"/>
          <w:sz w:val="28"/>
          <w:szCs w:val="28"/>
        </w:rPr>
        <w:lastRenderedPageBreak/>
        <w:t xml:space="preserve">представить прогнозы на предстоящий период, что демонстрирует снижение чистой процентной маржи на начало следующего года и практически отсутствие динамики по показателю чистого процентного спрэда банков страны. </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Следует отметить, что за период с начала пандемии некоторые банки значительно просели в отношении своих доходов, однако, имеются и те, которые, наоборот, существенно повысили свои прибыли. Лидерами стали АО Kaspi bank (57,9% прироста), АО Forte bank (55,4% прироста) и АО Citi bank (47,3% прироста). Вместе с тем, в совокупности банковский сектор показал значительное снижение прибыльности по сравнению с предыдущим 2019 г. </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Банки второго уровня регулярно осуществляют анализ и оценку системы фондирования. При этом, как говорилось ранее, рассматривается структура источников, их срочность и стоимость. Обеспечение баланса источников фондирования и активов по срочности обеспечивает полноценное функционирование банка.</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Для устойчивости банка необходима диверсификация и сбалансированность ресурсной базы. Зависимость банка от какого-либо определенного источника фондирования может стать причиной повышенных рисков деятельности. В частности, большая доля депозитов определенной категории клиентов или преобладание эмиссионных займов в структуре фондирования несут в себе увеличение риска ликвидности. Банки, фондирующиеся преимущественно на межбанковском рынке становятся зависимыми от изменчивости рынка и уязвимы в периоды экономической нестабильности.</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Структура фондирования зависит от масштабов деятельности банка и его специализации. Поскольку казахстанские банки более склонны к традиционной банковской, а не инвестиционной деятельности, то удельный вес депозитной формы привлечения ресурсов, как правило, преобладает. Решающее значение вкладов в структуре фондирования отечественных БВУ обосновывается также и сложностью развития самого финансового рынка, не способного пока обеспечить функционирование структурных банковских продуктов в полной мере, финансовая неграмотность клиентов банка, не способных пока понять преимущества и саму природу гибридных финансовых инструментов, недостаточная квалификация сотрудников БВУ, не способных пока осуществить и понять преимущества и сами процессы секьюритизации.</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Итак, проведем анализ динамики источников фондирования банков второго уровня Казахстана (рисунок 14).</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видно из рисунка 14, основную долю источников фондирования составляют вклады клиентов [</w:t>
      </w:r>
      <w:r w:rsidR="000B0564" w:rsidRPr="00802D35">
        <w:rPr>
          <w:rFonts w:ascii="Times New Roman" w:hAnsi="Times New Roman" w:cs="Times New Roman"/>
          <w:sz w:val="28"/>
          <w:szCs w:val="28"/>
        </w:rPr>
        <w:t>66</w:t>
      </w:r>
      <w:r w:rsidRPr="00802D35">
        <w:rPr>
          <w:rFonts w:ascii="Times New Roman" w:hAnsi="Times New Roman" w:cs="Times New Roman"/>
          <w:sz w:val="28"/>
          <w:szCs w:val="28"/>
        </w:rPr>
        <w:t xml:space="preserve">]. Причем до 2017 года наблюдалась повышательная тенденция. Так, в 2016 г. доля вкладов в структуре источников фондирования выросла на 3,68%, в 2017 г. – на 3,82%. В 2018 г. доля вкладов сократилась на 2,87%. Однако, уже в 2019 г и в последующем в 2020 г. наблюдается рост вкладов клиентов. Причем в 2020 г. данный рост являлся </w:t>
      </w:r>
      <w:r w:rsidRPr="00802D35">
        <w:rPr>
          <w:rFonts w:ascii="Times New Roman" w:hAnsi="Times New Roman" w:cs="Times New Roman"/>
          <w:sz w:val="28"/>
          <w:szCs w:val="28"/>
        </w:rPr>
        <w:lastRenderedPageBreak/>
        <w:t>достаточно существенным. Так, за 2020 г. вклады клиентов БВУ Казахстана выросли на 16,11%.</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jc w:val="both"/>
        <w:rPr>
          <w:rFonts w:ascii="Times New Roman" w:hAnsi="Times New Roman" w:cs="Times New Roman"/>
          <w:sz w:val="28"/>
          <w:szCs w:val="28"/>
        </w:rPr>
      </w:pPr>
      <w:r w:rsidRPr="00802D35">
        <w:rPr>
          <w:i/>
          <w:noProof/>
          <w:lang w:eastAsia="ru-RU"/>
        </w:rPr>
        <w:drawing>
          <wp:inline distT="0" distB="0" distL="0" distR="0">
            <wp:extent cx="6240780" cy="2606040"/>
            <wp:effectExtent l="0" t="0" r="762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03572" w:rsidRPr="00802D35" w:rsidRDefault="00603572" w:rsidP="00603572">
      <w:pPr>
        <w:spacing w:after="0" w:line="240" w:lineRule="auto"/>
        <w:ind w:firstLine="709"/>
        <w:jc w:val="both"/>
        <w:rPr>
          <w:rFonts w:ascii="Times New Roman" w:hAnsi="Times New Roman" w:cs="Times New Roman"/>
          <w:sz w:val="28"/>
          <w:szCs w:val="28"/>
        </w:rPr>
      </w:pPr>
    </w:p>
    <w:p w:rsidR="00603572" w:rsidRPr="00802D35" w:rsidRDefault="00603572" w:rsidP="00603572">
      <w:pPr>
        <w:spacing w:after="0" w:line="240" w:lineRule="auto"/>
        <w:ind w:firstLine="709"/>
        <w:jc w:val="center"/>
        <w:rPr>
          <w:rFonts w:ascii="Times New Roman" w:hAnsi="Times New Roman" w:cs="Times New Roman"/>
          <w:sz w:val="28"/>
          <w:szCs w:val="28"/>
        </w:rPr>
      </w:pPr>
      <w:r w:rsidRPr="00802D35">
        <w:rPr>
          <w:rFonts w:ascii="Times New Roman" w:hAnsi="Times New Roman" w:cs="Times New Roman"/>
          <w:sz w:val="28"/>
          <w:szCs w:val="28"/>
        </w:rPr>
        <w:t>Рисунок 14 - Структура источников фондирования БВУ Казахстана,%</w:t>
      </w:r>
    </w:p>
    <w:p w:rsidR="00603572" w:rsidRPr="00802D35" w:rsidRDefault="00603572" w:rsidP="00603572">
      <w:pPr>
        <w:spacing w:after="0" w:line="240" w:lineRule="auto"/>
        <w:ind w:firstLine="709"/>
        <w:jc w:val="both"/>
        <w:rPr>
          <w:rFonts w:ascii="Times New Roman" w:hAnsi="Times New Roman" w:cs="Times New Roman"/>
          <w:sz w:val="24"/>
          <w:szCs w:val="24"/>
        </w:rPr>
      </w:pPr>
    </w:p>
    <w:p w:rsidR="00603572" w:rsidRPr="00802D35" w:rsidRDefault="00603572" w:rsidP="00603572">
      <w:pPr>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 - составлено на основании источников [</w:t>
      </w:r>
      <w:r w:rsidR="000B0564" w:rsidRPr="00802D35">
        <w:rPr>
          <w:rFonts w:ascii="Times New Roman" w:hAnsi="Times New Roman" w:cs="Times New Roman"/>
          <w:sz w:val="24"/>
          <w:szCs w:val="24"/>
        </w:rPr>
        <w:t>59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65</w:t>
      </w:r>
      <w:r w:rsidRPr="00802D35">
        <w:rPr>
          <w:rFonts w:ascii="Times New Roman" w:hAnsi="Times New Roman" w:cs="Times New Roman"/>
          <w:sz w:val="24"/>
          <w:szCs w:val="24"/>
        </w:rPr>
        <w:t>].</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Выпущенные ценные бумаги занимают сравнительно незначительную долю в структуре фондирования деятельности БВУ. При этом, до 2017 г. их доля сокращалась. Так, в 2016 г. доля ценных бумаг в структуре источников фондирования банков сократилась на 26,92%, в 2017 г. – на 23,81%. В 2018 г. их доля выросла на 19,05%. В 2019 г. доля выпуска банковских ценных бумаг увеличилась еще на 0,3%, однако, в 2020 г. их доля вновь сократилась на 0,8%. </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Доля нераспределенной прибыли в структуре источников фондирования значительно мала. В 2016 г. она сократилась на 71,43%. В 2017 г. банки получили убыток, который в совокупности составил -65,9 млрд тенге. В 2018 г. нераспределенная прибыль банков увеличилась до 3%. Однако, уже в 2019 г. доля использования нераспределенной прибыли в качестве фондирования сократилась на 0,4% и в 2020 г. – еще на 0,3%. </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Следует также отметить, что в 2019 и 2020 гг. в структуре фондирования увеличивается доля займов, получаемых БВУ от Правительства РК на 0,7% и на 0,2% соответственно. </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Необходимо также отметить, что значительное превалирование вкладов в источниках фондирования делает банки сильно зависимыми от депозитов клиентов, преимущественно корпоративных. При этом, рассматривая структуру вкладов, можно отметить рост именно тенговых вкладов в банках (рисунок 15).</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color w:val="000000"/>
          <w:sz w:val="28"/>
          <w:szCs w:val="28"/>
        </w:rPr>
        <w:t xml:space="preserve">В 2018 г. сокращается доля вкладов в национальной валюте на 1,94%. Однако, уже в 2019 г. их доля сокращается на 6,54%, а в 2020 г. еще на 4,4%. В целом ввиду увеличения объема вкладов в целом, в 2020 г. депозиты в тенге выросли на 28,1%, а </w:t>
      </w:r>
      <w:r w:rsidR="001141F9" w:rsidRPr="00802D35">
        <w:rPr>
          <w:rFonts w:ascii="Times New Roman" w:hAnsi="Times New Roman" w:cs="Times New Roman"/>
          <w:color w:val="000000"/>
          <w:sz w:val="28"/>
          <w:szCs w:val="28"/>
        </w:rPr>
        <w:t xml:space="preserve">вклады </w:t>
      </w:r>
      <w:r w:rsidRPr="00802D35">
        <w:rPr>
          <w:rFonts w:ascii="Times New Roman" w:hAnsi="Times New Roman" w:cs="Times New Roman"/>
          <w:color w:val="000000"/>
          <w:sz w:val="28"/>
          <w:szCs w:val="28"/>
        </w:rPr>
        <w:t>в и</w:t>
      </w:r>
      <w:r w:rsidR="004E38BC" w:rsidRPr="00802D35">
        <w:rPr>
          <w:rFonts w:ascii="Times New Roman" w:hAnsi="Times New Roman" w:cs="Times New Roman"/>
          <w:color w:val="000000"/>
          <w:sz w:val="28"/>
          <w:szCs w:val="28"/>
        </w:rPr>
        <w:t>н</w:t>
      </w:r>
      <w:r w:rsidRPr="00802D35">
        <w:rPr>
          <w:rFonts w:ascii="Times New Roman" w:hAnsi="Times New Roman" w:cs="Times New Roman"/>
          <w:color w:val="000000"/>
          <w:sz w:val="28"/>
          <w:szCs w:val="28"/>
        </w:rPr>
        <w:t>в</w:t>
      </w:r>
      <w:r w:rsidR="004E38BC" w:rsidRPr="00802D35">
        <w:rPr>
          <w:rFonts w:ascii="Times New Roman" w:hAnsi="Times New Roman" w:cs="Times New Roman"/>
          <w:color w:val="000000"/>
          <w:sz w:val="28"/>
          <w:szCs w:val="28"/>
        </w:rPr>
        <w:t xml:space="preserve">алюте – на </w:t>
      </w:r>
      <w:r w:rsidRPr="00802D35">
        <w:rPr>
          <w:rFonts w:ascii="Times New Roman" w:hAnsi="Times New Roman" w:cs="Times New Roman"/>
          <w:color w:val="000000"/>
          <w:sz w:val="28"/>
          <w:szCs w:val="28"/>
        </w:rPr>
        <w:t>0,43%.</w:t>
      </w:r>
    </w:p>
    <w:p w:rsidR="00603572" w:rsidRPr="00802D35" w:rsidRDefault="00603572" w:rsidP="00603572">
      <w:pPr>
        <w:spacing w:after="0" w:line="240" w:lineRule="auto"/>
        <w:jc w:val="both"/>
        <w:rPr>
          <w:rFonts w:ascii="Times New Roman" w:hAnsi="Times New Roman" w:cs="Times New Roman"/>
          <w:sz w:val="28"/>
          <w:szCs w:val="28"/>
        </w:rPr>
      </w:pPr>
      <w:r w:rsidRPr="00802D35">
        <w:rPr>
          <w:noProof/>
          <w:lang w:eastAsia="ru-RU"/>
        </w:rPr>
        <w:lastRenderedPageBreak/>
        <w:drawing>
          <wp:inline distT="0" distB="0" distL="0" distR="0">
            <wp:extent cx="6149130" cy="1895912"/>
            <wp:effectExtent l="0" t="0" r="444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03572" w:rsidRPr="00802D35" w:rsidRDefault="00603572" w:rsidP="00603572">
      <w:pPr>
        <w:spacing w:after="0" w:line="240" w:lineRule="auto"/>
        <w:ind w:firstLine="709"/>
        <w:jc w:val="center"/>
        <w:rPr>
          <w:rFonts w:ascii="Times New Roman" w:hAnsi="Times New Roman" w:cs="Times New Roman"/>
          <w:sz w:val="28"/>
          <w:szCs w:val="28"/>
        </w:rPr>
      </w:pPr>
      <w:r w:rsidRPr="00802D35">
        <w:rPr>
          <w:rFonts w:ascii="Times New Roman" w:hAnsi="Times New Roman" w:cs="Times New Roman"/>
          <w:sz w:val="28"/>
          <w:szCs w:val="28"/>
        </w:rPr>
        <w:t>Рисунок 15 - Структура вкладов в БВУ по валюте вклада</w:t>
      </w:r>
    </w:p>
    <w:p w:rsidR="00603572" w:rsidRPr="00802D35" w:rsidRDefault="00603572" w:rsidP="00603572">
      <w:pPr>
        <w:spacing w:after="0" w:line="240" w:lineRule="auto"/>
        <w:ind w:firstLine="709"/>
        <w:jc w:val="both"/>
        <w:rPr>
          <w:rFonts w:ascii="Times New Roman" w:hAnsi="Times New Roman" w:cs="Times New Roman"/>
          <w:sz w:val="24"/>
          <w:szCs w:val="24"/>
        </w:rPr>
      </w:pPr>
    </w:p>
    <w:p w:rsidR="00603572" w:rsidRPr="00802D35" w:rsidRDefault="00603572" w:rsidP="00603572">
      <w:pPr>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 - составлено на основании источников [</w:t>
      </w:r>
      <w:r w:rsidR="000B0564" w:rsidRPr="00802D35">
        <w:rPr>
          <w:rFonts w:ascii="Times New Roman" w:hAnsi="Times New Roman" w:cs="Times New Roman"/>
          <w:sz w:val="24"/>
          <w:szCs w:val="24"/>
        </w:rPr>
        <w:t>67</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68</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70</w:t>
      </w:r>
      <w:r w:rsidRPr="00802D35">
        <w:rPr>
          <w:rFonts w:ascii="Times New Roman" w:hAnsi="Times New Roman" w:cs="Times New Roman"/>
          <w:sz w:val="24"/>
          <w:szCs w:val="24"/>
        </w:rPr>
        <w:t>].</w:t>
      </w:r>
    </w:p>
    <w:p w:rsidR="00603572" w:rsidRPr="00802D35" w:rsidRDefault="00603572" w:rsidP="00603572">
      <w:pPr>
        <w:spacing w:after="0" w:line="240" w:lineRule="auto"/>
        <w:ind w:firstLine="567"/>
        <w:jc w:val="both"/>
        <w:rPr>
          <w:rFonts w:ascii="Times New Roman" w:hAnsi="Times New Roman" w:cs="Times New Roman"/>
          <w:color w:val="000000"/>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Отток вкладов в иностранной валюте стал ощутимым в 2016–2017 годах и был связан с конвертацией вкладов в тенге. Такой процесс оттока валютных и притока тенговых вкладов был характерен как для розничного сегмента, так и крупных вкладов. Сокращение вкладов клиентов в иностранной валюте было вызвано следующими основными факторами. Во-первых, курсовой переоценкой, что обосновало изменения на 12%. Во-вторых, конвертацией в тенге валютных вкладов, что составило 42% фактора снижения. В-третьих, оттоком валютных вкладов, что обеспечило на 46% их снижение в банковском секторе страны.</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 конца 2018 года конвертация валютных вкладов в тенге замедлилась, и наметился явный отток валютных вкладов из банковского сектора Казахстана. Одной из основных причин данного процесса стали предпочтения владельцев этих капиталов инвестировать в активы, обеспечивающие более высокий уровень доходности.</w:t>
      </w:r>
    </w:p>
    <w:p w:rsidR="00603572" w:rsidRPr="00802D35" w:rsidRDefault="00603572" w:rsidP="00603572">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Как рассматривалось в главе 1, важными показателями фондирования являются коэффициент достаточности основного капитала (k-1), собственного капитала (k-2), капитала </w:t>
      </w:r>
      <w:r w:rsidR="004E38BC" w:rsidRPr="00802D35">
        <w:rPr>
          <w:rFonts w:ascii="Times New Roman" w:eastAsia="Times New Roman" w:hAnsi="Times New Roman" w:cs="Times New Roman"/>
          <w:sz w:val="28"/>
          <w:szCs w:val="28"/>
          <w:lang w:eastAsia="ru-RU"/>
        </w:rPr>
        <w:t>1-го</w:t>
      </w:r>
      <w:r w:rsidRPr="00802D35">
        <w:rPr>
          <w:rFonts w:ascii="Times New Roman" w:eastAsia="Times New Roman" w:hAnsi="Times New Roman" w:cs="Times New Roman"/>
          <w:sz w:val="28"/>
          <w:szCs w:val="28"/>
          <w:lang w:eastAsia="ru-RU"/>
        </w:rPr>
        <w:t xml:space="preserve"> уровня (k1-2) и коэффициент k-7. Данные этих коэффициентов по БВУ Казахстана представлены в Приложении </w:t>
      </w:r>
      <w:r w:rsidR="000B0564" w:rsidRPr="00802D35">
        <w:rPr>
          <w:rFonts w:ascii="Times New Roman" w:eastAsia="Times New Roman" w:hAnsi="Times New Roman" w:cs="Times New Roman"/>
          <w:sz w:val="28"/>
          <w:szCs w:val="28"/>
          <w:lang w:eastAsia="ru-RU"/>
        </w:rPr>
        <w:t>Б</w:t>
      </w:r>
      <w:r w:rsidRPr="00802D35">
        <w:rPr>
          <w:rFonts w:ascii="Times New Roman" w:eastAsia="Times New Roman" w:hAnsi="Times New Roman" w:cs="Times New Roman"/>
          <w:sz w:val="28"/>
          <w:szCs w:val="28"/>
          <w:lang w:eastAsia="ru-RU"/>
        </w:rPr>
        <w:t>. Анализируя данные показатели, можно отметить, что все банки выполняют указанные нормативы. Более того, показатели улучшаются с каждым годом. В частности, если в 2019 г. минимальное значение k-1 и k-2 были у АО АТФБанка (менее 9,5%), то уже в 2020 г. минимальное их значение было у АО Kaspi bank – 11,3%, хотя в целом все БВУ превышают требуемый минимальный уровень в 6,5%. Аналогичным образом, увеличение показателей характерно и по коэффициенту k1-2, а по k-7 значения снижаются в сторону улучшения показателя, который не должен превышать 1.</w:t>
      </w:r>
    </w:p>
    <w:p w:rsidR="00603572" w:rsidRPr="00802D35" w:rsidRDefault="00603572" w:rsidP="00603572">
      <w:pPr>
        <w:spacing w:after="0" w:line="240" w:lineRule="auto"/>
        <w:ind w:firstLine="567"/>
        <w:jc w:val="both"/>
        <w:rPr>
          <w:rFonts w:ascii="Times New Roman" w:hAnsi="Times New Roman" w:cs="Times New Roman"/>
          <w:color w:val="000000"/>
          <w:sz w:val="28"/>
          <w:szCs w:val="28"/>
        </w:rPr>
      </w:pPr>
      <w:r w:rsidRPr="00802D35">
        <w:rPr>
          <w:rFonts w:ascii="Times New Roman" w:hAnsi="Times New Roman" w:cs="Times New Roman"/>
          <w:sz w:val="28"/>
          <w:szCs w:val="28"/>
        </w:rPr>
        <w:t xml:space="preserve">В результате стремления Национального банка внедрить принципы Базеля III был введен показатель нетто-стабильного фондирования с февраля 2019 г. Основной целью являлось обеспечение БВУ Казахстана стабильными потоками фондирования деятельности. </w:t>
      </w:r>
      <w:r w:rsidRPr="00802D35">
        <w:rPr>
          <w:rFonts w:ascii="Times New Roman" w:hAnsi="Times New Roman" w:cs="Times New Roman"/>
          <w:color w:val="000000"/>
          <w:sz w:val="28"/>
          <w:szCs w:val="28"/>
        </w:rPr>
        <w:t>В разрезе отдельных казахстанских банков ситуация с нетто-стабильным фондированием следующая (рисунок 16).</w:t>
      </w:r>
    </w:p>
    <w:p w:rsidR="00603572" w:rsidRPr="00802D35" w:rsidRDefault="00603572" w:rsidP="00603572">
      <w:pPr>
        <w:tabs>
          <w:tab w:val="left" w:pos="2977"/>
        </w:tabs>
        <w:spacing w:after="0" w:line="240" w:lineRule="auto"/>
        <w:jc w:val="both"/>
      </w:pPr>
      <w:r w:rsidRPr="00802D35">
        <w:rPr>
          <w:noProof/>
          <w:lang w:eastAsia="ru-RU"/>
        </w:rPr>
        <w:lastRenderedPageBreak/>
        <w:drawing>
          <wp:inline distT="0" distB="0" distL="0" distR="0">
            <wp:extent cx="6107185" cy="6274965"/>
            <wp:effectExtent l="0" t="0" r="8255"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03572" w:rsidRPr="00802D35" w:rsidRDefault="00603572" w:rsidP="00603572">
      <w:pPr>
        <w:spacing w:after="0" w:line="240" w:lineRule="auto"/>
        <w:ind w:firstLine="709"/>
        <w:jc w:val="center"/>
        <w:rPr>
          <w:rFonts w:ascii="Times New Roman" w:hAnsi="Times New Roman" w:cs="Times New Roman"/>
          <w:sz w:val="28"/>
          <w:szCs w:val="28"/>
        </w:rPr>
      </w:pPr>
      <w:r w:rsidRPr="00802D35">
        <w:rPr>
          <w:rFonts w:ascii="Times New Roman" w:hAnsi="Times New Roman" w:cs="Times New Roman"/>
          <w:sz w:val="28"/>
          <w:szCs w:val="28"/>
        </w:rPr>
        <w:t>Рисунок 16 - Коэффициент нетто стабильного фондирования БВУ Казахстана</w:t>
      </w:r>
    </w:p>
    <w:p w:rsidR="00603572" w:rsidRPr="00802D35" w:rsidRDefault="00603572" w:rsidP="00603572">
      <w:pPr>
        <w:pStyle w:val="2"/>
        <w:shd w:val="clear" w:color="auto" w:fill="FFFFFF"/>
        <w:spacing w:before="0"/>
        <w:ind w:firstLine="567"/>
        <w:jc w:val="both"/>
        <w:rPr>
          <w:b w:val="0"/>
          <w:sz w:val="24"/>
          <w:szCs w:val="24"/>
        </w:rPr>
      </w:pPr>
      <w:r w:rsidRPr="00802D35">
        <w:rPr>
          <w:b w:val="0"/>
          <w:sz w:val="24"/>
          <w:szCs w:val="24"/>
        </w:rPr>
        <w:t>Примечание - составлено на основании источников [</w:t>
      </w:r>
      <w:r w:rsidR="000B0564" w:rsidRPr="00802D35">
        <w:rPr>
          <w:b w:val="0"/>
          <w:sz w:val="24"/>
          <w:szCs w:val="24"/>
        </w:rPr>
        <w:t>71</w:t>
      </w:r>
      <w:r w:rsidRPr="00802D35">
        <w:rPr>
          <w:b w:val="0"/>
          <w:sz w:val="24"/>
          <w:szCs w:val="24"/>
        </w:rPr>
        <w:t>],[</w:t>
      </w:r>
      <w:r w:rsidR="000B0564" w:rsidRPr="00802D35">
        <w:rPr>
          <w:b w:val="0"/>
          <w:sz w:val="24"/>
          <w:szCs w:val="24"/>
        </w:rPr>
        <w:t>72</w:t>
      </w:r>
      <w:r w:rsidRPr="00802D35">
        <w:rPr>
          <w:b w:val="0"/>
          <w:sz w:val="24"/>
          <w:szCs w:val="24"/>
        </w:rPr>
        <w:t>],[</w:t>
      </w:r>
      <w:r w:rsidR="000B0564" w:rsidRPr="00802D35">
        <w:rPr>
          <w:b w:val="0"/>
          <w:sz w:val="24"/>
          <w:szCs w:val="24"/>
        </w:rPr>
        <w:t>73</w:t>
      </w:r>
      <w:r w:rsidRPr="00802D35">
        <w:rPr>
          <w:b w:val="0"/>
          <w:sz w:val="24"/>
          <w:szCs w:val="24"/>
        </w:rPr>
        <w:t>],[</w:t>
      </w:r>
      <w:r w:rsidR="000B0564" w:rsidRPr="00802D35">
        <w:rPr>
          <w:b w:val="0"/>
          <w:sz w:val="24"/>
          <w:szCs w:val="24"/>
        </w:rPr>
        <w:t>74</w:t>
      </w:r>
      <w:r w:rsidRPr="00802D35">
        <w:rPr>
          <w:b w:val="0"/>
          <w:sz w:val="24"/>
          <w:szCs w:val="24"/>
        </w:rPr>
        <w:t>].</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Наиболее высокие коэффициенты нетто-стабильного фондирования в характерны для АО Ситибанк Казахстан (выше 4) и АО ДБ НБ Пакистана в Казахстане (выше 5). Существенно повысить значения коэффициентов в 2020 г. удалось 2-м БВУ: АО Jysan Bank (с 1,038 в 2019 г. до 2,849 в 2020 г.) и АО ДБ Банк Китая в Казахстане (с 1,371 в 2019 г. до 2,345 в 2020 г.). По остальным БВУ можно отметить примерно тот же уровень коэффициента нетто-фондирования с учетом небольшого его роста по состоянию на начало 2021 г.</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Как известно, коэффициент нетто стабильного фондирования призван обеспечить БВУ привлечение средне и долгосрочных стабильных источников </w:t>
      </w:r>
      <w:r w:rsidRPr="00802D35">
        <w:rPr>
          <w:rFonts w:ascii="Times New Roman" w:hAnsi="Times New Roman" w:cs="Times New Roman"/>
          <w:sz w:val="28"/>
          <w:szCs w:val="28"/>
        </w:rPr>
        <w:lastRenderedPageBreak/>
        <w:t>фондирования деятельности банков Казахстана, что позволяет сократить зависимость БВУ от краткосрочного фондирования. Анализ данных показывает, что стремясь выполнить норматив, банки стали больше внимания уделять качеству своих портфелей обязательств.</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Рассмотрим динамику основного источника фондирования казахстанских банков – вкладов клиентов (рисунок 17).</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jc w:val="both"/>
        <w:rPr>
          <w:rFonts w:ascii="Times New Roman" w:hAnsi="Times New Roman" w:cs="Times New Roman"/>
          <w:sz w:val="28"/>
          <w:szCs w:val="28"/>
        </w:rPr>
      </w:pPr>
      <w:r w:rsidRPr="00802D35">
        <w:rPr>
          <w:noProof/>
          <w:lang w:eastAsia="ru-RU"/>
        </w:rPr>
        <w:drawing>
          <wp:inline distT="0" distB="0" distL="0" distR="0">
            <wp:extent cx="6164580" cy="1973580"/>
            <wp:effectExtent l="0" t="0" r="7620" b="762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03572" w:rsidRPr="00802D35" w:rsidRDefault="00603572" w:rsidP="00603572">
      <w:pPr>
        <w:spacing w:after="0" w:line="240" w:lineRule="auto"/>
        <w:ind w:firstLine="709"/>
        <w:jc w:val="center"/>
        <w:rPr>
          <w:rFonts w:ascii="Times New Roman" w:hAnsi="Times New Roman" w:cs="Times New Roman"/>
          <w:sz w:val="28"/>
          <w:szCs w:val="28"/>
        </w:rPr>
      </w:pPr>
    </w:p>
    <w:p w:rsidR="00603572" w:rsidRPr="00802D35" w:rsidRDefault="00603572" w:rsidP="00603572">
      <w:pPr>
        <w:spacing w:after="0" w:line="240" w:lineRule="auto"/>
        <w:ind w:firstLine="709"/>
        <w:jc w:val="center"/>
        <w:rPr>
          <w:rFonts w:ascii="Times New Roman" w:hAnsi="Times New Roman" w:cs="Times New Roman"/>
          <w:sz w:val="28"/>
          <w:szCs w:val="28"/>
        </w:rPr>
      </w:pPr>
      <w:r w:rsidRPr="00802D35">
        <w:rPr>
          <w:rFonts w:ascii="Times New Roman" w:hAnsi="Times New Roman" w:cs="Times New Roman"/>
          <w:sz w:val="28"/>
          <w:szCs w:val="28"/>
        </w:rPr>
        <w:t>Рисунок 17 – Динамика вкладов в БВУ, млрд тенге</w:t>
      </w:r>
    </w:p>
    <w:p w:rsidR="00603572" w:rsidRPr="00802D35" w:rsidRDefault="00603572" w:rsidP="00603572">
      <w:pPr>
        <w:spacing w:after="0" w:line="240" w:lineRule="auto"/>
        <w:ind w:firstLine="709"/>
        <w:jc w:val="center"/>
        <w:rPr>
          <w:rFonts w:ascii="Times New Roman" w:hAnsi="Times New Roman" w:cs="Times New Roman"/>
          <w:sz w:val="24"/>
          <w:szCs w:val="24"/>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4"/>
          <w:szCs w:val="24"/>
        </w:rPr>
        <w:t>Примечание - составлено на основании источников [</w:t>
      </w:r>
      <w:r w:rsidR="000B0564" w:rsidRPr="00802D35">
        <w:rPr>
          <w:rFonts w:ascii="Times New Roman" w:hAnsi="Times New Roman" w:cs="Times New Roman"/>
          <w:sz w:val="24"/>
          <w:szCs w:val="24"/>
        </w:rPr>
        <w:t>59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65</w:t>
      </w:r>
      <w:r w:rsidRPr="00802D35">
        <w:rPr>
          <w:rFonts w:ascii="Times New Roman" w:hAnsi="Times New Roman" w:cs="Times New Roman"/>
          <w:sz w:val="24"/>
          <w:szCs w:val="24"/>
        </w:rPr>
        <w:t>].</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Стабильная динамика резкого роста вкладов в банках была характерна вплоть до 2016 г. Начиная с этого периода объем вкладов остается практически на том же уровне, уступая место выпущенным облигациям и нераспределенной прибыли банков [</w:t>
      </w:r>
      <w:r w:rsidR="000B0564" w:rsidRPr="00802D35">
        <w:rPr>
          <w:rFonts w:ascii="Times New Roman" w:hAnsi="Times New Roman" w:cs="Times New Roman"/>
          <w:sz w:val="28"/>
          <w:szCs w:val="28"/>
        </w:rPr>
        <w:t>75</w:t>
      </w:r>
      <w:r w:rsidRPr="00802D35">
        <w:rPr>
          <w:rFonts w:ascii="Times New Roman" w:hAnsi="Times New Roman" w:cs="Times New Roman"/>
          <w:sz w:val="28"/>
          <w:szCs w:val="28"/>
        </w:rPr>
        <w:t>].</w:t>
      </w:r>
    </w:p>
    <w:p w:rsidR="00603572" w:rsidRPr="00802D35" w:rsidRDefault="00603572" w:rsidP="00603572">
      <w:pPr>
        <w:pStyle w:val="justifyfull"/>
        <w:shd w:val="clear" w:color="auto" w:fill="FFFFFF"/>
        <w:spacing w:before="0" w:beforeAutospacing="0" w:after="0" w:afterAutospacing="0"/>
        <w:ind w:firstLine="567"/>
        <w:jc w:val="both"/>
        <w:rPr>
          <w:sz w:val="28"/>
          <w:szCs w:val="28"/>
        </w:rPr>
      </w:pPr>
      <w:r w:rsidRPr="00802D35">
        <w:rPr>
          <w:sz w:val="28"/>
          <w:szCs w:val="28"/>
        </w:rPr>
        <w:t xml:space="preserve">Из значимых тенденций 2018 г. можно выделить рост вкладов населения у АО Kaspi Bank (+12,5 млрд тенге), и их снижение в относительных показателях у АО Qazaq Banki (-26%), АО АзияКредит Банка (-19%) и АО Банка Астаны (-17%). В то же время максимальный рост корпоративных вкладов по итогам 2019 г. в абсолютном выражении отмечается у АО ДБ Сбербанк (+46,7 млрд тенге), который в апреле был лидером по их оттоку (-91,0 млрд тенге). </w:t>
      </w:r>
    </w:p>
    <w:p w:rsidR="00603572" w:rsidRPr="00802D35" w:rsidRDefault="00603572" w:rsidP="00603572">
      <w:pPr>
        <w:pStyle w:val="justifyfull"/>
        <w:shd w:val="clear" w:color="auto" w:fill="FFFFFF"/>
        <w:spacing w:before="0" w:beforeAutospacing="0" w:after="0" w:afterAutospacing="0"/>
        <w:ind w:firstLine="567"/>
        <w:jc w:val="both"/>
        <w:rPr>
          <w:sz w:val="28"/>
          <w:szCs w:val="28"/>
        </w:rPr>
      </w:pPr>
      <w:r w:rsidRPr="00802D35">
        <w:rPr>
          <w:sz w:val="28"/>
          <w:szCs w:val="28"/>
        </w:rPr>
        <w:t xml:space="preserve">За 2020 г. лидером по привлечению вкладов стал АО </w:t>
      </w:r>
      <w:r w:rsidRPr="00802D35">
        <w:rPr>
          <w:sz w:val="28"/>
          <w:szCs w:val="28"/>
          <w:shd w:val="clear" w:color="auto" w:fill="FFFFFF"/>
        </w:rPr>
        <w:t xml:space="preserve">Jysan Bank, рост которых составил 43,89% за год. На втором месте расположился АО </w:t>
      </w:r>
      <w:r w:rsidRPr="00802D35">
        <w:rPr>
          <w:sz w:val="28"/>
          <w:szCs w:val="28"/>
        </w:rPr>
        <w:t>Kaspi Bank с приростом вкладов 38,2% за год. Данный банк является лидером по привлечению вкладов населения, однако, отстает по позициям корпоративных вкладов. На третьем месте – АО Сбербанк  с ростом вкладов на 35,51%. Банк имеет перевес в сторону корпоративных вкладчиков, которые занимают 57,51%  в портфеле депозитов банка.</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Необходимо отметить высокую концентрацию вкладов в малом количестве БВУ Казахстана. Так, более ¾ вкладов населения по-прежнему сосредоточено в 5 из 27 БВУ, таких как АО Халык банк </w:t>
      </w:r>
      <w:r w:rsidRPr="00802D35">
        <w:rPr>
          <w:rFonts w:ascii="Times New Roman" w:hAnsi="Times New Roman" w:cs="Times New Roman"/>
          <w:color w:val="000000"/>
          <w:sz w:val="28"/>
          <w:szCs w:val="28"/>
          <w:shd w:val="clear" w:color="auto" w:fill="FFFFFF"/>
        </w:rPr>
        <w:t>(33,1%), АО Kaspi bank (18,41%), АО Отбасы банк (9,69%), ДБ АО Сбербанк (8,39%) и АО Банк ЦентрКредит (6,12%) (рисунок 18).</w:t>
      </w:r>
    </w:p>
    <w:p w:rsidR="00603572" w:rsidRPr="00802D35" w:rsidRDefault="00603572" w:rsidP="00603572">
      <w:pPr>
        <w:pStyle w:val="justifyfull"/>
        <w:shd w:val="clear" w:color="auto" w:fill="FFFFFF"/>
        <w:spacing w:before="0" w:beforeAutospacing="0" w:after="0" w:afterAutospacing="0"/>
        <w:ind w:firstLine="709"/>
        <w:jc w:val="both"/>
        <w:rPr>
          <w:sz w:val="28"/>
          <w:szCs w:val="28"/>
        </w:rPr>
      </w:pPr>
    </w:p>
    <w:p w:rsidR="00603572" w:rsidRPr="00802D35" w:rsidRDefault="00603572" w:rsidP="00603572">
      <w:pPr>
        <w:pStyle w:val="justifyfull"/>
        <w:shd w:val="clear" w:color="auto" w:fill="FFFFFF"/>
        <w:spacing w:before="0" w:beforeAutospacing="0" w:after="0" w:afterAutospacing="0"/>
        <w:jc w:val="both"/>
        <w:rPr>
          <w:sz w:val="28"/>
          <w:szCs w:val="28"/>
        </w:rPr>
      </w:pPr>
      <w:r w:rsidRPr="00802D35">
        <w:rPr>
          <w:noProof/>
        </w:rPr>
        <w:lastRenderedPageBreak/>
        <w:drawing>
          <wp:inline distT="0" distB="0" distL="0" distR="0">
            <wp:extent cx="6126480" cy="1554480"/>
            <wp:effectExtent l="0" t="0" r="762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03572" w:rsidRPr="00802D35" w:rsidRDefault="00603572" w:rsidP="00603572">
      <w:pPr>
        <w:pStyle w:val="justifyfull"/>
        <w:shd w:val="clear" w:color="auto" w:fill="FFFFFF"/>
        <w:spacing w:before="0" w:beforeAutospacing="0" w:after="0" w:afterAutospacing="0"/>
        <w:ind w:firstLine="709"/>
        <w:jc w:val="both"/>
        <w:rPr>
          <w:sz w:val="28"/>
          <w:szCs w:val="28"/>
        </w:rPr>
      </w:pPr>
    </w:p>
    <w:p w:rsidR="00603572" w:rsidRPr="00802D35" w:rsidRDefault="00603572" w:rsidP="00603572">
      <w:pPr>
        <w:spacing w:after="0" w:line="240" w:lineRule="auto"/>
        <w:ind w:firstLine="709"/>
        <w:jc w:val="center"/>
        <w:rPr>
          <w:rFonts w:ascii="Times New Roman" w:hAnsi="Times New Roman" w:cs="Times New Roman"/>
          <w:sz w:val="28"/>
          <w:szCs w:val="28"/>
        </w:rPr>
      </w:pPr>
      <w:r w:rsidRPr="00802D35">
        <w:rPr>
          <w:rFonts w:ascii="Times New Roman" w:hAnsi="Times New Roman" w:cs="Times New Roman"/>
          <w:sz w:val="28"/>
          <w:szCs w:val="28"/>
        </w:rPr>
        <w:t>Рисунок 18 - Доля крупнейших 5 БВУ Казахстана во вкладах клиентов, %</w:t>
      </w:r>
    </w:p>
    <w:p w:rsidR="00603572" w:rsidRPr="00802D35" w:rsidRDefault="00603572" w:rsidP="00603572">
      <w:pPr>
        <w:spacing w:after="0" w:line="240" w:lineRule="auto"/>
        <w:ind w:firstLine="709"/>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4"/>
          <w:szCs w:val="24"/>
        </w:rPr>
        <w:t>Примечание - составлено на основании источников [</w:t>
      </w:r>
      <w:r w:rsidR="000B0564" w:rsidRPr="00802D35">
        <w:rPr>
          <w:rFonts w:ascii="Times New Roman" w:hAnsi="Times New Roman" w:cs="Times New Roman"/>
          <w:sz w:val="24"/>
          <w:szCs w:val="24"/>
        </w:rPr>
        <w:t>59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65</w:t>
      </w:r>
      <w:r w:rsidRPr="00802D35">
        <w:rPr>
          <w:rFonts w:ascii="Times New Roman" w:hAnsi="Times New Roman" w:cs="Times New Roman"/>
          <w:sz w:val="24"/>
          <w:szCs w:val="24"/>
        </w:rPr>
        <w:t>].</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Начиная с 2016 г. наблюдается постоянная тенденция роста концентрации вкладов клиентов в 5 основных крупных БВУ Казахстана. Причем, если доля 5 крупнейших БВУ во вкладах клиентов в 2016 г. составляла 58,2%, то в 2018 г. уже 64,1%, а в 2020 г. – 66,5%. Таким образом, степень концентрации вкладов увеличивается, что значительно сокращает конкуренцию в банковском секторе страны.</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Если обратить внимание на полиномиальный тренд, то он прогнозирует снижение концентрации вкладов клиентов в 5-ти БВУ, однако, степень ошибки выше 14%. Более точные результаты, к сожалению, полином не определил. Из этого, можно заключить, что с вероятностью 85,79% можно утверждать ослабление концентрации вкладов клиентов.</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Ранее нами была рассмотрена структура фондирования деятельности банков и в качестве одного из основных инструментов фондирования определены текущие счета клиентов. Динамика текущих счетов имеет тенденцию к росту (рисунок 19).</w:t>
      </w:r>
    </w:p>
    <w:p w:rsidR="00603572" w:rsidRPr="00802D35" w:rsidRDefault="00603572" w:rsidP="00603572">
      <w:pPr>
        <w:spacing w:after="0" w:line="240" w:lineRule="auto"/>
        <w:ind w:firstLine="709"/>
        <w:jc w:val="both"/>
        <w:rPr>
          <w:rFonts w:ascii="Times New Roman" w:hAnsi="Times New Roman" w:cs="Times New Roman"/>
          <w:sz w:val="28"/>
          <w:szCs w:val="28"/>
        </w:rPr>
      </w:pPr>
    </w:p>
    <w:p w:rsidR="00603572" w:rsidRPr="00802D35" w:rsidRDefault="00603572" w:rsidP="00603572">
      <w:pPr>
        <w:spacing w:after="0" w:line="240" w:lineRule="auto"/>
        <w:jc w:val="both"/>
        <w:rPr>
          <w:rFonts w:ascii="Times New Roman" w:hAnsi="Times New Roman" w:cs="Times New Roman"/>
          <w:sz w:val="28"/>
          <w:szCs w:val="28"/>
        </w:rPr>
      </w:pPr>
      <w:r w:rsidRPr="00802D35">
        <w:rPr>
          <w:noProof/>
          <w:lang w:eastAsia="ru-RU"/>
        </w:rPr>
        <w:drawing>
          <wp:inline distT="0" distB="0" distL="0" distR="0">
            <wp:extent cx="6096000" cy="2369820"/>
            <wp:effectExtent l="0" t="0" r="0" b="0"/>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03572" w:rsidRPr="00802D35" w:rsidRDefault="00603572" w:rsidP="00603572">
      <w:pPr>
        <w:spacing w:after="0" w:line="240" w:lineRule="auto"/>
        <w:ind w:firstLine="709"/>
        <w:jc w:val="both"/>
        <w:rPr>
          <w:rFonts w:ascii="Times New Roman" w:hAnsi="Times New Roman" w:cs="Times New Roman"/>
          <w:sz w:val="28"/>
          <w:szCs w:val="28"/>
        </w:rPr>
      </w:pPr>
    </w:p>
    <w:p w:rsidR="00603572" w:rsidRPr="00802D35" w:rsidRDefault="00603572" w:rsidP="00603572">
      <w:pPr>
        <w:spacing w:after="0" w:line="240" w:lineRule="auto"/>
        <w:ind w:firstLine="709"/>
        <w:jc w:val="center"/>
        <w:rPr>
          <w:rFonts w:ascii="Times New Roman" w:hAnsi="Times New Roman" w:cs="Times New Roman"/>
          <w:sz w:val="28"/>
          <w:szCs w:val="28"/>
        </w:rPr>
      </w:pPr>
      <w:r w:rsidRPr="00802D35">
        <w:rPr>
          <w:rFonts w:ascii="Times New Roman" w:hAnsi="Times New Roman" w:cs="Times New Roman"/>
          <w:sz w:val="28"/>
          <w:szCs w:val="28"/>
        </w:rPr>
        <w:t>Рисунок 19 - Динамика текущих счетов клиентов в банках, млрд тенге</w:t>
      </w:r>
    </w:p>
    <w:p w:rsidR="00603572" w:rsidRPr="00802D35" w:rsidRDefault="00603572" w:rsidP="00603572">
      <w:pPr>
        <w:spacing w:after="0" w:line="240" w:lineRule="auto"/>
        <w:ind w:firstLine="567"/>
        <w:jc w:val="center"/>
        <w:rPr>
          <w:rFonts w:ascii="Times New Roman" w:hAnsi="Times New Roman" w:cs="Times New Roman"/>
          <w:sz w:val="24"/>
          <w:szCs w:val="24"/>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4"/>
          <w:szCs w:val="24"/>
        </w:rPr>
        <w:t>Примечание - составлено на основании источников [</w:t>
      </w:r>
      <w:r w:rsidR="000B0564" w:rsidRPr="00802D35">
        <w:rPr>
          <w:rFonts w:ascii="Times New Roman" w:hAnsi="Times New Roman" w:cs="Times New Roman"/>
          <w:sz w:val="24"/>
          <w:szCs w:val="24"/>
        </w:rPr>
        <w:t>59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65</w:t>
      </w:r>
      <w:r w:rsidRPr="00802D35">
        <w:rPr>
          <w:rFonts w:ascii="Times New Roman" w:hAnsi="Times New Roman" w:cs="Times New Roman"/>
          <w:sz w:val="24"/>
          <w:szCs w:val="24"/>
        </w:rPr>
        <w:t>].</w:t>
      </w:r>
    </w:p>
    <w:p w:rsidR="00603572" w:rsidRPr="00802D35" w:rsidRDefault="00603572" w:rsidP="00603572">
      <w:pPr>
        <w:spacing w:after="0" w:line="240" w:lineRule="auto"/>
        <w:ind w:firstLine="709"/>
        <w:jc w:val="center"/>
        <w:rPr>
          <w:rFonts w:ascii="Times New Roman" w:hAnsi="Times New Roman" w:cs="Times New Roman"/>
          <w:sz w:val="28"/>
          <w:szCs w:val="28"/>
        </w:rPr>
      </w:pPr>
    </w:p>
    <w:p w:rsidR="00603572" w:rsidRPr="00802D35" w:rsidRDefault="00603572" w:rsidP="00603572">
      <w:pPr>
        <w:pStyle w:val="Default"/>
        <w:ind w:firstLine="567"/>
        <w:jc w:val="both"/>
        <w:rPr>
          <w:sz w:val="28"/>
          <w:szCs w:val="28"/>
        </w:rPr>
      </w:pPr>
      <w:r w:rsidRPr="00802D35">
        <w:rPr>
          <w:sz w:val="28"/>
          <w:szCs w:val="28"/>
        </w:rPr>
        <w:lastRenderedPageBreak/>
        <w:t>Несмотря на то, что текущие счета компаний в 2017 г. сократились на 5,01%, в 2018 г. их объем вырос на 14,88% [</w:t>
      </w:r>
      <w:r w:rsidR="000B0564" w:rsidRPr="00802D35">
        <w:rPr>
          <w:sz w:val="28"/>
          <w:szCs w:val="28"/>
        </w:rPr>
        <w:t>76</w:t>
      </w:r>
      <w:r w:rsidRPr="00802D35">
        <w:rPr>
          <w:sz w:val="28"/>
          <w:szCs w:val="28"/>
        </w:rPr>
        <w:t>]. Основную массу текущих счетов составляют средства юридических лиц, которые более, чем в 4 раза превышают средства физических лиц. В 2019 г. корпоративные текущие счета увеличились на 3%, а населения – на 19,3%, тем самым демонстрируя превалирование сумм на текущих счетах физических лиц. В 2020 г. тенденция роста сохранилась, обеспечив рост сумм на текущих счетах населения на 31,9% и юридических лиц – на 11,1%.</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Полиномиальные тренды как по текущим счетам населения, так и корпоративным прогнозируют дальнейших их рост с вероятностью 99,56% и 97,11% соответственно.</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структуре срочных депозитов, начиная с 2015 г. наблюдается превышение вкладов физических лиц. При этом корпоративные вклады имеют тенденцию к снижению (рисунок 20).</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jc w:val="both"/>
        <w:rPr>
          <w:rFonts w:ascii="Times New Roman" w:hAnsi="Times New Roman" w:cs="Times New Roman"/>
          <w:sz w:val="28"/>
          <w:szCs w:val="28"/>
        </w:rPr>
      </w:pPr>
      <w:r w:rsidRPr="00802D35">
        <w:rPr>
          <w:noProof/>
          <w:lang w:eastAsia="ru-RU"/>
        </w:rPr>
        <w:drawing>
          <wp:inline distT="0" distB="0" distL="0" distR="0">
            <wp:extent cx="6134100" cy="1981200"/>
            <wp:effectExtent l="0" t="0" r="0" b="0"/>
            <wp:docPr id="370" name="Диаграмма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03572" w:rsidRPr="00802D35" w:rsidRDefault="00603572" w:rsidP="00603572">
      <w:pPr>
        <w:spacing w:after="0" w:line="240" w:lineRule="auto"/>
        <w:ind w:firstLine="709"/>
        <w:jc w:val="center"/>
        <w:rPr>
          <w:rFonts w:ascii="Times New Roman" w:hAnsi="Times New Roman" w:cs="Times New Roman"/>
          <w:sz w:val="28"/>
          <w:szCs w:val="28"/>
        </w:rPr>
      </w:pPr>
    </w:p>
    <w:p w:rsidR="00603572" w:rsidRPr="00802D35" w:rsidRDefault="00603572" w:rsidP="00603572">
      <w:pPr>
        <w:spacing w:after="0" w:line="240" w:lineRule="auto"/>
        <w:ind w:firstLine="709"/>
        <w:jc w:val="center"/>
        <w:rPr>
          <w:rFonts w:ascii="Times New Roman" w:hAnsi="Times New Roman" w:cs="Times New Roman"/>
          <w:sz w:val="28"/>
          <w:szCs w:val="28"/>
        </w:rPr>
      </w:pPr>
      <w:r w:rsidRPr="00802D35">
        <w:rPr>
          <w:rFonts w:ascii="Times New Roman" w:hAnsi="Times New Roman" w:cs="Times New Roman"/>
          <w:sz w:val="28"/>
          <w:szCs w:val="28"/>
        </w:rPr>
        <w:t>Рисунок 20 - Динамика срочных вкладов в банках, млрд тенге</w:t>
      </w:r>
    </w:p>
    <w:p w:rsidR="00603572" w:rsidRPr="00802D35" w:rsidRDefault="00603572" w:rsidP="00603572">
      <w:pPr>
        <w:spacing w:after="0" w:line="240" w:lineRule="auto"/>
        <w:ind w:firstLine="567"/>
        <w:jc w:val="both"/>
        <w:rPr>
          <w:rFonts w:ascii="Times New Roman" w:hAnsi="Times New Roman" w:cs="Times New Roman"/>
          <w:sz w:val="24"/>
          <w:szCs w:val="24"/>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4"/>
          <w:szCs w:val="24"/>
        </w:rPr>
        <w:t>Примечание - составлено на основании источников [</w:t>
      </w:r>
      <w:r w:rsidR="000B0564" w:rsidRPr="00802D35">
        <w:rPr>
          <w:rFonts w:ascii="Times New Roman" w:hAnsi="Times New Roman" w:cs="Times New Roman"/>
          <w:sz w:val="24"/>
          <w:szCs w:val="24"/>
        </w:rPr>
        <w:t>59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65</w:t>
      </w:r>
      <w:r w:rsidRPr="00802D35">
        <w:rPr>
          <w:rFonts w:ascii="Times New Roman" w:hAnsi="Times New Roman" w:cs="Times New Roman"/>
          <w:sz w:val="24"/>
          <w:szCs w:val="24"/>
        </w:rPr>
        <w:t>].</w:t>
      </w:r>
    </w:p>
    <w:p w:rsidR="00603572" w:rsidRPr="00802D35" w:rsidRDefault="00603572" w:rsidP="00603572">
      <w:pPr>
        <w:pStyle w:val="justifyfull"/>
        <w:shd w:val="clear" w:color="auto" w:fill="FFFFFF"/>
        <w:spacing w:before="0" w:beforeAutospacing="0" w:after="0" w:afterAutospacing="0"/>
        <w:ind w:firstLine="709"/>
        <w:jc w:val="both"/>
        <w:rPr>
          <w:sz w:val="28"/>
          <w:szCs w:val="28"/>
        </w:rPr>
      </w:pPr>
    </w:p>
    <w:p w:rsidR="00603572" w:rsidRPr="00802D35" w:rsidRDefault="00603572" w:rsidP="00603572">
      <w:pPr>
        <w:pStyle w:val="justifyfull"/>
        <w:shd w:val="clear" w:color="auto" w:fill="FFFFFF"/>
        <w:spacing w:before="0" w:beforeAutospacing="0" w:after="0" w:afterAutospacing="0"/>
        <w:ind w:firstLine="567"/>
        <w:jc w:val="both"/>
        <w:rPr>
          <w:sz w:val="28"/>
          <w:szCs w:val="28"/>
        </w:rPr>
      </w:pPr>
      <w:r w:rsidRPr="00802D35">
        <w:rPr>
          <w:sz w:val="28"/>
          <w:szCs w:val="28"/>
        </w:rPr>
        <w:t>Срочные вклады корпоративного характера имели тенденцию к снижению с 2016 г. по 2018 г. за данный период объем срочных вкладов компаний сократился на 38,4%. Однако, в 2019 г. и 2020 г. срочные вклады юридических лиц продемонстрировали явный рост. Так, в 2019 г. объемы срочных корпоративных вкладов выросли на 6,6%, а в 2020 г. – еще на 28,54%. Этому способствовал рост стоимости фондирования по корпоративным срочным вкладам.</w:t>
      </w:r>
    </w:p>
    <w:p w:rsidR="00603572" w:rsidRPr="00802D35" w:rsidRDefault="00603572" w:rsidP="00603572">
      <w:pPr>
        <w:pStyle w:val="justifyfull"/>
        <w:shd w:val="clear" w:color="auto" w:fill="FFFFFF"/>
        <w:spacing w:before="0" w:beforeAutospacing="0" w:after="0" w:afterAutospacing="0"/>
        <w:ind w:firstLine="567"/>
        <w:jc w:val="both"/>
        <w:rPr>
          <w:sz w:val="28"/>
          <w:szCs w:val="28"/>
        </w:rPr>
      </w:pPr>
      <w:r w:rsidRPr="00802D35">
        <w:rPr>
          <w:sz w:val="28"/>
          <w:szCs w:val="28"/>
        </w:rPr>
        <w:t>В отличие от вышеуказанные розничные срочные вклады на протяжении всего времени с 2014 г. по 2020 г. имели постоянную плавную тенденцию роста. В частности, в 2018 г. розничные срочные вклады выросли на 4,24%, в 2019 г. – на 3,48% и в 2020 г. – еще на 4,48%.</w:t>
      </w:r>
    </w:p>
    <w:p w:rsidR="00603572" w:rsidRPr="00802D35" w:rsidRDefault="00603572" w:rsidP="00603572">
      <w:pPr>
        <w:pStyle w:val="justifyfull"/>
        <w:shd w:val="clear" w:color="auto" w:fill="FFFFFF"/>
        <w:spacing w:before="0" w:beforeAutospacing="0" w:after="0" w:afterAutospacing="0"/>
        <w:ind w:firstLine="567"/>
        <w:jc w:val="both"/>
        <w:rPr>
          <w:sz w:val="28"/>
          <w:szCs w:val="28"/>
        </w:rPr>
      </w:pPr>
      <w:r w:rsidRPr="00802D35">
        <w:rPr>
          <w:sz w:val="28"/>
          <w:szCs w:val="28"/>
        </w:rPr>
        <w:t>Оба полиномиальных тренда демонстрируют прогнозный рост срочных вкладов как корпоративных, так и розничных в ближайшие два года с вероятностью 98,44% и 99,1%.</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В отношении структуры вкладов клиентов банков по видам вкладов можно отметить, что она остается практически одинаковой на протяжении последних 4 лет, за небольшим исключением сокращения срочных вкладов как в тенге, так и иностранной валюте в 2018 г. в пользу роста денежных средств на текущих счетах (рисунок 21).</w:t>
      </w:r>
    </w:p>
    <w:p w:rsidR="00603572" w:rsidRPr="00802D35" w:rsidRDefault="00603572" w:rsidP="00603572">
      <w:pPr>
        <w:spacing w:after="0" w:line="240" w:lineRule="auto"/>
        <w:jc w:val="both"/>
        <w:rPr>
          <w:rFonts w:ascii="Times New Roman" w:hAnsi="Times New Roman" w:cs="Times New Roman"/>
          <w:sz w:val="28"/>
          <w:szCs w:val="28"/>
        </w:rPr>
      </w:pPr>
      <w:r w:rsidRPr="00802D35">
        <w:rPr>
          <w:noProof/>
          <w:lang w:eastAsia="ru-RU"/>
        </w:rPr>
        <w:drawing>
          <wp:inline distT="0" distB="0" distL="0" distR="0">
            <wp:extent cx="6096000" cy="1798320"/>
            <wp:effectExtent l="0" t="0" r="0" b="0"/>
            <wp:docPr id="371" name="Диаграмма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03572" w:rsidRPr="00802D35" w:rsidRDefault="00603572" w:rsidP="00603572">
      <w:pPr>
        <w:spacing w:after="0" w:line="240" w:lineRule="auto"/>
        <w:ind w:firstLine="709"/>
        <w:jc w:val="center"/>
        <w:rPr>
          <w:rFonts w:ascii="Times New Roman" w:hAnsi="Times New Roman" w:cs="Times New Roman"/>
          <w:sz w:val="28"/>
          <w:szCs w:val="28"/>
        </w:rPr>
      </w:pPr>
      <w:r w:rsidRPr="00802D35">
        <w:rPr>
          <w:rFonts w:ascii="Times New Roman" w:hAnsi="Times New Roman" w:cs="Times New Roman"/>
          <w:sz w:val="28"/>
          <w:szCs w:val="28"/>
        </w:rPr>
        <w:t>Рисунок 21 - Структура вкладов клиентов БВУ по видам</w:t>
      </w:r>
    </w:p>
    <w:p w:rsidR="00603572" w:rsidRPr="00802D35" w:rsidRDefault="00603572" w:rsidP="00603572">
      <w:pPr>
        <w:spacing w:after="0" w:line="240" w:lineRule="auto"/>
        <w:ind w:firstLine="567"/>
        <w:jc w:val="both"/>
        <w:rPr>
          <w:rFonts w:ascii="Times New Roman" w:hAnsi="Times New Roman" w:cs="Times New Roman"/>
          <w:sz w:val="24"/>
          <w:szCs w:val="24"/>
        </w:rPr>
      </w:pPr>
    </w:p>
    <w:p w:rsidR="00603572" w:rsidRPr="00802D35" w:rsidRDefault="00603572" w:rsidP="00603572">
      <w:pPr>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 - составлено на основании источников [</w:t>
      </w:r>
      <w:r w:rsidR="000B0564" w:rsidRPr="00802D35">
        <w:rPr>
          <w:rFonts w:ascii="Times New Roman" w:hAnsi="Times New Roman" w:cs="Times New Roman"/>
          <w:sz w:val="24"/>
          <w:szCs w:val="24"/>
        </w:rPr>
        <w:t>67</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68</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70</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71</w:t>
      </w:r>
      <w:r w:rsidRPr="00802D35">
        <w:rPr>
          <w:rFonts w:ascii="Times New Roman" w:hAnsi="Times New Roman" w:cs="Times New Roman"/>
          <w:sz w:val="24"/>
          <w:szCs w:val="24"/>
        </w:rPr>
        <w:t>].</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целом, заметно превалирование срочных вкладов, которые занимают более 60% в структуре портфеля вкладов БВУ Казахстана, несмотря на то, что их доля сокращается из года в год. Так, в 2016 г. срочные вклады снизились на 1,88%, в 2017 г. – на 0,57%,  в 2018 г. – 4,05%, в 2019 г. – на 0,04% и в 2020 г. – еще на 4,4%. Следует отметить, что данный процесс носил накопительный характер, в результате чего с 2016 г. по 2020 г. в совокупности доля срочных вкладов упала на 10,94% в пользу вкладов до востребования.  </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color w:val="000000"/>
          <w:sz w:val="28"/>
          <w:szCs w:val="28"/>
        </w:rPr>
        <w:t>С 01.07.2020г. было введено в действие постановление Правления НБРК, согласно которого Типовой план счетов в БВУ был дополнен отражением сберегательных вкладов [</w:t>
      </w:r>
      <w:r w:rsidR="000B0564" w:rsidRPr="00802D35">
        <w:rPr>
          <w:rFonts w:ascii="Times New Roman" w:hAnsi="Times New Roman" w:cs="Times New Roman"/>
          <w:color w:val="000000"/>
          <w:sz w:val="28"/>
          <w:szCs w:val="28"/>
        </w:rPr>
        <w:t>77</w:t>
      </w:r>
      <w:r w:rsidRPr="00802D35">
        <w:rPr>
          <w:rFonts w:ascii="Times New Roman" w:hAnsi="Times New Roman" w:cs="Times New Roman"/>
          <w:color w:val="000000"/>
          <w:sz w:val="28"/>
          <w:szCs w:val="28"/>
        </w:rPr>
        <w:t>]. В результате в структуре вкладов БВУ Казахстана в 2020 г. появляются сберегательные вклады, доля которых составила 4,5%. При этом, 85,42%  сберегательных вкладов составили вклады в национальной валюте.</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Рассмотрим вклады в банки в разрезе типа вкладчика (рисунок 22).</w:t>
      </w:r>
    </w:p>
    <w:p w:rsidR="00603572" w:rsidRPr="00802D35" w:rsidRDefault="00603572" w:rsidP="00603572">
      <w:pPr>
        <w:spacing w:after="0" w:line="240" w:lineRule="auto"/>
        <w:jc w:val="both"/>
        <w:rPr>
          <w:rFonts w:ascii="Times New Roman" w:hAnsi="Times New Roman" w:cs="Times New Roman"/>
          <w:sz w:val="28"/>
          <w:szCs w:val="28"/>
        </w:rPr>
      </w:pPr>
      <w:r w:rsidRPr="00802D35">
        <w:rPr>
          <w:noProof/>
          <w:lang w:eastAsia="ru-RU"/>
        </w:rPr>
        <w:drawing>
          <wp:inline distT="0" distB="0" distL="0" distR="0">
            <wp:extent cx="6103620" cy="1912620"/>
            <wp:effectExtent l="0" t="0" r="0" b="0"/>
            <wp:docPr id="372" name="Диаграмма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 xml:space="preserve">Рисунок </w:t>
      </w:r>
      <w:r w:rsidR="008C0E8A" w:rsidRPr="00802D35">
        <w:rPr>
          <w:rFonts w:ascii="Times New Roman" w:hAnsi="Times New Roman" w:cs="Times New Roman"/>
          <w:sz w:val="28"/>
          <w:szCs w:val="28"/>
        </w:rPr>
        <w:t xml:space="preserve"> 22 </w:t>
      </w:r>
      <w:r w:rsidRPr="00802D35">
        <w:rPr>
          <w:rFonts w:ascii="Times New Roman" w:hAnsi="Times New Roman" w:cs="Times New Roman"/>
          <w:sz w:val="28"/>
          <w:szCs w:val="28"/>
        </w:rPr>
        <w:t>- Структура вкладов в разрезе типа клиентов, трлн. тенге</w:t>
      </w:r>
    </w:p>
    <w:p w:rsidR="00603572" w:rsidRPr="00802D35" w:rsidRDefault="00603572" w:rsidP="00603572">
      <w:pPr>
        <w:spacing w:after="0" w:line="240" w:lineRule="auto"/>
        <w:ind w:firstLine="567"/>
        <w:jc w:val="both"/>
        <w:rPr>
          <w:rFonts w:ascii="Times New Roman" w:hAnsi="Times New Roman" w:cs="Times New Roman"/>
          <w:sz w:val="24"/>
          <w:szCs w:val="24"/>
        </w:rPr>
      </w:pPr>
    </w:p>
    <w:p w:rsidR="00603572" w:rsidRPr="00802D35" w:rsidRDefault="00603572" w:rsidP="00603572">
      <w:pPr>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 - составлено на основании источников [</w:t>
      </w:r>
      <w:r w:rsidR="000B0564" w:rsidRPr="00802D35">
        <w:rPr>
          <w:rFonts w:ascii="Times New Roman" w:hAnsi="Times New Roman" w:cs="Times New Roman"/>
          <w:sz w:val="24"/>
          <w:szCs w:val="24"/>
        </w:rPr>
        <w:t>67</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68</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69</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70</w:t>
      </w:r>
      <w:r w:rsidRPr="00802D35">
        <w:rPr>
          <w:rFonts w:ascii="Times New Roman" w:hAnsi="Times New Roman" w:cs="Times New Roman"/>
          <w:sz w:val="24"/>
          <w:szCs w:val="24"/>
        </w:rPr>
        <w:t>],[</w:t>
      </w:r>
      <w:r w:rsidR="000B0564" w:rsidRPr="00802D35">
        <w:rPr>
          <w:rFonts w:ascii="Times New Roman" w:hAnsi="Times New Roman" w:cs="Times New Roman"/>
          <w:sz w:val="24"/>
          <w:szCs w:val="24"/>
        </w:rPr>
        <w:t>71</w:t>
      </w:r>
      <w:r w:rsidRPr="00802D35">
        <w:rPr>
          <w:rFonts w:ascii="Times New Roman" w:hAnsi="Times New Roman" w:cs="Times New Roman"/>
          <w:sz w:val="24"/>
          <w:szCs w:val="24"/>
        </w:rPr>
        <w:t>].</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Следует отметить, что до 2018 г. в структуре фондирования превалировали вклады юридических лиц, при этом их доля постоянно сокращалась. Начиная с 2018 г. доля вкладов физических лиц превысила долю вкладов компаний и наметила тенденцию к росту. Так, доля вкладов населения в 2018 г. выросла на 6,56%, в 2019 г. – на 6,16% и в 2020 г. – еще на 17,5%. В результате розничные депозиты становятся все более значимыми инструментами фондирования БВУ и занимают доминирующее положение в структуре фондирования.</w:t>
      </w: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t>Таким образом, несмотря на пандемию и возникший кризис, банки нарастили базу фондирования как за счет вкладов населения, так и корпоративных депозитов. Такое стало возможным благодаря достаточно высокому уровню цифровизации самых крупных БВУ Казахстана, что позволило продолжить осуществление операций через интернет-банкинг. Существенно повысили объемы вкладов такие БВУ как АО Jysan Bank, АО Сбербанк и АО Ситибанк.</w:t>
      </w: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t>Одним из факторов роста вкладов стало увеличение стоимости фондирования по депозитам. Например, в 2019 г. ставка вознаграждения по корпоративным вкладам составляла 7,2% в национальной валюте, а в 2020 году - 7,6% (рисунок 23).</w:t>
      </w: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t xml:space="preserve"> </w:t>
      </w:r>
    </w:p>
    <w:p w:rsidR="00603572" w:rsidRPr="00802D35" w:rsidRDefault="00603572" w:rsidP="00603572">
      <w:pPr>
        <w:spacing w:after="0" w:line="240" w:lineRule="auto"/>
        <w:jc w:val="both"/>
        <w:rPr>
          <w:rFonts w:ascii="Times New Roman" w:hAnsi="Times New Roman" w:cs="Times New Roman"/>
          <w:sz w:val="28"/>
          <w:szCs w:val="28"/>
        </w:rPr>
      </w:pPr>
      <w:r w:rsidRPr="00802D35">
        <w:rPr>
          <w:noProof/>
          <w:lang w:eastAsia="ru-RU"/>
        </w:rPr>
        <w:drawing>
          <wp:inline distT="0" distB="0" distL="0" distR="0">
            <wp:extent cx="6172200" cy="1950720"/>
            <wp:effectExtent l="0" t="0" r="0" b="0"/>
            <wp:docPr id="373" name="Диаграмма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709"/>
        <w:jc w:val="both"/>
        <w:rPr>
          <w:rFonts w:ascii="Times New Roman" w:hAnsi="Times New Roman" w:cs="Times New Roman"/>
          <w:sz w:val="28"/>
          <w:szCs w:val="28"/>
        </w:rPr>
      </w:pPr>
      <w:r w:rsidRPr="00802D35">
        <w:rPr>
          <w:rFonts w:ascii="Times New Roman" w:hAnsi="Times New Roman" w:cs="Times New Roman"/>
          <w:sz w:val="28"/>
          <w:szCs w:val="28"/>
        </w:rPr>
        <w:t xml:space="preserve">Рисунок 23 - Стоимость фондирования по вкладам юридических лиц </w:t>
      </w:r>
    </w:p>
    <w:p w:rsidR="00603572" w:rsidRPr="00802D35" w:rsidRDefault="00603572" w:rsidP="00603572">
      <w:pPr>
        <w:pStyle w:val="2"/>
        <w:shd w:val="clear" w:color="auto" w:fill="FFFFFF"/>
        <w:spacing w:before="0"/>
        <w:ind w:firstLine="567"/>
        <w:jc w:val="both"/>
        <w:rPr>
          <w:b w:val="0"/>
          <w:sz w:val="24"/>
          <w:szCs w:val="24"/>
        </w:rPr>
      </w:pPr>
      <w:r w:rsidRPr="00802D35">
        <w:rPr>
          <w:b w:val="0"/>
          <w:sz w:val="24"/>
          <w:szCs w:val="24"/>
        </w:rPr>
        <w:t>Примечание - составлено на основании источников [</w:t>
      </w:r>
      <w:r w:rsidR="000B0564" w:rsidRPr="00802D35">
        <w:rPr>
          <w:b w:val="0"/>
          <w:sz w:val="24"/>
          <w:szCs w:val="24"/>
        </w:rPr>
        <w:t>78</w:t>
      </w:r>
      <w:r w:rsidRPr="00802D35">
        <w:rPr>
          <w:b w:val="0"/>
          <w:sz w:val="24"/>
          <w:szCs w:val="24"/>
        </w:rPr>
        <w:t>], [</w:t>
      </w:r>
      <w:r w:rsidR="000B0564" w:rsidRPr="00802D35">
        <w:rPr>
          <w:b w:val="0"/>
          <w:sz w:val="24"/>
          <w:szCs w:val="24"/>
        </w:rPr>
        <w:t>79</w:t>
      </w:r>
      <w:r w:rsidRPr="00802D35">
        <w:rPr>
          <w:b w:val="0"/>
          <w:sz w:val="24"/>
          <w:szCs w:val="24"/>
        </w:rPr>
        <w:t>], [</w:t>
      </w:r>
      <w:r w:rsidR="000B0564" w:rsidRPr="00802D35">
        <w:rPr>
          <w:b w:val="0"/>
          <w:sz w:val="24"/>
          <w:szCs w:val="24"/>
        </w:rPr>
        <w:t>80</w:t>
      </w:r>
      <w:r w:rsidRPr="00802D35">
        <w:rPr>
          <w:b w:val="0"/>
          <w:sz w:val="24"/>
          <w:szCs w:val="24"/>
        </w:rPr>
        <w:t>], [</w:t>
      </w:r>
      <w:r w:rsidR="000B0564" w:rsidRPr="00802D35">
        <w:rPr>
          <w:b w:val="0"/>
          <w:sz w:val="24"/>
          <w:szCs w:val="24"/>
        </w:rPr>
        <w:t>81</w:t>
      </w:r>
      <w:r w:rsidRPr="00802D35">
        <w:rPr>
          <w:b w:val="0"/>
          <w:sz w:val="24"/>
          <w:szCs w:val="24"/>
        </w:rPr>
        <w:t>].</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Из данных рисунка 23 видно, что стоимость фондирования по тенговым вкладам до востребования имела высокую волатильность. Так, на начало 2016 г. они составляли 3,3%, на начало 2017 г. уже 4,5%, на начало 2019 г. – 0,7% с дальнейшей тенденцией к снижению до 0,1%. По срочным вкладам до 1 года наблюдается постепенная тенденция к снижению как в тенге, так и иностранной валюте. В частности, если на начало 2016 г. стоимость фондирования по тенговым вкладам до 1 года составляла 12,2%, а в СКВ – 3,5%, то на начало 2019 г. уже 7,5% и 1,1% соответственно. А вот по вкладам свыше 5 лет стоимость фондирования как в тенге, так и иностранной валюте на начало 2021 г. возросла на 0,7% и 0,9% соответственно.</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Вклады в иностранной валюте имели тенденцию к снижению как по корпоративным депозитам, так и по депозитам физических лиц. Основной пик вкладов в иностранной валюте приходился на 2015 г., когда в депозитном портфеле физических лиц доля депозитов в иностранной валюте составила 34,9%, в депозитном портфеле корпоративных клиентов – 34,3%. Начиная с данного периода наблюдался постепенный спад данного источника фондирования.</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отношении стоимости фондирования по вкладам населения ситуация обстояла следующим образом (рисунок 24).</w:t>
      </w:r>
    </w:p>
    <w:p w:rsidR="00603572" w:rsidRPr="00802D35" w:rsidRDefault="00603572" w:rsidP="00603572">
      <w:pPr>
        <w:spacing w:after="0" w:line="240" w:lineRule="auto"/>
        <w:jc w:val="both"/>
        <w:rPr>
          <w:rFonts w:ascii="Times New Roman" w:hAnsi="Times New Roman" w:cs="Times New Roman"/>
          <w:sz w:val="28"/>
          <w:szCs w:val="28"/>
        </w:rPr>
      </w:pPr>
      <w:r w:rsidRPr="00802D35">
        <w:rPr>
          <w:noProof/>
          <w:lang w:eastAsia="ru-RU"/>
        </w:rPr>
        <w:drawing>
          <wp:inline distT="0" distB="0" distL="0" distR="0">
            <wp:extent cx="6156960" cy="2019300"/>
            <wp:effectExtent l="0" t="0" r="0" b="0"/>
            <wp:docPr id="374" name="Диаграмма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03572" w:rsidRPr="00802D35" w:rsidRDefault="00603572" w:rsidP="00603572">
      <w:pPr>
        <w:spacing w:after="0" w:line="240" w:lineRule="auto"/>
        <w:ind w:firstLine="709"/>
        <w:jc w:val="both"/>
        <w:rPr>
          <w:rFonts w:ascii="Times New Roman" w:hAnsi="Times New Roman" w:cs="Times New Roman"/>
          <w:sz w:val="28"/>
          <w:szCs w:val="28"/>
        </w:rPr>
      </w:pPr>
    </w:p>
    <w:p w:rsidR="00603572" w:rsidRPr="00802D35" w:rsidRDefault="00603572" w:rsidP="00603572">
      <w:pPr>
        <w:spacing w:after="0" w:line="240" w:lineRule="auto"/>
        <w:ind w:firstLine="709"/>
        <w:jc w:val="center"/>
        <w:rPr>
          <w:rFonts w:ascii="Times New Roman" w:hAnsi="Times New Roman" w:cs="Times New Roman"/>
          <w:sz w:val="28"/>
          <w:szCs w:val="28"/>
        </w:rPr>
      </w:pPr>
      <w:r w:rsidRPr="00802D35">
        <w:rPr>
          <w:rFonts w:ascii="Times New Roman" w:hAnsi="Times New Roman" w:cs="Times New Roman"/>
          <w:sz w:val="28"/>
          <w:szCs w:val="28"/>
        </w:rPr>
        <w:t>Рисунок 24 - Стоимость фондирования по вкладам физических лиц в БВУ</w:t>
      </w:r>
    </w:p>
    <w:p w:rsidR="00603572" w:rsidRPr="00802D35" w:rsidRDefault="00603572" w:rsidP="00603572">
      <w:pPr>
        <w:pStyle w:val="2"/>
        <w:shd w:val="clear" w:color="auto" w:fill="FFFFFF"/>
        <w:spacing w:before="0"/>
        <w:ind w:firstLine="567"/>
        <w:jc w:val="both"/>
        <w:rPr>
          <w:b w:val="0"/>
          <w:sz w:val="24"/>
          <w:szCs w:val="24"/>
        </w:rPr>
      </w:pPr>
      <w:r w:rsidRPr="00802D35">
        <w:rPr>
          <w:b w:val="0"/>
          <w:sz w:val="24"/>
          <w:szCs w:val="24"/>
        </w:rPr>
        <w:t>Примечание - составлено на основании источников [</w:t>
      </w:r>
      <w:r w:rsidR="000B0564" w:rsidRPr="00802D35">
        <w:rPr>
          <w:b w:val="0"/>
          <w:sz w:val="24"/>
          <w:szCs w:val="24"/>
        </w:rPr>
        <w:t>78</w:t>
      </w:r>
      <w:r w:rsidRPr="00802D35">
        <w:rPr>
          <w:b w:val="0"/>
          <w:sz w:val="24"/>
          <w:szCs w:val="24"/>
        </w:rPr>
        <w:t>], [</w:t>
      </w:r>
      <w:r w:rsidR="000B0564" w:rsidRPr="00802D35">
        <w:rPr>
          <w:b w:val="0"/>
          <w:sz w:val="24"/>
          <w:szCs w:val="24"/>
        </w:rPr>
        <w:t>79</w:t>
      </w:r>
      <w:r w:rsidRPr="00802D35">
        <w:rPr>
          <w:b w:val="0"/>
          <w:sz w:val="24"/>
          <w:szCs w:val="24"/>
        </w:rPr>
        <w:t>], [</w:t>
      </w:r>
      <w:r w:rsidR="000B0564" w:rsidRPr="00802D35">
        <w:rPr>
          <w:b w:val="0"/>
          <w:sz w:val="24"/>
          <w:szCs w:val="24"/>
        </w:rPr>
        <w:t>80</w:t>
      </w:r>
      <w:r w:rsidRPr="00802D35">
        <w:rPr>
          <w:b w:val="0"/>
          <w:sz w:val="24"/>
          <w:szCs w:val="24"/>
        </w:rPr>
        <w:t>], [</w:t>
      </w:r>
      <w:r w:rsidR="000B0564" w:rsidRPr="00802D35">
        <w:rPr>
          <w:b w:val="0"/>
          <w:sz w:val="24"/>
          <w:szCs w:val="24"/>
        </w:rPr>
        <w:t>81</w:t>
      </w:r>
      <w:r w:rsidRPr="00802D35">
        <w:rPr>
          <w:b w:val="0"/>
          <w:sz w:val="24"/>
          <w:szCs w:val="24"/>
        </w:rPr>
        <w:t>].</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Всплеск стоимости вкладов до востребования населения наблюдался с начала 2018 г. и продлился до конца 2019 г., когда ставка процента составляла 0,4% по тенговым вкладам и 1,5% по валютным. На начало 2019 г. стоимость фондирования по валютным вкладам до востребования упали до 0,2%, тем самым отмечая преимущество вкладов в национальной валюте. </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Стоимость фондирования по вкладам срочного характера в тенге имели сначала тенденцию роста: с 9,6% до 12,5% по вкладам до 1 года и с 8,9% до 11,6% по вкладам свыше 5 лет. По срочным валютным вкладам стоимость фондирования имела постоянную тенденцию к снижению, стимулируя тенговые сбережения населения. Так, проценты упали с 2,9% в 2016 г. до 0,9% в 2020 г. по вкладам до 1 года и с 3,1% в 2016 г. до 1,8% в 2020 г. по вкладам свыше 5 лет.</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Как видно стоимость депозитного фондирования в тенге имела тенденцию к снижению вплоть до 2020 г., что положительно для банков. Вместе с тем, это становится причиной оттока средств данного источника в пользу фондового рынка. Такая тенденция должна быть использована банками для привлечения средств посредством выпуска облигаций. </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Динамика стоимости депозитного фондирования наглядно демонстрирует политику банков и их потребность в денежных ресурсах. При возникновении потребности в средне или долгосрочных источниках фондирования банки </w:t>
      </w:r>
      <w:r w:rsidRPr="00802D35">
        <w:rPr>
          <w:rFonts w:ascii="Times New Roman" w:hAnsi="Times New Roman" w:cs="Times New Roman"/>
          <w:sz w:val="28"/>
          <w:szCs w:val="28"/>
        </w:rPr>
        <w:lastRenderedPageBreak/>
        <w:t>повышали их стоимость соответственно. Вместе с тем, общая динамика стоимости депозитного фондирования имеет тенденцию к снижению.</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Рост стоимости фондирования затронул практически все финансовые учреждения развитых и развивающихся стран в условиях финансового кризиса. В последующие периоды стоимость фондирования в казахстанских банках стала снижаться, приближаясь к зарубежным стандартам. Однако, внезапная вспышка пандемии привела к необходимости вновь некоторого увеличения стоимости фондирования преимущественно вкладов с целью избежать массового оттока основного источника фондирования деятельности БВУ. </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Крупные банки могут позволить себе оптовое фондирование посредством выхода на мировые финансовые рынки. Для казахстанских банков характерно преимущественно внутреннее депозитное фондирование по сравнительно высокой стоимости. В периоды потребности в долгосрочном фондировании банкам приходилось повышать стоимость привлечения средств даже выше, чем по краткосрочным вкладам. Например, это наблюдалось в январе и сентябре 2018 г.</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анализ источников и инструментов фондирования казахстанских банков показал, что банки сегодня проводят активную депозитную политику, позволяющую более гибко реагировать на потребности банков в фондировании. При этом, БВУ не заинтересованы в привлечении фондирования посредством эмиссии облигаций. Вместе с тем, у банков наблюдается зависимость от депозитного фондирования, причем в последнее время физических лиц. Повышение интереса населения в отношении фондового рынка должно переориентировать банки на увеличение оптового фондирования как на внутреннем, так и мировом финансовом рынке.</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b/>
          <w:sz w:val="28"/>
          <w:szCs w:val="28"/>
        </w:rPr>
        <w:t>2.2 Оценка влияния детерминантов фондирования банков на экономический рост страны</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 xml:space="preserve">Анализ показателей общего состояния развития банковского сектора в Республике Казахстан в настоящее время приводит к необходимости проведения исследования гипотезы, обозначенной нами в предыдущей главе. Речь шла о том, что фондирование банков второго уровня способно оказать влияние на экономический рост государства, аналогично как макроэкономическое развитие страны способно оказывать влияние на стоимость фондирования. </w:t>
      </w:r>
    </w:p>
    <w:p w:rsidR="00603572" w:rsidRPr="00802D35" w:rsidRDefault="00603572" w:rsidP="00603572">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С целью проверки представленных гипотез нами предлагается применение нелинейного регрессионного анализа, точнее сказать комбинации двух методов нелинейной регрессионной модели: полиномиальной и экспоненциальной. Применение одновременно двух моделей позволит определить коридор степени влияния факторов на результирующие показатели, поскольку ни одна регрессионная модель не способна точно оценить степень взаимозависимости экономических показателей в силу самой природы этих данных.</w:t>
      </w: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shd w:val="clear" w:color="auto" w:fill="FFFFFF"/>
        </w:rPr>
        <w:lastRenderedPageBreak/>
        <w:t xml:space="preserve">Как известно, одним из наиболее приемлемых методов для оценки экономических явлений является модель </w:t>
      </w:r>
      <w:r w:rsidRPr="00802D35">
        <w:rPr>
          <w:rFonts w:ascii="Times New Roman" w:hAnsi="Times New Roman" w:cs="Times New Roman"/>
          <w:sz w:val="28"/>
          <w:szCs w:val="28"/>
        </w:rPr>
        <w:t>множественной полиномиальной регрессии [</w:t>
      </w:r>
      <w:r w:rsidR="000B0564" w:rsidRPr="00802D35">
        <w:rPr>
          <w:rFonts w:ascii="Times New Roman" w:hAnsi="Times New Roman" w:cs="Times New Roman"/>
          <w:sz w:val="28"/>
          <w:szCs w:val="28"/>
        </w:rPr>
        <w:t>82</w:t>
      </w:r>
      <w:r w:rsidRPr="00802D35">
        <w:rPr>
          <w:rFonts w:ascii="Times New Roman" w:hAnsi="Times New Roman" w:cs="Times New Roman"/>
          <w:sz w:val="28"/>
          <w:szCs w:val="28"/>
        </w:rPr>
        <w:t>]. В общем виде полином можно записать в виде уравнения следующего вида:</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FF4C7E" w:rsidP="00603572">
      <w:pPr>
        <w:widowControl w:val="0"/>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m:t>
                </m:r>
              </m:sub>
            </m:sSub>
          </m:e>
        </m:nary>
      </m:oMath>
      <w:r w:rsidR="00603572" w:rsidRPr="00802D35">
        <w:rPr>
          <w:rFonts w:ascii="Times New Roman" w:hAnsi="Times New Roman" w:cs="Times New Roman"/>
          <w:sz w:val="28"/>
          <w:szCs w:val="28"/>
        </w:rPr>
        <w:t xml:space="preserve">                                                  (4),</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z</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 уровень ВВП как показатель экономического роста;</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f</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rPr>
        <w:t xml:space="preserve"> – инструменты фондирования деятельности банков;</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θ</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rPr>
        <w:t xml:space="preserve"> – параметры полинома.</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Используя метод наименьших квадратов (МНК), выявим параметры полиномиальной регрессии θ</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rPr>
        <w:t xml:space="preserve"> посредством минимизации следующей функции:</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 xml:space="preserve">S=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p>
              <m:sSupPr>
                <m:ctrlPr>
                  <w:rPr>
                    <w:rFonts w:ascii="Cambria Math" w:hAnsi="Cambria Math" w:cs="Times New Roman"/>
                    <w:i/>
                    <w:sz w:val="28"/>
                    <w:szCs w:val="28"/>
                  </w:rPr>
                </m:ctrlPr>
              </m:sSupPr>
              <m:e>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j</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j</m:t>
                    </m:r>
                  </m:sub>
                </m:sSub>
                <m:r>
                  <w:rPr>
                    <w:rFonts w:ascii="Cambria Math" w:hAnsi="Cambria Math" w:cs="Times New Roman"/>
                    <w:sz w:val="28"/>
                    <w:szCs w:val="28"/>
                  </w:rPr>
                  <m:t xml:space="preserve"> )</m:t>
                </m:r>
              </m:e>
              <m:sup>
                <m:r>
                  <w:rPr>
                    <w:rFonts w:ascii="Cambria Math" w:hAnsi="Cambria Math" w:cs="Times New Roman"/>
                    <w:sz w:val="28"/>
                    <w:szCs w:val="28"/>
                  </w:rPr>
                  <m:t>2</m:t>
                </m:r>
              </m:sup>
            </m:sSup>
            <m:r>
              <w:rPr>
                <w:rFonts w:ascii="Cambria Math" w:hAnsi="Cambria Math" w:cs="Times New Roman"/>
                <w:sz w:val="28"/>
                <w:szCs w:val="28"/>
              </w:rPr>
              <m:t xml:space="preserve"> →min</m:t>
            </m:r>
          </m:e>
        </m:nary>
      </m:oMath>
      <w:r w:rsidRPr="00802D35">
        <w:rPr>
          <w:rFonts w:ascii="Times New Roman" w:hAnsi="Times New Roman" w:cs="Times New Roman"/>
          <w:sz w:val="28"/>
          <w:szCs w:val="28"/>
        </w:rPr>
        <w:t xml:space="preserve">                                     (5),</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y</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vertAlign w:val="superscript"/>
        </w:rPr>
        <w:t>*</w:t>
      </w:r>
      <w:r w:rsidRPr="00802D35">
        <w:rPr>
          <w:rFonts w:ascii="Times New Roman" w:hAnsi="Times New Roman" w:cs="Times New Roman"/>
          <w:sz w:val="28"/>
          <w:szCs w:val="28"/>
        </w:rPr>
        <w:t xml:space="preserve"> - значения полинома в точках f</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rPr>
        <w:t xml:space="preserve"> уравнения полинома.</w:t>
      </w:r>
    </w:p>
    <w:p w:rsidR="00603572" w:rsidRPr="00802D35" w:rsidRDefault="00603572" w:rsidP="00603572">
      <w:pPr>
        <w:pStyle w:val="a7"/>
        <w:spacing w:before="0" w:beforeAutospacing="0" w:after="0" w:afterAutospacing="0"/>
        <w:ind w:right="-1" w:firstLine="567"/>
        <w:jc w:val="both"/>
        <w:rPr>
          <w:sz w:val="28"/>
          <w:szCs w:val="28"/>
          <w:shd w:val="clear" w:color="auto" w:fill="FFFFFF"/>
        </w:rPr>
      </w:pPr>
    </w:p>
    <w:p w:rsidR="00603572" w:rsidRPr="00802D35" w:rsidRDefault="00603572" w:rsidP="00603572">
      <w:pPr>
        <w:pStyle w:val="a7"/>
        <w:spacing w:before="0" w:beforeAutospacing="0" w:after="0" w:afterAutospacing="0"/>
        <w:ind w:right="-1" w:firstLine="567"/>
        <w:jc w:val="both"/>
        <w:rPr>
          <w:sz w:val="28"/>
          <w:szCs w:val="28"/>
          <w:shd w:val="clear" w:color="auto" w:fill="FFFFFF"/>
        </w:rPr>
      </w:pPr>
      <w:r w:rsidRPr="00802D35">
        <w:rPr>
          <w:sz w:val="28"/>
          <w:szCs w:val="28"/>
          <w:shd w:val="clear" w:color="auto" w:fill="FFFFFF"/>
        </w:rPr>
        <w:t>В свою очередь, модель нелинейной экспоненциальной регрессии больше всего подходит при описании данных, не подвергающихся пропорционально изменениям во времени. С целью проведения экспоненциального регрессионного анализа воспользуемся следующей функцией:</w:t>
      </w:r>
    </w:p>
    <w:p w:rsidR="00603572" w:rsidRPr="00802D35" w:rsidRDefault="00603572" w:rsidP="00603572">
      <w:pPr>
        <w:shd w:val="clear" w:color="auto" w:fill="FFFFFF"/>
        <w:spacing w:after="0" w:line="240" w:lineRule="auto"/>
        <w:ind w:firstLine="567"/>
        <w:jc w:val="both"/>
        <w:rPr>
          <w:rFonts w:ascii="Times New Roman" w:hAnsi="Times New Roman" w:cs="Times New Roman"/>
          <w:sz w:val="28"/>
          <w:szCs w:val="28"/>
        </w:rPr>
      </w:pPr>
    </w:p>
    <w:p w:rsidR="00603572" w:rsidRPr="00802D35" w:rsidRDefault="00FF4C7E" w:rsidP="00603572">
      <w:pPr>
        <w:shd w:val="clear" w:color="auto" w:fill="FFFFFF"/>
        <w:spacing w:after="0" w:line="240" w:lineRule="auto"/>
        <w:ind w:firstLine="567"/>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x</m:t>
              </m:r>
            </m:sup>
          </m:sSup>
        </m:oMath>
      </m:oMathPara>
    </w:p>
    <w:p w:rsidR="00603572" w:rsidRPr="00802D35" w:rsidRDefault="00603572" w:rsidP="00603572">
      <w:pPr>
        <w:shd w:val="clear" w:color="auto" w:fill="FFFFFF"/>
        <w:spacing w:after="0" w:line="240" w:lineRule="auto"/>
        <w:ind w:firstLine="567"/>
        <w:jc w:val="center"/>
        <w:rPr>
          <w:rFonts w:ascii="Times New Roman" w:hAnsi="Times New Roman" w:cs="Times New Roman"/>
          <w:sz w:val="28"/>
          <w:szCs w:val="28"/>
          <w:shd w:val="clear" w:color="auto" w:fill="FFFFFF"/>
        </w:rPr>
      </w:pPr>
    </w:p>
    <w:p w:rsidR="00603572" w:rsidRPr="00802D35" w:rsidRDefault="00FF4C7E" w:rsidP="00603572">
      <w:pPr>
        <w:shd w:val="clear" w:color="auto" w:fill="FFFFFF"/>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a</m:t>
            </m:r>
          </m:e>
          <m:sub>
            <m:r>
              <w:rPr>
                <w:rFonts w:ascii="Cambria Math" w:hAnsi="Cambria Math" w:cs="Times New Roman"/>
                <w:sz w:val="28"/>
                <w:szCs w:val="28"/>
                <w:shd w:val="clear" w:color="auto" w:fill="FFFFFF"/>
              </w:rPr>
              <m:t>0</m:t>
            </m:r>
          </m:sub>
        </m:sSub>
        <m:r>
          <w:rPr>
            <w:rFonts w:ascii="Cambria Math" w:hAnsi="Cambria Math" w:cs="Times New Roman"/>
            <w:sz w:val="28"/>
            <w:szCs w:val="28"/>
            <w:shd w:val="clear" w:color="auto" w:fill="FFFFFF"/>
          </w:rPr>
          <m:t xml:space="preserve">= </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1</m:t>
            </m:r>
          </m:num>
          <m:den>
            <m:r>
              <w:rPr>
                <w:rFonts w:ascii="Cambria Math" w:hAnsi="Cambria Math" w:cs="Times New Roman"/>
                <w:sz w:val="28"/>
                <w:szCs w:val="28"/>
                <w:shd w:val="clear" w:color="auto" w:fill="FFFFFF"/>
              </w:rPr>
              <m:t>n</m:t>
            </m:r>
          </m:den>
        </m:f>
        <m:nary>
          <m:naryPr>
            <m:chr m:val="∑"/>
            <m:limLoc m:val="undOvr"/>
            <m:subHide m:val="1"/>
            <m:supHide m:val="1"/>
            <m:ctrlPr>
              <w:rPr>
                <w:rFonts w:ascii="Cambria Math" w:hAnsi="Cambria Math" w:cs="Times New Roman"/>
                <w:i/>
                <w:sz w:val="28"/>
                <w:szCs w:val="28"/>
                <w:shd w:val="clear" w:color="auto" w:fill="FFFFFF"/>
              </w:rPr>
            </m:ctrlPr>
          </m:naryPr>
          <m:sub/>
          <m:sup/>
          <m:e>
            <m:r>
              <w:rPr>
                <w:rFonts w:ascii="Cambria Math" w:hAnsi="Cambria Math" w:cs="Times New Roman"/>
                <w:sz w:val="28"/>
                <w:szCs w:val="28"/>
                <w:shd w:val="clear" w:color="auto" w:fill="FFFFFF"/>
              </w:rPr>
              <m:t xml:space="preserve">lny- </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1</m:t>
                </m:r>
              </m:num>
              <m:den>
                <m:r>
                  <w:rPr>
                    <w:rFonts w:ascii="Cambria Math" w:hAnsi="Cambria Math" w:cs="Times New Roman"/>
                    <w:sz w:val="28"/>
                    <w:szCs w:val="28"/>
                    <w:shd w:val="clear" w:color="auto" w:fill="FFFFFF"/>
                  </w:rPr>
                  <m:t>n</m:t>
                </m:r>
              </m:den>
            </m:f>
          </m:e>
        </m:nary>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a</m:t>
            </m:r>
          </m:e>
          <m:sub>
            <m:r>
              <w:rPr>
                <w:rFonts w:ascii="Cambria Math" w:hAnsi="Cambria Math" w:cs="Times New Roman"/>
                <w:sz w:val="28"/>
                <w:szCs w:val="28"/>
                <w:shd w:val="clear" w:color="auto" w:fill="FFFFFF"/>
              </w:rPr>
              <m:t>1</m:t>
            </m:r>
          </m:sub>
        </m:sSub>
        <m:nary>
          <m:naryPr>
            <m:chr m:val="∑"/>
            <m:limLoc m:val="undOvr"/>
            <m:subHide m:val="1"/>
            <m:supHide m:val="1"/>
            <m:ctrlPr>
              <w:rPr>
                <w:rFonts w:ascii="Cambria Math" w:hAnsi="Cambria Math" w:cs="Times New Roman"/>
                <w:i/>
                <w:sz w:val="28"/>
                <w:szCs w:val="28"/>
                <w:shd w:val="clear" w:color="auto" w:fill="FFFFFF"/>
              </w:rPr>
            </m:ctrlPr>
          </m:naryPr>
          <m:sub/>
          <m:sup/>
          <m:e>
            <m:r>
              <w:rPr>
                <w:rFonts w:ascii="Cambria Math" w:hAnsi="Cambria Math" w:cs="Times New Roman"/>
                <w:sz w:val="28"/>
                <w:szCs w:val="28"/>
                <w:shd w:val="clear" w:color="auto" w:fill="FFFFFF"/>
              </w:rPr>
              <m:t>x</m:t>
            </m:r>
          </m:e>
        </m:nary>
      </m:oMath>
      <w:r w:rsidR="00603572" w:rsidRPr="00802D35">
        <w:rPr>
          <w:rFonts w:ascii="Times New Roman" w:eastAsiaTheme="minorEastAsia" w:hAnsi="Times New Roman" w:cs="Times New Roman"/>
          <w:sz w:val="28"/>
          <w:szCs w:val="28"/>
          <w:shd w:val="clear" w:color="auto" w:fill="FFFFFF"/>
        </w:rPr>
        <w:t xml:space="preserve">                                         </w:t>
      </w:r>
      <w:r w:rsidR="00603572" w:rsidRPr="00802D35">
        <w:rPr>
          <w:rFonts w:ascii="Times New Roman" w:eastAsiaTheme="minorEastAsia" w:hAnsi="Times New Roman" w:cs="Times New Roman"/>
          <w:sz w:val="28"/>
          <w:szCs w:val="28"/>
        </w:rPr>
        <w:t>(6),</w:t>
      </w:r>
    </w:p>
    <w:p w:rsidR="00603572" w:rsidRPr="00802D35" w:rsidRDefault="00603572" w:rsidP="00603572">
      <w:pPr>
        <w:shd w:val="clear" w:color="auto" w:fill="FFFFFF"/>
        <w:spacing w:after="0" w:line="240" w:lineRule="auto"/>
        <w:ind w:firstLine="567"/>
        <w:jc w:val="both"/>
        <w:rPr>
          <w:rFonts w:ascii="Times New Roman" w:hAnsi="Times New Roman" w:cs="Times New Roman"/>
          <w:sz w:val="28"/>
          <w:szCs w:val="28"/>
          <w:shd w:val="clear" w:color="auto" w:fill="FFFFFF"/>
        </w:rPr>
      </w:pPr>
    </w:p>
    <w:p w:rsidR="00603572" w:rsidRPr="00802D35" w:rsidRDefault="00FF4C7E" w:rsidP="00603572">
      <w:pPr>
        <w:shd w:val="clear" w:color="auto" w:fill="FFFFFF"/>
        <w:spacing w:after="0" w:line="240" w:lineRule="auto"/>
        <w:ind w:firstLine="567"/>
        <w:jc w:val="both"/>
        <w:rPr>
          <w:rFonts w:ascii="Times New Roman" w:hAnsi="Times New Roman" w:cs="Times New Roman"/>
          <w:sz w:val="28"/>
          <w:szCs w:val="28"/>
          <w:shd w:val="clear" w:color="auto" w:fill="FFFFFF"/>
        </w:rPr>
      </w:pPr>
      <m:oMathPara>
        <m:oMath>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a</m:t>
              </m:r>
            </m:e>
            <m:sub>
              <m:r>
                <w:rPr>
                  <w:rFonts w:ascii="Cambria Math" w:hAnsi="Cambria Math" w:cs="Times New Roman"/>
                  <w:sz w:val="28"/>
                  <w:szCs w:val="28"/>
                  <w:shd w:val="clear" w:color="auto" w:fill="FFFFFF"/>
                </w:rPr>
                <m:t>1</m:t>
              </m:r>
            </m:sub>
          </m:sSub>
          <m:r>
            <w:rPr>
              <w:rFonts w:ascii="Cambria Math" w:hAnsi="Cambria Math" w:cs="Times New Roman"/>
              <w:sz w:val="28"/>
              <w:szCs w:val="28"/>
              <w:shd w:val="clear" w:color="auto" w:fill="FFFFFF"/>
            </w:rPr>
            <m:t xml:space="preserve">= </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n</m:t>
              </m:r>
              <m:nary>
                <m:naryPr>
                  <m:chr m:val="∑"/>
                  <m:limLoc m:val="undOvr"/>
                  <m:subHide m:val="1"/>
                  <m:supHide m:val="1"/>
                  <m:ctrlPr>
                    <w:rPr>
                      <w:rFonts w:ascii="Cambria Math" w:hAnsi="Cambria Math" w:cs="Times New Roman"/>
                      <w:i/>
                      <w:sz w:val="28"/>
                      <w:szCs w:val="28"/>
                      <w:shd w:val="clear" w:color="auto" w:fill="FFFFFF"/>
                    </w:rPr>
                  </m:ctrlPr>
                </m:naryPr>
                <m:sub/>
                <m:sup/>
                <m:e>
                  <m:r>
                    <w:rPr>
                      <w:rFonts w:ascii="Cambria Math" w:hAnsi="Cambria Math" w:cs="Times New Roman"/>
                      <w:sz w:val="28"/>
                      <w:szCs w:val="28"/>
                      <w:shd w:val="clear" w:color="auto" w:fill="FFFFFF"/>
                    </w:rPr>
                    <m:t xml:space="preserve">x lny- </m:t>
                  </m:r>
                  <m:nary>
                    <m:naryPr>
                      <m:chr m:val="∑"/>
                      <m:limLoc m:val="undOvr"/>
                      <m:subHide m:val="1"/>
                      <m:supHide m:val="1"/>
                      <m:ctrlPr>
                        <w:rPr>
                          <w:rFonts w:ascii="Cambria Math" w:hAnsi="Cambria Math" w:cs="Times New Roman"/>
                          <w:i/>
                          <w:sz w:val="28"/>
                          <w:szCs w:val="28"/>
                          <w:shd w:val="clear" w:color="auto" w:fill="FFFFFF"/>
                        </w:rPr>
                      </m:ctrlPr>
                    </m:naryPr>
                    <m:sub/>
                    <m:sup/>
                    <m:e>
                      <m:r>
                        <w:rPr>
                          <w:rFonts w:ascii="Cambria Math" w:hAnsi="Cambria Math" w:cs="Times New Roman"/>
                          <w:sz w:val="28"/>
                          <w:szCs w:val="28"/>
                          <w:shd w:val="clear" w:color="auto" w:fill="FFFFFF"/>
                        </w:rPr>
                        <m:t>x</m:t>
                      </m:r>
                      <m:nary>
                        <m:naryPr>
                          <m:chr m:val="∑"/>
                          <m:limLoc m:val="undOvr"/>
                          <m:subHide m:val="1"/>
                          <m:supHide m:val="1"/>
                          <m:ctrlPr>
                            <w:rPr>
                              <w:rFonts w:ascii="Cambria Math" w:hAnsi="Cambria Math" w:cs="Times New Roman"/>
                              <w:i/>
                              <w:sz w:val="28"/>
                              <w:szCs w:val="28"/>
                              <w:shd w:val="clear" w:color="auto" w:fill="FFFFFF"/>
                            </w:rPr>
                          </m:ctrlPr>
                        </m:naryPr>
                        <m:sub/>
                        <m:sup/>
                        <m:e>
                          <m:r>
                            <w:rPr>
                              <w:rFonts w:ascii="Cambria Math" w:hAnsi="Cambria Math" w:cs="Times New Roman"/>
                              <w:sz w:val="28"/>
                              <w:szCs w:val="28"/>
                              <w:shd w:val="clear" w:color="auto" w:fill="FFFFFF"/>
                            </w:rPr>
                            <m:t>lny</m:t>
                          </m:r>
                        </m:e>
                      </m:nary>
                    </m:e>
                  </m:nary>
                </m:e>
              </m:nary>
            </m:num>
            <m:den>
              <m:r>
                <w:rPr>
                  <w:rFonts w:ascii="Cambria Math" w:hAnsi="Cambria Math" w:cs="Times New Roman"/>
                  <w:sz w:val="28"/>
                  <w:szCs w:val="28"/>
                  <w:shd w:val="clear" w:color="auto" w:fill="FFFFFF"/>
                </w:rPr>
                <m:t>n</m:t>
              </m:r>
              <m:nary>
                <m:naryPr>
                  <m:chr m:val="∑"/>
                  <m:limLoc m:val="undOvr"/>
                  <m:subHide m:val="1"/>
                  <m:supHide m:val="1"/>
                  <m:ctrlPr>
                    <w:rPr>
                      <w:rFonts w:ascii="Cambria Math" w:hAnsi="Cambria Math" w:cs="Times New Roman"/>
                      <w:i/>
                      <w:sz w:val="28"/>
                      <w:szCs w:val="28"/>
                      <w:shd w:val="clear" w:color="auto" w:fill="FFFFFF"/>
                    </w:rPr>
                  </m:ctrlPr>
                </m:naryPr>
                <m:sub/>
                <m:sup/>
                <m:e>
                  <m:sSup>
                    <m:sSupPr>
                      <m:ctrlPr>
                        <w:rPr>
                          <w:rFonts w:ascii="Cambria Math" w:hAnsi="Cambria Math" w:cs="Times New Roman"/>
                          <w:i/>
                          <w:sz w:val="28"/>
                          <w:szCs w:val="28"/>
                          <w:shd w:val="clear" w:color="auto" w:fill="FFFFFF"/>
                        </w:rPr>
                      </m:ctrlPr>
                    </m:sSupPr>
                    <m:e>
                      <m:r>
                        <w:rPr>
                          <w:rFonts w:ascii="Cambria Math" w:hAnsi="Cambria Math" w:cs="Times New Roman"/>
                          <w:sz w:val="28"/>
                          <w:szCs w:val="28"/>
                          <w:shd w:val="clear" w:color="auto" w:fill="FFFFFF"/>
                        </w:rPr>
                        <m:t>x</m:t>
                      </m:r>
                    </m:e>
                    <m:sup>
                      <m:r>
                        <w:rPr>
                          <w:rFonts w:ascii="Cambria Math" w:hAnsi="Cambria Math" w:cs="Times New Roman"/>
                          <w:sz w:val="28"/>
                          <w:szCs w:val="28"/>
                          <w:shd w:val="clear" w:color="auto" w:fill="FFFFFF"/>
                        </w:rPr>
                        <m:t>2</m:t>
                      </m:r>
                    </m:sup>
                  </m:sSup>
                </m:e>
              </m:nary>
              <m:r>
                <w:rPr>
                  <w:rFonts w:ascii="Cambria Math" w:hAnsi="Cambria Math" w:cs="Times New Roman"/>
                  <w:sz w:val="28"/>
                  <w:szCs w:val="28"/>
                  <w:shd w:val="clear" w:color="auto" w:fill="FFFFFF"/>
                </w:rPr>
                <m:t xml:space="preserve">- </m:t>
              </m:r>
              <m:sSup>
                <m:sSupPr>
                  <m:ctrlPr>
                    <w:rPr>
                      <w:rFonts w:ascii="Cambria Math" w:hAnsi="Cambria Math" w:cs="Times New Roman"/>
                      <w:i/>
                      <w:sz w:val="28"/>
                      <w:szCs w:val="28"/>
                      <w:shd w:val="clear" w:color="auto" w:fill="FFFFFF"/>
                    </w:rPr>
                  </m:ctrlPr>
                </m:sSupPr>
                <m:e>
                  <m:r>
                    <w:rPr>
                      <w:rFonts w:ascii="Cambria Math" w:hAnsi="Cambria Math" w:cs="Times New Roman"/>
                      <w:sz w:val="28"/>
                      <w:szCs w:val="28"/>
                      <w:shd w:val="clear" w:color="auto" w:fill="FFFFFF"/>
                    </w:rPr>
                    <m:t>(</m:t>
                  </m:r>
                  <m:nary>
                    <m:naryPr>
                      <m:chr m:val="∑"/>
                      <m:limLoc m:val="undOvr"/>
                      <m:subHide m:val="1"/>
                      <m:supHide m:val="1"/>
                      <m:ctrlPr>
                        <w:rPr>
                          <w:rFonts w:ascii="Cambria Math" w:hAnsi="Cambria Math" w:cs="Times New Roman"/>
                          <w:i/>
                          <w:sz w:val="28"/>
                          <w:szCs w:val="28"/>
                          <w:shd w:val="clear" w:color="auto" w:fill="FFFFFF"/>
                        </w:rPr>
                      </m:ctrlPr>
                    </m:naryPr>
                    <m:sub/>
                    <m:sup/>
                    <m:e>
                      <m:r>
                        <w:rPr>
                          <w:rFonts w:ascii="Cambria Math" w:hAnsi="Cambria Math" w:cs="Times New Roman"/>
                          <w:sz w:val="28"/>
                          <w:szCs w:val="28"/>
                          <w:shd w:val="clear" w:color="auto" w:fill="FFFFFF"/>
                        </w:rPr>
                        <m:t>x)</m:t>
                      </m:r>
                    </m:e>
                  </m:nary>
                </m:e>
                <m:sup>
                  <m:r>
                    <w:rPr>
                      <w:rFonts w:ascii="Cambria Math" w:hAnsi="Cambria Math" w:cs="Times New Roman"/>
                      <w:sz w:val="28"/>
                      <w:szCs w:val="28"/>
                      <w:shd w:val="clear" w:color="auto" w:fill="FFFFFF"/>
                    </w:rPr>
                    <m:t>2</m:t>
                  </m:r>
                </m:sup>
              </m:sSup>
            </m:den>
          </m:f>
        </m:oMath>
      </m:oMathPara>
    </w:p>
    <w:p w:rsidR="00603572" w:rsidRPr="00802D35" w:rsidRDefault="00603572" w:rsidP="00603572">
      <w:pPr>
        <w:shd w:val="clear" w:color="auto" w:fill="FFFFFF"/>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где:</w:t>
      </w:r>
    </w:p>
    <w:p w:rsidR="00603572" w:rsidRPr="00802D35" w:rsidRDefault="00603572" w:rsidP="00603572">
      <w:pPr>
        <w:shd w:val="clear" w:color="auto" w:fill="FFFFFF"/>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i/>
          <w:sz w:val="28"/>
          <w:szCs w:val="28"/>
          <w:shd w:val="clear" w:color="auto" w:fill="FFFFFF"/>
        </w:rPr>
        <w:t xml:space="preserve">x </w:t>
      </w:r>
      <w:r w:rsidRPr="00802D35">
        <w:rPr>
          <w:rFonts w:ascii="Times New Roman" w:hAnsi="Times New Roman" w:cs="Times New Roman"/>
          <w:sz w:val="28"/>
          <w:szCs w:val="28"/>
          <w:shd w:val="clear" w:color="auto" w:fill="FFFFFF"/>
        </w:rPr>
        <w:t>– инструменты фондирования банков;</w:t>
      </w:r>
    </w:p>
    <w:p w:rsidR="00603572" w:rsidRPr="00802D35" w:rsidRDefault="00603572" w:rsidP="00603572">
      <w:pPr>
        <w:pStyle w:val="a3"/>
        <w:tabs>
          <w:tab w:val="left" w:pos="1134"/>
        </w:tabs>
        <w:spacing w:after="0" w:line="240" w:lineRule="auto"/>
        <w:ind w:left="0" w:firstLine="567"/>
        <w:contextualSpacing w:val="0"/>
        <w:jc w:val="both"/>
        <w:rPr>
          <w:rFonts w:ascii="Times New Roman" w:hAnsi="Times New Roman" w:cs="Times New Roman"/>
          <w:sz w:val="28"/>
          <w:szCs w:val="28"/>
          <w:shd w:val="clear" w:color="auto" w:fill="FFFFFF"/>
        </w:rPr>
      </w:pPr>
      <w:r w:rsidRPr="00802D35">
        <w:rPr>
          <w:rFonts w:ascii="Times New Roman" w:hAnsi="Times New Roman" w:cs="Times New Roman"/>
          <w:i/>
          <w:sz w:val="28"/>
          <w:szCs w:val="28"/>
          <w:shd w:val="clear" w:color="auto" w:fill="FFFFFF"/>
        </w:rPr>
        <w:t>а</w:t>
      </w:r>
      <w:r w:rsidRPr="00802D35">
        <w:rPr>
          <w:rFonts w:ascii="Times New Roman" w:hAnsi="Times New Roman" w:cs="Times New Roman"/>
          <w:sz w:val="28"/>
          <w:szCs w:val="28"/>
          <w:shd w:val="clear" w:color="auto" w:fill="FFFFFF"/>
        </w:rPr>
        <w:t xml:space="preserve"> - параметр экспоненциальной регрессии [</w:t>
      </w:r>
      <w:r w:rsidR="000B0564" w:rsidRPr="00802D35">
        <w:rPr>
          <w:rFonts w:ascii="Times New Roman" w:hAnsi="Times New Roman" w:cs="Times New Roman"/>
          <w:sz w:val="28"/>
          <w:szCs w:val="28"/>
          <w:shd w:val="clear" w:color="auto" w:fill="FFFFFF"/>
        </w:rPr>
        <w:t>83</w:t>
      </w:r>
      <w:r w:rsidRPr="00802D35">
        <w:rPr>
          <w:rFonts w:ascii="Times New Roman" w:hAnsi="Times New Roman" w:cs="Times New Roman"/>
          <w:sz w:val="28"/>
          <w:szCs w:val="28"/>
          <w:shd w:val="clear" w:color="auto" w:fill="FFFFFF"/>
        </w:rPr>
        <w:t>].</w:t>
      </w:r>
    </w:p>
    <w:p w:rsidR="00603572" w:rsidRPr="00802D35" w:rsidRDefault="00603572" w:rsidP="00603572">
      <w:pPr>
        <w:spacing w:after="0" w:line="240" w:lineRule="auto"/>
      </w:pP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t>Модель асимптотической регрессии описывает ограниченный рост, где Y (уровень ВВП) приближается к горизонтальной асимптоте, когда X (инструмент фондирования банка) стремится к бесконечности. Это уравнение используется в нескольких различных параметризациях и также известно как мономолекулярный рост, закон Митчерлиха или закон фон Берталанфи [</w:t>
      </w:r>
      <w:r w:rsidR="000B0564" w:rsidRPr="00802D35">
        <w:rPr>
          <w:sz w:val="28"/>
          <w:szCs w:val="28"/>
        </w:rPr>
        <w:t>84</w:t>
      </w:r>
      <w:r w:rsidRPr="00802D35">
        <w:rPr>
          <w:sz w:val="28"/>
          <w:szCs w:val="28"/>
        </w:rPr>
        <w:t>].</w:t>
      </w: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t>По своему статистическому назначению наиболее распространенной параметризацией является:</w:t>
      </w:r>
    </w:p>
    <w:p w:rsidR="00603572" w:rsidRPr="00802D35" w:rsidRDefault="00603572" w:rsidP="00603572">
      <w:pPr>
        <w:pStyle w:val="a7"/>
        <w:shd w:val="clear" w:color="auto" w:fill="FFFFFF"/>
        <w:spacing w:before="0" w:beforeAutospacing="0" w:after="0" w:afterAutospacing="0"/>
        <w:ind w:firstLine="567"/>
        <w:jc w:val="both"/>
        <w:rPr>
          <w:sz w:val="28"/>
          <w:szCs w:val="28"/>
        </w:rPr>
      </w:pPr>
    </w:p>
    <w:p w:rsidR="00603572" w:rsidRPr="00802D35" w:rsidRDefault="00603572" w:rsidP="00603572">
      <w:pPr>
        <w:pStyle w:val="a7"/>
        <w:shd w:val="clear" w:color="auto" w:fill="FFFFFF"/>
        <w:spacing w:before="0" w:beforeAutospacing="0" w:after="0" w:afterAutospacing="0"/>
        <w:ind w:firstLine="567"/>
        <w:jc w:val="right"/>
        <w:rPr>
          <w:sz w:val="28"/>
          <w:szCs w:val="28"/>
        </w:rPr>
      </w:pPr>
      <m:oMath>
        <m:r>
          <w:rPr>
            <w:rFonts w:ascii="Cambria Math" w:hAnsi="Cambria Math"/>
            <w:sz w:val="28"/>
            <w:szCs w:val="28"/>
          </w:rPr>
          <m:t>Y=a-</m:t>
        </m:r>
        <m:d>
          <m:dPr>
            <m:ctrlPr>
              <w:rPr>
                <w:rFonts w:ascii="Cambria Math" w:hAnsi="Cambria Math"/>
                <w:i/>
                <w:sz w:val="28"/>
                <w:szCs w:val="28"/>
              </w:rPr>
            </m:ctrlPr>
          </m:dPr>
          <m:e>
            <m:r>
              <w:rPr>
                <w:rFonts w:ascii="Cambria Math" w:hAnsi="Cambria Math"/>
                <w:sz w:val="28"/>
                <w:szCs w:val="28"/>
              </w:rPr>
              <m:t>a-b</m:t>
            </m:r>
          </m:e>
        </m:d>
        <m:r>
          <m:rPr>
            <m:sty m:val="p"/>
          </m:rPr>
          <w:rPr>
            <w:rFonts w:ascii="Cambria Math" w:hAnsi="Cambria Math"/>
            <w:sz w:val="28"/>
            <w:szCs w:val="28"/>
          </w:rPr>
          <m:t>exp⁡</m:t>
        </m:r>
        <m:r>
          <w:rPr>
            <w:rFonts w:ascii="Cambria Math" w:hAnsi="Cambria Math"/>
            <w:sz w:val="28"/>
            <w:szCs w:val="28"/>
          </w:rPr>
          <m:t>(-cX)</m:t>
        </m:r>
      </m:oMath>
      <w:r w:rsidRPr="00802D35">
        <w:rPr>
          <w:sz w:val="28"/>
          <w:szCs w:val="28"/>
        </w:rPr>
        <w:t xml:space="preserve">                                  (7),</w:t>
      </w: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t xml:space="preserve">где: </w:t>
      </w: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t xml:space="preserve">a - это максимально достижимое значение Y; </w:t>
      </w: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lastRenderedPageBreak/>
        <w:t xml:space="preserve">b - это Y при x = 0, </w:t>
      </w: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t>c - пропорционально относительной скорости увеличения Y при увеличении X.</w:t>
      </w:r>
    </w:p>
    <w:p w:rsidR="00603572" w:rsidRPr="00802D35" w:rsidRDefault="00603572" w:rsidP="00603572">
      <w:pPr>
        <w:pStyle w:val="a7"/>
        <w:shd w:val="clear" w:color="auto" w:fill="FFFFFF"/>
        <w:spacing w:before="0" w:beforeAutospacing="0" w:after="0" w:afterAutospacing="0"/>
        <w:ind w:firstLine="567"/>
        <w:jc w:val="both"/>
        <w:rPr>
          <w:sz w:val="28"/>
          <w:szCs w:val="28"/>
        </w:rPr>
      </w:pP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rPr>
        <w:t>Следует отметить, что относительная скорость роста в данной модели непостоянна в отличие от экспоненциальной модели, но максимальна, когда Y = 0, и уменьшается по мере увеличения Y.</w:t>
      </w:r>
    </w:p>
    <w:p w:rsidR="00603572" w:rsidRPr="00802D35" w:rsidRDefault="00603572" w:rsidP="00603572">
      <w:pPr>
        <w:pStyle w:val="a7"/>
        <w:shd w:val="clear" w:color="auto" w:fill="FFFFFF"/>
        <w:spacing w:before="0" w:beforeAutospacing="0" w:after="0" w:afterAutospacing="0"/>
        <w:ind w:firstLine="567"/>
        <w:jc w:val="both"/>
        <w:rPr>
          <w:bCs/>
          <w:sz w:val="28"/>
          <w:szCs w:val="28"/>
          <w:shd w:val="clear" w:color="auto" w:fill="FFFFFF"/>
        </w:rPr>
      </w:pPr>
      <w:r w:rsidRPr="00802D35">
        <w:rPr>
          <w:sz w:val="28"/>
          <w:szCs w:val="28"/>
        </w:rPr>
        <w:t xml:space="preserve">Итак, рассмотрим критерии оценки комбинированной регрессионной модели.  Для анализа нами будут использованы критерии </w:t>
      </w:r>
      <w:r w:rsidRPr="00802D35">
        <w:rPr>
          <w:bCs/>
          <w:sz w:val="28"/>
          <w:szCs w:val="28"/>
          <w:shd w:val="clear" w:color="auto" w:fill="FFFFFF"/>
        </w:rPr>
        <w:t>LM-тест Бр</w:t>
      </w:r>
      <w:r w:rsidR="001C0319" w:rsidRPr="00802D35">
        <w:rPr>
          <w:bCs/>
          <w:sz w:val="28"/>
          <w:szCs w:val="28"/>
          <w:shd w:val="clear" w:color="auto" w:fill="FFFFFF"/>
        </w:rPr>
        <w:t>е</w:t>
      </w:r>
      <w:r w:rsidRPr="00802D35">
        <w:rPr>
          <w:bCs/>
          <w:sz w:val="28"/>
          <w:szCs w:val="28"/>
          <w:shd w:val="clear" w:color="auto" w:fill="FFFFFF"/>
        </w:rPr>
        <w:t>уша — Годфрея</w:t>
      </w:r>
      <w:r w:rsidRPr="00802D35">
        <w:rPr>
          <w:sz w:val="28"/>
          <w:szCs w:val="28"/>
        </w:rPr>
        <w:t xml:space="preserve"> - Breusch-Godfrey (BG)  и </w:t>
      </w:r>
      <w:r w:rsidRPr="00802D35">
        <w:rPr>
          <w:bCs/>
          <w:sz w:val="28"/>
          <w:szCs w:val="28"/>
          <w:shd w:val="clear" w:color="auto" w:fill="FFFFFF"/>
        </w:rPr>
        <w:t xml:space="preserve">Голдфелда-Квандта - </w:t>
      </w:r>
      <w:r w:rsidRPr="00802D35">
        <w:rPr>
          <w:sz w:val="28"/>
          <w:szCs w:val="28"/>
          <w:shd w:val="clear" w:color="auto" w:fill="FFFFFF"/>
        </w:rPr>
        <w:t>Goldfeld-Quandt</w:t>
      </w:r>
      <w:r w:rsidRPr="00802D35">
        <w:rPr>
          <w:bCs/>
          <w:sz w:val="28"/>
          <w:szCs w:val="28"/>
          <w:shd w:val="clear" w:color="auto" w:fill="FFFFFF"/>
        </w:rPr>
        <w:t xml:space="preserve"> (GQ). </w:t>
      </w:r>
    </w:p>
    <w:p w:rsidR="00603572" w:rsidRPr="00802D35" w:rsidRDefault="00603572" w:rsidP="00603572">
      <w:pPr>
        <w:pStyle w:val="a7"/>
        <w:shd w:val="clear" w:color="auto" w:fill="FFFFFF"/>
        <w:spacing w:before="0" w:beforeAutospacing="0" w:after="0" w:afterAutospacing="0"/>
        <w:jc w:val="both"/>
        <w:rPr>
          <w:sz w:val="28"/>
          <w:szCs w:val="28"/>
        </w:rPr>
      </w:pPr>
      <w:r w:rsidRPr="00802D35">
        <w:rPr>
          <w:sz w:val="28"/>
          <w:szCs w:val="28"/>
        </w:rPr>
        <w:t>Критерий Бреуша-Годфрея позволяет проверить наличие автокорреляции в модели.</w:t>
      </w:r>
      <w:r w:rsidRPr="00802D35">
        <w:rPr>
          <w:i/>
          <w:iCs/>
          <w:sz w:val="28"/>
          <w:szCs w:val="28"/>
        </w:rPr>
        <w:t> </w:t>
      </w:r>
      <w:r w:rsidRPr="00802D35">
        <w:rPr>
          <w:sz w:val="28"/>
          <w:szCs w:val="28"/>
        </w:rPr>
        <w:t xml:space="preserve"> Предполагается, если в нижеуказанном уравнении коэффициент </w:t>
      </w:r>
      <w:r w:rsidRPr="00802D35">
        <w:rPr>
          <w:i/>
          <w:sz w:val="28"/>
          <w:szCs w:val="28"/>
        </w:rPr>
        <w:t>р</w:t>
      </w:r>
      <w:r w:rsidRPr="00802D35">
        <w:rPr>
          <w:sz w:val="28"/>
          <w:szCs w:val="28"/>
        </w:rPr>
        <w:t xml:space="preserve"> будет значимо отличается от 0, то между соседними наблюдениями существует корреляционная зависимость: </w:t>
      </w:r>
    </w:p>
    <w:p w:rsidR="00603572" w:rsidRPr="00802D35" w:rsidRDefault="00603572" w:rsidP="00603572">
      <w:pPr>
        <w:pStyle w:val="a7"/>
        <w:shd w:val="clear" w:color="auto" w:fill="FFFFFF"/>
        <w:spacing w:before="0" w:beforeAutospacing="0" w:after="0" w:afterAutospacing="0"/>
        <w:rPr>
          <w:color w:val="202020"/>
          <w:sz w:val="28"/>
          <w:szCs w:val="28"/>
        </w:rPr>
      </w:pPr>
    </w:p>
    <w:p w:rsidR="00603572" w:rsidRPr="00802D35" w:rsidRDefault="00FF4C7E" w:rsidP="00603572">
      <w:pPr>
        <w:pStyle w:val="a7"/>
        <w:shd w:val="clear" w:color="auto" w:fill="FFFFFF"/>
        <w:spacing w:before="0" w:beforeAutospacing="0" w:after="0" w:afterAutospacing="0"/>
        <w:jc w:val="right"/>
        <w:rPr>
          <w:rFonts w:ascii="YandexSansText-Light" w:hAnsi="YandexSansText-Light"/>
          <w:color w:val="202020"/>
          <w:sz w:val="28"/>
          <w:szCs w:val="28"/>
        </w:rPr>
      </w:pPr>
      <m:oMath>
        <m:sSub>
          <m:sSubPr>
            <m:ctrlPr>
              <w:rPr>
                <w:rFonts w:ascii="Cambria Math" w:hAnsi="Cambria Math"/>
                <w:i/>
                <w:color w:val="202020"/>
                <w:sz w:val="28"/>
                <w:szCs w:val="28"/>
              </w:rPr>
            </m:ctrlPr>
          </m:sSubPr>
          <m:e>
            <m:r>
              <w:rPr>
                <w:rFonts w:ascii="Cambria Math" w:hAnsi="Cambria Math"/>
                <w:color w:val="202020"/>
                <w:sz w:val="28"/>
                <w:szCs w:val="28"/>
              </w:rPr>
              <m:t>e</m:t>
            </m:r>
          </m:e>
          <m:sub>
            <m:r>
              <w:rPr>
                <w:rFonts w:ascii="Cambria Math" w:hAnsi="Cambria Math"/>
                <w:color w:val="202020"/>
                <w:sz w:val="28"/>
                <w:szCs w:val="28"/>
              </w:rPr>
              <m:t>i</m:t>
            </m:r>
          </m:sub>
        </m:sSub>
        <m:r>
          <w:rPr>
            <w:rFonts w:ascii="Cambria Math" w:hAnsi="Cambria Math"/>
            <w:color w:val="202020"/>
            <w:sz w:val="28"/>
            <w:szCs w:val="28"/>
          </w:rPr>
          <m:t>=p</m:t>
        </m:r>
        <m:sSub>
          <m:sSubPr>
            <m:ctrlPr>
              <w:rPr>
                <w:rFonts w:ascii="Cambria Math" w:hAnsi="Cambria Math"/>
                <w:i/>
                <w:color w:val="202020"/>
                <w:sz w:val="28"/>
                <w:szCs w:val="28"/>
              </w:rPr>
            </m:ctrlPr>
          </m:sSubPr>
          <m:e>
            <m:r>
              <w:rPr>
                <w:rFonts w:ascii="Cambria Math" w:hAnsi="Cambria Math"/>
                <w:color w:val="202020"/>
                <w:sz w:val="28"/>
                <w:szCs w:val="28"/>
              </w:rPr>
              <m:t>e</m:t>
            </m:r>
          </m:e>
          <m:sub>
            <m:r>
              <w:rPr>
                <w:rFonts w:ascii="Cambria Math" w:hAnsi="Cambria Math"/>
                <w:color w:val="202020"/>
                <w:sz w:val="28"/>
                <w:szCs w:val="28"/>
              </w:rPr>
              <m:t>i-1</m:t>
            </m:r>
          </m:sub>
        </m:sSub>
        <m:r>
          <w:rPr>
            <w:rFonts w:ascii="Cambria Math" w:hAnsi="Cambria Math"/>
            <w:color w:val="202020"/>
            <w:sz w:val="28"/>
            <w:szCs w:val="28"/>
          </w:rPr>
          <m:t>+</m:t>
        </m:r>
        <m:sSub>
          <m:sSubPr>
            <m:ctrlPr>
              <w:rPr>
                <w:rFonts w:ascii="Cambria Math" w:hAnsi="Cambria Math"/>
                <w:i/>
                <w:color w:val="202020"/>
                <w:sz w:val="28"/>
                <w:szCs w:val="28"/>
              </w:rPr>
            </m:ctrlPr>
          </m:sSubPr>
          <m:e>
            <m:r>
              <w:rPr>
                <w:rFonts w:ascii="Cambria Math" w:hAnsi="Cambria Math"/>
                <w:color w:val="202020"/>
                <w:sz w:val="28"/>
                <w:szCs w:val="28"/>
              </w:rPr>
              <m:t>v</m:t>
            </m:r>
          </m:e>
          <m:sub>
            <m:r>
              <w:rPr>
                <w:rFonts w:ascii="Cambria Math" w:hAnsi="Cambria Math"/>
                <w:color w:val="202020"/>
                <w:sz w:val="28"/>
                <w:szCs w:val="28"/>
              </w:rPr>
              <m:t>i</m:t>
            </m:r>
          </m:sub>
        </m:sSub>
      </m:oMath>
      <w:r w:rsidR="00603572" w:rsidRPr="00802D35">
        <w:rPr>
          <w:rFonts w:ascii="YandexSansText-Light" w:hAnsi="YandexSansText-Light"/>
          <w:color w:val="202020"/>
          <w:sz w:val="28"/>
          <w:szCs w:val="28"/>
        </w:rPr>
        <w:t xml:space="preserve">                                               (8),</w:t>
      </w:r>
    </w:p>
    <w:p w:rsidR="00603572" w:rsidRPr="00802D35" w:rsidRDefault="00603572" w:rsidP="00603572">
      <w:pPr>
        <w:pStyle w:val="a7"/>
        <w:shd w:val="clear" w:color="auto" w:fill="FFFFFF"/>
        <w:spacing w:before="0" w:beforeAutospacing="0" w:after="0" w:afterAutospacing="0"/>
        <w:ind w:left="18" w:right="14" w:firstLine="549"/>
        <w:jc w:val="both"/>
        <w:rPr>
          <w:color w:val="202020"/>
          <w:sz w:val="28"/>
          <w:szCs w:val="28"/>
        </w:rPr>
      </w:pPr>
      <w:r w:rsidRPr="00802D35">
        <w:rPr>
          <w:color w:val="202020"/>
          <w:sz w:val="28"/>
          <w:szCs w:val="28"/>
        </w:rPr>
        <w:t>где: </w:t>
      </w:r>
    </w:p>
    <w:p w:rsidR="00603572" w:rsidRPr="00802D35" w:rsidRDefault="00603572" w:rsidP="00603572">
      <w:pPr>
        <w:pStyle w:val="a7"/>
        <w:shd w:val="clear" w:color="auto" w:fill="FFFFFF"/>
        <w:spacing w:before="0" w:beforeAutospacing="0" w:after="0" w:afterAutospacing="0"/>
        <w:ind w:left="18" w:right="14" w:firstLine="549"/>
        <w:jc w:val="both"/>
        <w:rPr>
          <w:color w:val="202020"/>
          <w:sz w:val="28"/>
          <w:szCs w:val="28"/>
        </w:rPr>
      </w:pPr>
      <w:r w:rsidRPr="00802D35">
        <w:rPr>
          <w:color w:val="202020"/>
          <w:sz w:val="28"/>
          <w:szCs w:val="28"/>
        </w:rPr>
        <w:t>i = 1,…, n;</w:t>
      </w:r>
    </w:p>
    <w:p w:rsidR="00603572" w:rsidRPr="00802D35" w:rsidRDefault="00603572" w:rsidP="00603572">
      <w:pPr>
        <w:pStyle w:val="a7"/>
        <w:shd w:val="clear" w:color="auto" w:fill="FFFFFF"/>
        <w:spacing w:before="0" w:beforeAutospacing="0" w:after="0" w:afterAutospacing="0"/>
        <w:ind w:left="18" w:right="14" w:firstLine="549"/>
        <w:jc w:val="both"/>
        <w:rPr>
          <w:color w:val="202020"/>
          <w:sz w:val="28"/>
          <w:szCs w:val="28"/>
        </w:rPr>
      </w:pPr>
      <w:r w:rsidRPr="00802D35">
        <w:rPr>
          <w:i/>
          <w:iCs/>
          <w:color w:val="202020"/>
          <w:sz w:val="28"/>
          <w:szCs w:val="28"/>
        </w:rPr>
        <w:t>e</w:t>
      </w:r>
      <w:r w:rsidRPr="00802D35">
        <w:rPr>
          <w:i/>
          <w:iCs/>
          <w:color w:val="202020"/>
          <w:sz w:val="19"/>
          <w:szCs w:val="19"/>
          <w:vertAlign w:val="subscript"/>
        </w:rPr>
        <w:t>t</w:t>
      </w:r>
      <w:r w:rsidRPr="00802D35">
        <w:rPr>
          <w:i/>
          <w:iCs/>
          <w:color w:val="202020"/>
          <w:sz w:val="28"/>
          <w:szCs w:val="28"/>
        </w:rPr>
        <w:t> </w:t>
      </w:r>
      <w:r w:rsidRPr="00802D35">
        <w:rPr>
          <w:color w:val="202020"/>
          <w:sz w:val="28"/>
          <w:szCs w:val="28"/>
        </w:rPr>
        <w:t>– остатки регрессии.</w:t>
      </w:r>
    </w:p>
    <w:p w:rsidR="00603572" w:rsidRPr="00802D35" w:rsidRDefault="00603572" w:rsidP="00603572">
      <w:pPr>
        <w:pStyle w:val="a7"/>
        <w:shd w:val="clear" w:color="auto" w:fill="FFFFFF"/>
        <w:spacing w:before="0" w:beforeAutospacing="0" w:after="0" w:afterAutospacing="0"/>
        <w:ind w:left="18" w:right="14" w:firstLine="549"/>
        <w:jc w:val="both"/>
        <w:rPr>
          <w:color w:val="202020"/>
          <w:sz w:val="28"/>
          <w:szCs w:val="28"/>
        </w:rPr>
      </w:pPr>
      <w:r w:rsidRPr="00802D35">
        <w:rPr>
          <w:color w:val="202020"/>
          <w:sz w:val="28"/>
          <w:szCs w:val="28"/>
        </w:rPr>
        <w:t xml:space="preserve"> </w:t>
      </w: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bdr w:val="none" w:sz="0" w:space="0" w:color="auto" w:frame="1"/>
          <w:shd w:val="clear" w:color="auto" w:fill="FFFFFF"/>
        </w:rPr>
      </w:pPr>
      <w:r w:rsidRPr="00802D35">
        <w:rPr>
          <w:bCs/>
          <w:sz w:val="28"/>
          <w:szCs w:val="28"/>
          <w:shd w:val="clear" w:color="auto" w:fill="FFFFFF"/>
        </w:rPr>
        <w:t xml:space="preserve">Критерий </w:t>
      </w:r>
      <w:r w:rsidRPr="00802D35">
        <w:rPr>
          <w:sz w:val="28"/>
          <w:szCs w:val="28"/>
          <w:bdr w:val="none" w:sz="0" w:space="0" w:color="auto" w:frame="1"/>
          <w:shd w:val="clear" w:color="auto" w:fill="FFFFFF"/>
        </w:rPr>
        <w:t>Голдфелда – Квандта необходим для проверки гетероскедастичности в модели регрессии. При этом проводится сравнение вариаций двух подгрупп, одна совокупность низких параметров и одна – высоких значений. В результате отличия отклонений нулевая гипотеза отвергается, которая свидетельствует о том, что вариации ошибок непостоянны [</w:t>
      </w:r>
      <w:r w:rsidR="000B0564" w:rsidRPr="00802D35">
        <w:rPr>
          <w:sz w:val="28"/>
          <w:szCs w:val="28"/>
          <w:bdr w:val="none" w:sz="0" w:space="0" w:color="auto" w:frame="1"/>
          <w:shd w:val="clear" w:color="auto" w:fill="FFFFFF"/>
        </w:rPr>
        <w:t>85</w:t>
      </w:r>
      <w:r w:rsidRPr="00802D35">
        <w:rPr>
          <w:sz w:val="28"/>
          <w:szCs w:val="28"/>
          <w:bdr w:val="none" w:sz="0" w:space="0" w:color="auto" w:frame="1"/>
          <w:shd w:val="clear" w:color="auto" w:fill="FFFFFF"/>
        </w:rPr>
        <w:t>]. В данном критерии для сравнения вариаций подгрупп используется следующая формула:</w:t>
      </w: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bdr w:val="none" w:sz="0" w:space="0" w:color="auto" w:frame="1"/>
          <w:shd w:val="clear" w:color="auto" w:fill="FFFFFF"/>
        </w:rPr>
      </w:pPr>
    </w:p>
    <w:p w:rsidR="00603572" w:rsidRPr="00802D35" w:rsidRDefault="00603572" w:rsidP="00603572">
      <w:pPr>
        <w:pStyle w:val="a7"/>
        <w:shd w:val="clear" w:color="auto" w:fill="FFFFFF"/>
        <w:spacing w:before="0" w:beforeAutospacing="0" w:after="0" w:afterAutospacing="0"/>
        <w:jc w:val="right"/>
        <w:textAlignment w:val="baseline"/>
        <w:rPr>
          <w:bCs/>
          <w:sz w:val="28"/>
          <w:szCs w:val="28"/>
          <w:shd w:val="clear" w:color="auto" w:fill="FFFFFF"/>
        </w:rPr>
      </w:pPr>
      <m:oMath>
        <m:r>
          <w:rPr>
            <w:rFonts w:ascii="Cambria Math" w:hAnsi="Cambria Math"/>
            <w:sz w:val="28"/>
            <w:szCs w:val="28"/>
            <w:shd w:val="clear" w:color="auto" w:fill="FFFFFF"/>
          </w:rPr>
          <m:t xml:space="preserve">F= </m:t>
        </m:r>
        <m:f>
          <m:fPr>
            <m:ctrlPr>
              <w:rPr>
                <w:rFonts w:ascii="Cambria Math" w:hAnsi="Cambria Math"/>
                <w:bCs/>
                <w:i/>
                <w:sz w:val="28"/>
                <w:szCs w:val="28"/>
                <w:shd w:val="clear" w:color="auto" w:fill="FFFFFF"/>
              </w:rPr>
            </m:ctrlPr>
          </m:fPr>
          <m:num>
            <m:nary>
              <m:naryPr>
                <m:chr m:val="∑"/>
                <m:limLoc m:val="undOvr"/>
                <m:ctrlPr>
                  <w:rPr>
                    <w:rFonts w:ascii="Cambria Math" w:hAnsi="Cambria Math"/>
                    <w:bCs/>
                    <w:i/>
                    <w:sz w:val="28"/>
                    <w:szCs w:val="28"/>
                    <w:shd w:val="clear" w:color="auto" w:fill="FFFFFF"/>
                  </w:rPr>
                </m:ctrlPr>
              </m:naryPr>
              <m:sub>
                <m:r>
                  <w:rPr>
                    <w:rFonts w:ascii="Cambria Math" w:hAnsi="Cambria Math"/>
                    <w:sz w:val="28"/>
                    <w:szCs w:val="28"/>
                    <w:shd w:val="clear" w:color="auto" w:fill="FFFFFF"/>
                  </w:rPr>
                  <m:t>i=1</m:t>
                </m:r>
              </m:sub>
              <m:sup>
                <m:r>
                  <w:rPr>
                    <w:rFonts w:ascii="Cambria Math" w:hAnsi="Cambria Math"/>
                    <w:sz w:val="28"/>
                    <w:szCs w:val="28"/>
                    <w:shd w:val="clear" w:color="auto" w:fill="FFFFFF"/>
                  </w:rPr>
                  <m:t>I</m:t>
                </m:r>
              </m:sup>
              <m:e>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m:t>
                    </m:r>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y</m:t>
                        </m:r>
                      </m:e>
                      <m:sub>
                        <m:r>
                          <w:rPr>
                            <w:rFonts w:ascii="Cambria Math" w:hAnsi="Cambria Math"/>
                            <w:sz w:val="28"/>
                            <w:szCs w:val="28"/>
                            <w:shd w:val="clear" w:color="auto" w:fill="FFFFFF"/>
                          </w:rPr>
                          <m:t>i</m:t>
                        </m:r>
                      </m:sub>
                    </m:sSub>
                    <m:r>
                      <w:rPr>
                        <w:rFonts w:ascii="Cambria Math" w:hAnsi="Cambria Math"/>
                        <w:sz w:val="28"/>
                        <w:szCs w:val="28"/>
                        <w:shd w:val="clear" w:color="auto" w:fill="FFFFFF"/>
                      </w:rPr>
                      <m:t>-</m:t>
                    </m:r>
                    <m:sSub>
                      <m:sSubPr>
                        <m:ctrlPr>
                          <w:rPr>
                            <w:rFonts w:ascii="Cambria Math" w:hAnsi="Cambria Math"/>
                            <w:bCs/>
                            <w:i/>
                            <w:sz w:val="28"/>
                            <w:szCs w:val="28"/>
                            <w:shd w:val="clear" w:color="auto" w:fill="FFFFFF"/>
                          </w:rPr>
                        </m:ctrlPr>
                      </m:sSubPr>
                      <m:e>
                        <m:acc>
                          <m:accPr>
                            <m:chr m:val="̅"/>
                            <m:ctrlPr>
                              <w:rPr>
                                <w:rFonts w:ascii="Cambria Math" w:hAnsi="Cambria Math"/>
                                <w:bCs/>
                                <w:i/>
                                <w:sz w:val="28"/>
                                <w:szCs w:val="28"/>
                                <w:shd w:val="clear" w:color="auto" w:fill="FFFFFF"/>
                              </w:rPr>
                            </m:ctrlPr>
                          </m:accPr>
                          <m:e>
                            <m:r>
                              <w:rPr>
                                <w:rFonts w:ascii="Cambria Math" w:hAnsi="Cambria Math"/>
                                <w:sz w:val="28"/>
                                <w:szCs w:val="28"/>
                                <w:shd w:val="clear" w:color="auto" w:fill="FFFFFF"/>
                              </w:rPr>
                              <m:t>y</m:t>
                            </m:r>
                          </m:e>
                        </m:acc>
                      </m:e>
                      <m:sub>
                        <m:r>
                          <w:rPr>
                            <w:rFonts w:ascii="Cambria Math" w:hAnsi="Cambria Math"/>
                            <w:sz w:val="28"/>
                            <w:szCs w:val="28"/>
                            <w:shd w:val="clear" w:color="auto" w:fill="FFFFFF"/>
                          </w:rPr>
                          <m:t>i</m:t>
                        </m:r>
                      </m:sub>
                    </m:sSub>
                    <m:r>
                      <w:rPr>
                        <w:rFonts w:ascii="Cambria Math" w:hAnsi="Cambria Math"/>
                        <w:sz w:val="28"/>
                        <w:szCs w:val="28"/>
                        <w:shd w:val="clear" w:color="auto" w:fill="FFFFFF"/>
                      </w:rPr>
                      <m:t>)</m:t>
                    </m:r>
                  </m:e>
                  <m:sup>
                    <m:r>
                      <w:rPr>
                        <w:rFonts w:ascii="Cambria Math" w:hAnsi="Cambria Math"/>
                        <w:sz w:val="28"/>
                        <w:szCs w:val="28"/>
                        <w:shd w:val="clear" w:color="auto" w:fill="FFFFFF"/>
                      </w:rPr>
                      <m:t>2</m:t>
                    </m:r>
                  </m:sup>
                </m:sSup>
              </m:e>
            </m:nary>
          </m:num>
          <m:den>
            <m:nary>
              <m:naryPr>
                <m:chr m:val="∑"/>
                <m:limLoc m:val="undOvr"/>
                <m:ctrlPr>
                  <w:rPr>
                    <w:rFonts w:ascii="Cambria Math" w:hAnsi="Cambria Math"/>
                    <w:bCs/>
                    <w:i/>
                    <w:sz w:val="28"/>
                    <w:szCs w:val="28"/>
                    <w:shd w:val="clear" w:color="auto" w:fill="FFFFFF"/>
                  </w:rPr>
                </m:ctrlPr>
              </m:naryPr>
              <m:sub>
                <m:r>
                  <w:rPr>
                    <w:rFonts w:ascii="Cambria Math" w:hAnsi="Cambria Math"/>
                    <w:sz w:val="28"/>
                    <w:szCs w:val="28"/>
                    <w:shd w:val="clear" w:color="auto" w:fill="FFFFFF"/>
                  </w:rPr>
                  <m:t>i=n-I+1</m:t>
                </m:r>
              </m:sub>
              <m:sup>
                <m:r>
                  <w:rPr>
                    <w:rFonts w:ascii="Cambria Math" w:hAnsi="Cambria Math"/>
                    <w:sz w:val="28"/>
                    <w:szCs w:val="28"/>
                    <w:shd w:val="clear" w:color="auto" w:fill="FFFFFF"/>
                  </w:rPr>
                  <m:t>I</m:t>
                </m:r>
              </m:sup>
              <m:e>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m:t>
                    </m:r>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y</m:t>
                        </m:r>
                      </m:e>
                      <m:sub>
                        <m:r>
                          <w:rPr>
                            <w:rFonts w:ascii="Cambria Math" w:hAnsi="Cambria Math"/>
                            <w:sz w:val="28"/>
                            <w:szCs w:val="28"/>
                            <w:shd w:val="clear" w:color="auto" w:fill="FFFFFF"/>
                          </w:rPr>
                          <m:t>i</m:t>
                        </m:r>
                      </m:sub>
                    </m:sSub>
                    <m:r>
                      <w:rPr>
                        <w:rFonts w:ascii="Cambria Math" w:hAnsi="Cambria Math"/>
                        <w:sz w:val="28"/>
                        <w:szCs w:val="28"/>
                        <w:shd w:val="clear" w:color="auto" w:fill="FFFFFF"/>
                      </w:rPr>
                      <m:t>-</m:t>
                    </m:r>
                    <m:sSub>
                      <m:sSubPr>
                        <m:ctrlPr>
                          <w:rPr>
                            <w:rFonts w:ascii="Cambria Math" w:hAnsi="Cambria Math"/>
                            <w:bCs/>
                            <w:i/>
                            <w:sz w:val="28"/>
                            <w:szCs w:val="28"/>
                            <w:shd w:val="clear" w:color="auto" w:fill="FFFFFF"/>
                          </w:rPr>
                        </m:ctrlPr>
                      </m:sSubPr>
                      <m:e>
                        <m:acc>
                          <m:accPr>
                            <m:chr m:val="̅"/>
                            <m:ctrlPr>
                              <w:rPr>
                                <w:rFonts w:ascii="Cambria Math" w:hAnsi="Cambria Math"/>
                                <w:bCs/>
                                <w:i/>
                                <w:sz w:val="28"/>
                                <w:szCs w:val="28"/>
                                <w:shd w:val="clear" w:color="auto" w:fill="FFFFFF"/>
                              </w:rPr>
                            </m:ctrlPr>
                          </m:accPr>
                          <m:e>
                            <m:r>
                              <w:rPr>
                                <w:rFonts w:ascii="Cambria Math" w:hAnsi="Cambria Math"/>
                                <w:sz w:val="28"/>
                                <w:szCs w:val="28"/>
                                <w:shd w:val="clear" w:color="auto" w:fill="FFFFFF"/>
                              </w:rPr>
                              <m:t>y</m:t>
                            </m:r>
                          </m:e>
                        </m:acc>
                      </m:e>
                      <m:sub>
                        <m:r>
                          <w:rPr>
                            <w:rFonts w:ascii="Cambria Math" w:hAnsi="Cambria Math"/>
                            <w:sz w:val="28"/>
                            <w:szCs w:val="28"/>
                            <w:shd w:val="clear" w:color="auto" w:fill="FFFFFF"/>
                          </w:rPr>
                          <m:t>i</m:t>
                        </m:r>
                      </m:sub>
                    </m:sSub>
                    <m:r>
                      <w:rPr>
                        <w:rFonts w:ascii="Cambria Math" w:hAnsi="Cambria Math"/>
                        <w:sz w:val="28"/>
                        <w:szCs w:val="28"/>
                        <w:shd w:val="clear" w:color="auto" w:fill="FFFFFF"/>
                      </w:rPr>
                      <m:t>)</m:t>
                    </m:r>
                  </m:e>
                  <m:sup>
                    <m:r>
                      <w:rPr>
                        <w:rFonts w:ascii="Cambria Math" w:hAnsi="Cambria Math"/>
                        <w:sz w:val="28"/>
                        <w:szCs w:val="28"/>
                        <w:shd w:val="clear" w:color="auto" w:fill="FFFFFF"/>
                      </w:rPr>
                      <m:t>2</m:t>
                    </m:r>
                  </m:sup>
                </m:sSup>
              </m:e>
            </m:nary>
          </m:den>
        </m:f>
        <m:r>
          <w:rPr>
            <w:rFonts w:ascii="Cambria Math" w:hAnsi="Cambria Math"/>
            <w:sz w:val="28"/>
            <w:szCs w:val="28"/>
            <w:shd w:val="clear" w:color="auto" w:fill="FFFFFF"/>
          </w:rPr>
          <m:t>=</m:t>
        </m:r>
        <m:f>
          <m:fPr>
            <m:ctrlPr>
              <w:rPr>
                <w:rFonts w:ascii="Cambria Math" w:hAnsi="Cambria Math"/>
                <w:bCs/>
                <w:i/>
                <w:sz w:val="28"/>
                <w:szCs w:val="28"/>
                <w:shd w:val="clear" w:color="auto" w:fill="FFFFFF"/>
              </w:rPr>
            </m:ctrlPr>
          </m:fPr>
          <m:num>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ESS</m:t>
                </m:r>
              </m:e>
              <m:sub>
                <m:r>
                  <w:rPr>
                    <w:rFonts w:ascii="Cambria Math" w:hAnsi="Cambria Math"/>
                    <w:sz w:val="28"/>
                    <w:szCs w:val="28"/>
                    <w:shd w:val="clear" w:color="auto" w:fill="FFFFFF"/>
                  </w:rPr>
                  <m:t>1</m:t>
                </m:r>
              </m:sub>
            </m:sSub>
          </m:num>
          <m:den>
            <m:sSub>
              <m:sSubPr>
                <m:ctrlPr>
                  <w:rPr>
                    <w:rFonts w:ascii="Cambria Math" w:hAnsi="Cambria Math"/>
                    <w:bCs/>
                    <w:i/>
                    <w:sz w:val="28"/>
                    <w:szCs w:val="28"/>
                    <w:shd w:val="clear" w:color="auto" w:fill="FFFFFF"/>
                  </w:rPr>
                </m:ctrlPr>
              </m:sSubPr>
              <m:e>
                <m:r>
                  <w:rPr>
                    <w:rFonts w:ascii="Cambria Math" w:hAnsi="Cambria Math"/>
                    <w:sz w:val="28"/>
                    <w:szCs w:val="28"/>
                    <w:shd w:val="clear" w:color="auto" w:fill="FFFFFF"/>
                  </w:rPr>
                  <m:t>ESS</m:t>
                </m:r>
              </m:e>
              <m:sub>
                <m:r>
                  <w:rPr>
                    <w:rFonts w:ascii="Cambria Math" w:hAnsi="Cambria Math"/>
                    <w:sz w:val="28"/>
                    <w:szCs w:val="28"/>
                    <w:shd w:val="clear" w:color="auto" w:fill="FFFFFF"/>
                  </w:rPr>
                  <m:t>2</m:t>
                </m:r>
              </m:sub>
            </m:sSub>
          </m:den>
        </m:f>
      </m:oMath>
      <w:r w:rsidRPr="00802D35">
        <w:rPr>
          <w:bCs/>
          <w:sz w:val="28"/>
          <w:szCs w:val="28"/>
          <w:shd w:val="clear" w:color="auto" w:fill="FFFFFF"/>
        </w:rPr>
        <w:t xml:space="preserve">                                       (9)</w:t>
      </w:r>
    </w:p>
    <w:p w:rsidR="00603572" w:rsidRPr="00802D35" w:rsidRDefault="00603572" w:rsidP="00603572">
      <w:pPr>
        <w:pStyle w:val="a7"/>
        <w:shd w:val="clear" w:color="auto" w:fill="FFFFFF"/>
        <w:spacing w:before="0" w:beforeAutospacing="0" w:after="0" w:afterAutospacing="0"/>
        <w:jc w:val="both"/>
        <w:textAlignment w:val="baseline"/>
        <w:rPr>
          <w:sz w:val="28"/>
          <w:szCs w:val="28"/>
        </w:rPr>
      </w:pP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rPr>
      </w:pPr>
      <w:r w:rsidRPr="00802D35">
        <w:rPr>
          <w:sz w:val="28"/>
          <w:szCs w:val="28"/>
        </w:rPr>
        <w:t xml:space="preserve">При полученных результатах, если </w:t>
      </w:r>
      <w:r w:rsidRPr="00802D35">
        <w:rPr>
          <w:i/>
          <w:iCs/>
          <w:sz w:val="28"/>
          <w:szCs w:val="28"/>
        </w:rPr>
        <w:t>F&gt;F</w:t>
      </w:r>
      <w:r w:rsidRPr="00802D35">
        <w:rPr>
          <w:i/>
          <w:iCs/>
          <w:sz w:val="28"/>
          <w:szCs w:val="28"/>
          <w:vertAlign w:val="subscript"/>
        </w:rPr>
        <w:t>табл</w:t>
      </w:r>
      <w:r w:rsidRPr="00802D35">
        <w:rPr>
          <w:i/>
          <w:iCs/>
          <w:sz w:val="28"/>
          <w:szCs w:val="28"/>
        </w:rPr>
        <w:t>,</w:t>
      </w:r>
      <w:r w:rsidRPr="00802D35">
        <w:rPr>
          <w:sz w:val="28"/>
          <w:szCs w:val="28"/>
        </w:rPr>
        <w:t> то гипотеза об отсутствии гетероскедастичности отклоняется [</w:t>
      </w:r>
      <w:r w:rsidR="000B0564" w:rsidRPr="00802D35">
        <w:rPr>
          <w:sz w:val="28"/>
          <w:szCs w:val="28"/>
        </w:rPr>
        <w:t>86</w:t>
      </w:r>
      <w:r w:rsidRPr="00802D35">
        <w:rPr>
          <w:sz w:val="28"/>
          <w:szCs w:val="28"/>
        </w:rPr>
        <w:t>]. В случае обнаружения гетероскедастичности возникает необходимость ее устранения, для чего необходимо преобразование модели. Во многих случаях вариации ошибок зависят не от включенных в уравнение регрессии объясняющих переменных, а от тех, которые не включены в модель, но играют существенную роль в исследуемой зависимости. В этом случае они должны быть включены в модель. В ряде случаев для устранения гетероскедастичности необходимо изменить вид модели (например, линейную форму зависимости на логлинейную, аддитивную и т. п.).</w:t>
      </w:r>
    </w:p>
    <w:p w:rsidR="00603572" w:rsidRPr="00802D35" w:rsidRDefault="00603572" w:rsidP="00603572">
      <w:pPr>
        <w:widowControl w:val="0"/>
        <w:spacing w:after="0" w:line="240" w:lineRule="auto"/>
        <w:ind w:firstLine="567"/>
        <w:jc w:val="both"/>
        <w:rPr>
          <w:rFonts w:ascii="Times New Roman" w:hAnsi="Times New Roman" w:cs="Times New Roman"/>
          <w:sz w:val="28"/>
          <w:szCs w:val="28"/>
          <w:bdr w:val="none" w:sz="0" w:space="0" w:color="auto" w:frame="1"/>
        </w:rPr>
      </w:pPr>
      <w:r w:rsidRPr="00802D35">
        <w:rPr>
          <w:rFonts w:ascii="Times New Roman" w:hAnsi="Times New Roman" w:cs="Times New Roman"/>
          <w:sz w:val="28"/>
          <w:szCs w:val="28"/>
          <w:shd w:val="clear" w:color="auto" w:fill="FFFFFF"/>
        </w:rPr>
        <w:t xml:space="preserve">С целью коррекции и дополнительной проверки результатов регрессионого анализа нами предлагается применение многофакторного дисперсионного анализа </w:t>
      </w:r>
      <w:r w:rsidRPr="00802D35">
        <w:rPr>
          <w:rStyle w:val="af"/>
          <w:rFonts w:ascii="Times New Roman" w:hAnsi="Times New Roman" w:cs="Times New Roman"/>
          <w:b w:val="0"/>
          <w:sz w:val="28"/>
          <w:szCs w:val="28"/>
          <w:bdr w:val="none" w:sz="0" w:space="0" w:color="auto" w:frame="1"/>
          <w:shd w:val="clear" w:color="auto" w:fill="FFFFFF"/>
          <w:lang w:val="en-US"/>
        </w:rPr>
        <w:t>M</w:t>
      </w:r>
      <w:r w:rsidRPr="00802D35">
        <w:rPr>
          <w:rFonts w:ascii="Times New Roman" w:hAnsi="Times New Roman" w:cs="Times New Roman"/>
          <w:sz w:val="28"/>
          <w:szCs w:val="28"/>
          <w:bdr w:val="none" w:sz="0" w:space="0" w:color="auto" w:frame="1"/>
          <w:shd w:val="clear" w:color="auto" w:fill="FFFFFF"/>
          <w:lang w:val="en-US"/>
        </w:rPr>
        <w:t>ultivariate</w:t>
      </w:r>
      <w:r w:rsidRPr="00802D35">
        <w:rPr>
          <w:rFonts w:ascii="Times New Roman" w:hAnsi="Times New Roman" w:cs="Times New Roman"/>
          <w:sz w:val="28"/>
          <w:szCs w:val="28"/>
          <w:bdr w:val="none" w:sz="0" w:space="0" w:color="auto" w:frame="1"/>
          <w:shd w:val="clear" w:color="auto" w:fill="FFFFFF"/>
        </w:rPr>
        <w:t xml:space="preserve"> </w:t>
      </w:r>
      <w:r w:rsidRPr="00802D35">
        <w:rPr>
          <w:rFonts w:ascii="Times New Roman" w:hAnsi="Times New Roman" w:cs="Times New Roman"/>
          <w:bCs/>
          <w:sz w:val="28"/>
          <w:szCs w:val="28"/>
          <w:lang w:val="en-US"/>
        </w:rPr>
        <w:t>A</w:t>
      </w:r>
      <w:r w:rsidR="00CB5CC3" w:rsidRPr="00802D35">
        <w:rPr>
          <w:rFonts w:ascii="Times New Roman" w:hAnsi="Times New Roman" w:cs="Times New Roman"/>
          <w:bCs/>
          <w:sz w:val="28"/>
          <w:szCs w:val="28"/>
          <w:lang w:val="en-US"/>
        </w:rPr>
        <w:t>N</w:t>
      </w:r>
      <w:r w:rsidRPr="00802D35">
        <w:rPr>
          <w:rFonts w:ascii="Times New Roman" w:hAnsi="Times New Roman" w:cs="Times New Roman"/>
          <w:bCs/>
          <w:sz w:val="28"/>
          <w:szCs w:val="28"/>
          <w:lang w:val="en-US"/>
        </w:rPr>
        <w:t>alysis</w:t>
      </w:r>
      <w:r w:rsidRPr="00802D35">
        <w:rPr>
          <w:rFonts w:ascii="Times New Roman" w:hAnsi="Times New Roman" w:cs="Times New Roman"/>
          <w:bCs/>
          <w:sz w:val="28"/>
          <w:szCs w:val="28"/>
        </w:rPr>
        <w:t xml:space="preserve"> </w:t>
      </w:r>
      <w:r w:rsidRPr="00802D35">
        <w:rPr>
          <w:rFonts w:ascii="Times New Roman" w:hAnsi="Times New Roman" w:cs="Times New Roman"/>
          <w:bCs/>
          <w:sz w:val="28"/>
          <w:szCs w:val="28"/>
          <w:lang w:val="en-US"/>
        </w:rPr>
        <w:t>Of</w:t>
      </w:r>
      <w:r w:rsidRPr="00802D35">
        <w:rPr>
          <w:rFonts w:ascii="Times New Roman" w:hAnsi="Times New Roman" w:cs="Times New Roman"/>
          <w:bCs/>
          <w:sz w:val="28"/>
          <w:szCs w:val="28"/>
        </w:rPr>
        <w:t xml:space="preserve"> </w:t>
      </w:r>
      <w:r w:rsidRPr="00802D35">
        <w:rPr>
          <w:rFonts w:ascii="Times New Roman" w:hAnsi="Times New Roman" w:cs="Times New Roman"/>
          <w:caps/>
          <w:sz w:val="28"/>
          <w:szCs w:val="28"/>
          <w:lang w:val="en-US"/>
        </w:rPr>
        <w:t>va</w:t>
      </w:r>
      <w:r w:rsidRPr="00802D35">
        <w:rPr>
          <w:rFonts w:ascii="Times New Roman" w:hAnsi="Times New Roman" w:cs="Times New Roman"/>
          <w:sz w:val="28"/>
          <w:szCs w:val="28"/>
          <w:lang w:val="en-US"/>
        </w:rPr>
        <w:t>riance</w:t>
      </w:r>
      <w:r w:rsidRPr="00802D35">
        <w:rPr>
          <w:rFonts w:ascii="Times New Roman" w:hAnsi="Times New Roman" w:cs="Times New Roman"/>
          <w:bCs/>
          <w:sz w:val="28"/>
          <w:szCs w:val="28"/>
        </w:rPr>
        <w:t xml:space="preserve"> (MANOVA). Суть данного анализа заключается в том, что </w:t>
      </w:r>
      <w:r w:rsidRPr="00802D35">
        <w:rPr>
          <w:rFonts w:ascii="Times New Roman" w:hAnsi="Times New Roman" w:cs="Times New Roman"/>
          <w:sz w:val="28"/>
          <w:szCs w:val="28"/>
          <w:bdr w:val="none" w:sz="0" w:space="0" w:color="auto" w:frame="1"/>
        </w:rPr>
        <w:t xml:space="preserve">MANOVA проверяет различия в векторе средних </w:t>
      </w:r>
      <w:r w:rsidRPr="00802D35">
        <w:rPr>
          <w:rFonts w:ascii="Times New Roman" w:hAnsi="Times New Roman" w:cs="Times New Roman"/>
          <w:sz w:val="28"/>
          <w:szCs w:val="28"/>
          <w:bdr w:val="none" w:sz="0" w:space="0" w:color="auto" w:frame="1"/>
        </w:rPr>
        <w:lastRenderedPageBreak/>
        <w:t>значений множественных интервальных зависимостей для различных категорий независимых переменных [</w:t>
      </w:r>
      <w:r w:rsidR="000B0564" w:rsidRPr="00802D35">
        <w:rPr>
          <w:rFonts w:ascii="Times New Roman" w:hAnsi="Times New Roman" w:cs="Times New Roman"/>
          <w:sz w:val="28"/>
          <w:szCs w:val="28"/>
          <w:bdr w:val="none" w:sz="0" w:space="0" w:color="auto" w:frame="1"/>
        </w:rPr>
        <w:t>87</w:t>
      </w:r>
      <w:r w:rsidRPr="00802D35">
        <w:rPr>
          <w:rFonts w:ascii="Times New Roman" w:hAnsi="Times New Roman" w:cs="Times New Roman"/>
          <w:sz w:val="28"/>
          <w:szCs w:val="28"/>
          <w:bdr w:val="none" w:sz="0" w:space="0" w:color="auto" w:frame="1"/>
        </w:rPr>
        <w:t>]. В нашем случае, это инструменты фондирования деятельности банков. Данный вид анализа позволит нам осуществить апостериорные сравнения инструментов, входящих в структуру фондирования БВУ Казахстана, чтобы определить, какие значения фактора больше всего способствуют объяснению зависимых переменных, то есть ВВП страны.</w:t>
      </w: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r w:rsidRPr="00802D35">
        <w:rPr>
          <w:sz w:val="28"/>
          <w:szCs w:val="28"/>
          <w:shd w:val="clear" w:color="auto" w:fill="FFFFFF"/>
        </w:rPr>
        <w:t>Преимущество MANOVA по сравнению с обычным регрессионным анализом заключается в том, что он учитывает корреляции между переменными, что приводит к более полному использованию информации, содержащейся в данных [</w:t>
      </w:r>
      <w:r w:rsidR="000B0564" w:rsidRPr="00802D35">
        <w:rPr>
          <w:sz w:val="28"/>
          <w:szCs w:val="28"/>
          <w:shd w:val="clear" w:color="auto" w:fill="FFFFFF"/>
        </w:rPr>
        <w:t>88</w:t>
      </w:r>
      <w:r w:rsidRPr="00802D35">
        <w:rPr>
          <w:sz w:val="28"/>
          <w:szCs w:val="28"/>
          <w:shd w:val="clear" w:color="auto" w:fill="FFFFFF"/>
        </w:rPr>
        <w:t>]. Таким образом, применение этого метода позволит существенно откорректировать результаты нелинейного регрессионного анализа. </w:t>
      </w: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r w:rsidRPr="00802D35">
        <w:rPr>
          <w:sz w:val="28"/>
          <w:szCs w:val="28"/>
          <w:shd w:val="clear" w:color="auto" w:fill="FFFFFF"/>
        </w:rPr>
        <w:t>MANOVA проверяет влияние факторов на несколько переменных и позволяет одновременно проверять все гипотезы, и с большей вероятностью обнаруживает значимые эффекты факторов. MANOVA чувствителен как к разнице средних значений между уровнями факторов, так и к ковариации между независимыми переменными. И потенциальная корреляция между ответными переменными с большей вероятностью будет обнаружена, когда эти переменные будут изучены вместе, как в случае с MANOVA.</w:t>
      </w: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r w:rsidRPr="00802D35">
        <w:rPr>
          <w:sz w:val="28"/>
          <w:szCs w:val="28"/>
          <w:shd w:val="clear" w:color="auto" w:fill="FFFFFF"/>
        </w:rPr>
        <w:t>В модели MANOVA каждый вектор наблюдения (набор наблюдений, измеренный по нескольким переменным) имеет свою модель, обозначенную как:</w:t>
      </w:r>
    </w:p>
    <w:p w:rsidR="00603572" w:rsidRPr="00802D35" w:rsidRDefault="00FF4C7E" w:rsidP="00603572">
      <w:pPr>
        <w:widowControl w:val="0"/>
        <w:spacing w:after="0" w:line="24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ij</m:t>
            </m:r>
          </m:sub>
        </m:sSub>
      </m:oMath>
      <w:r w:rsidR="00603572" w:rsidRPr="00802D35">
        <w:rPr>
          <w:rFonts w:ascii="Times New Roman" w:eastAsiaTheme="minorEastAsia" w:hAnsi="Times New Roman" w:cs="Times New Roman"/>
          <w:sz w:val="28"/>
          <w:szCs w:val="28"/>
        </w:rPr>
        <w:t xml:space="preserve">                                                  (10),</w:t>
      </w: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m:oMathPara>
        <m:oMath>
          <m:r>
            <w:rPr>
              <w:rFonts w:ascii="Cambria Math" w:hAnsi="Cambria Math"/>
              <w:sz w:val="28"/>
              <w:szCs w:val="28"/>
              <w:shd w:val="clear" w:color="auto" w:fill="FFFFFF"/>
            </w:rPr>
            <m:t>i=1,2,…m</m:t>
          </m:r>
        </m:oMath>
      </m:oMathPara>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m:oMathPara>
        <m:oMath>
          <m:r>
            <w:rPr>
              <w:rFonts w:ascii="Cambria Math" w:hAnsi="Cambria Math"/>
              <w:sz w:val="28"/>
              <w:szCs w:val="28"/>
              <w:shd w:val="clear" w:color="auto" w:fill="FFFFFF"/>
            </w:rPr>
            <m:t>j=1,2,…n</m:t>
          </m:r>
        </m:oMath>
      </m:oMathPara>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r w:rsidRPr="00802D35">
        <w:rPr>
          <w:sz w:val="28"/>
          <w:szCs w:val="28"/>
          <w:shd w:val="clear" w:color="auto" w:fill="FFFFFF"/>
        </w:rPr>
        <w:t xml:space="preserve">С количеством вариаций </w:t>
      </w:r>
      <w:r w:rsidRPr="00802D35">
        <w:rPr>
          <w:i/>
          <w:sz w:val="28"/>
          <w:szCs w:val="28"/>
          <w:shd w:val="clear" w:color="auto" w:fill="FFFFFF"/>
        </w:rPr>
        <w:t>p</w:t>
      </w:r>
      <w:r w:rsidRPr="00802D35">
        <w:rPr>
          <w:sz w:val="28"/>
          <w:szCs w:val="28"/>
          <w:shd w:val="clear" w:color="auto" w:fill="FFFFFF"/>
        </w:rPr>
        <w:t xml:space="preserve"> модель приобретет следующий вид:</w:t>
      </w: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p>
    <w:p w:rsidR="00603572" w:rsidRPr="00802D35" w:rsidRDefault="00FF4C7E" w:rsidP="00603572">
      <w:pPr>
        <w:pStyle w:val="a7"/>
        <w:shd w:val="clear" w:color="auto" w:fill="FFFFFF"/>
        <w:spacing w:before="0" w:beforeAutospacing="0" w:after="0" w:afterAutospacing="0"/>
        <w:ind w:firstLine="567"/>
        <w:jc w:val="right"/>
        <w:textAlignment w:val="baseline"/>
        <w:rPr>
          <w:sz w:val="28"/>
          <w:szCs w:val="28"/>
          <w:shd w:val="clear" w:color="auto" w:fill="FFFFFF"/>
        </w:rPr>
      </w:pPr>
      <m:oMath>
        <m:m>
          <m:mPr>
            <m:mcs>
              <m:mc>
                <m:mcPr>
                  <m:count m:val="1"/>
                  <m:mcJc m:val="center"/>
                </m:mcPr>
              </m:mc>
            </m:mcs>
            <m:ctrlPr>
              <w:rPr>
                <w:rFonts w:ascii="Cambria Math" w:hAnsi="Cambria Math"/>
                <w:i/>
                <w:sz w:val="28"/>
                <w:szCs w:val="28"/>
                <w:shd w:val="clear" w:color="auto" w:fill="FFFFFF"/>
              </w:rPr>
            </m:ctrlPr>
          </m:mPr>
          <m:m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y</m:t>
                  </m:r>
                </m:e>
                <m:sub>
                  <m:r>
                    <w:rPr>
                      <w:rFonts w:ascii="Cambria Math" w:hAnsi="Cambria Math"/>
                      <w:sz w:val="28"/>
                      <w:szCs w:val="28"/>
                      <w:shd w:val="clear" w:color="auto" w:fill="FFFFFF"/>
                    </w:rPr>
                    <m:t>ij1</m:t>
                  </m:r>
                </m:sub>
              </m:sSub>
            </m:e>
          </m:mr>
          <m:m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y</m:t>
                  </m:r>
                </m:e>
                <m:sub>
                  <m:r>
                    <w:rPr>
                      <w:rFonts w:ascii="Cambria Math" w:hAnsi="Cambria Math"/>
                      <w:sz w:val="28"/>
                      <w:szCs w:val="28"/>
                      <w:shd w:val="clear" w:color="auto" w:fill="FFFFFF"/>
                    </w:rPr>
                    <m:t>ij2</m:t>
                  </m:r>
                </m:sub>
              </m:sSub>
            </m:e>
          </m:mr>
          <m:mr>
            <m:e>
              <m:m>
                <m:mPr>
                  <m:mcs>
                    <m:mc>
                      <m:mcPr>
                        <m:count m:val="1"/>
                        <m:mcJc m:val="center"/>
                      </m:mcPr>
                    </m:mc>
                  </m:mcs>
                  <m:ctrlPr>
                    <w:rPr>
                      <w:rFonts w:ascii="Cambria Math" w:hAnsi="Cambria Math"/>
                      <w:i/>
                      <w:sz w:val="28"/>
                      <w:szCs w:val="28"/>
                      <w:shd w:val="clear" w:color="auto" w:fill="FFFFFF"/>
                    </w:rPr>
                  </m:ctrlPr>
                </m:mPr>
                <m:mr>
                  <m:e>
                    <m:r>
                      <w:rPr>
                        <w:rFonts w:ascii="Cambria Math" w:hAnsi="Cambria Math"/>
                        <w:sz w:val="28"/>
                        <w:szCs w:val="28"/>
                        <w:shd w:val="clear" w:color="auto" w:fill="FFFFFF"/>
                      </w:rPr>
                      <m:t>.</m:t>
                    </m:r>
                  </m:e>
                </m:mr>
                <m:mr>
                  <m:e>
                    <m:r>
                      <w:rPr>
                        <w:rFonts w:ascii="Cambria Math" w:hAnsi="Cambria Math"/>
                        <w:sz w:val="28"/>
                        <w:szCs w:val="28"/>
                        <w:shd w:val="clear" w:color="auto" w:fill="FFFFFF"/>
                      </w:rPr>
                      <m:t>.</m:t>
                    </m:r>
                  </m:e>
                </m:mr>
                <m:m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y</m:t>
                        </m:r>
                      </m:e>
                      <m:sub>
                        <m:r>
                          <w:rPr>
                            <w:rFonts w:ascii="Cambria Math" w:hAnsi="Cambria Math"/>
                            <w:sz w:val="28"/>
                            <w:szCs w:val="28"/>
                            <w:shd w:val="clear" w:color="auto" w:fill="FFFFFF"/>
                          </w:rPr>
                          <m:t>ijp</m:t>
                        </m:r>
                      </m:sub>
                    </m:sSub>
                  </m:e>
                </m:mr>
              </m:m>
            </m:e>
          </m:mr>
        </m:m>
        <m:r>
          <w:rPr>
            <w:rFonts w:ascii="Cambria Math" w:hAnsi="Cambria Math"/>
            <w:sz w:val="28"/>
            <w:szCs w:val="28"/>
            <w:shd w:val="clear" w:color="auto" w:fill="FFFFFF"/>
          </w:rPr>
          <m:t>=</m:t>
        </m:r>
        <m:m>
          <m:mPr>
            <m:mcs>
              <m:mc>
                <m:mcPr>
                  <m:count m:val="1"/>
                  <m:mcJc m:val="center"/>
                </m:mcPr>
              </m:mc>
            </m:mcs>
            <m:ctrlPr>
              <w:rPr>
                <w:rFonts w:ascii="Cambria Math" w:hAnsi="Cambria Math"/>
                <w:i/>
                <w:sz w:val="28"/>
                <w:szCs w:val="28"/>
                <w:shd w:val="clear" w:color="auto" w:fill="FFFFFF"/>
              </w:rPr>
            </m:ctrlPr>
          </m:mPr>
          <m:m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μ</m:t>
                  </m:r>
                </m:e>
                <m:sub>
                  <m:r>
                    <w:rPr>
                      <w:rFonts w:ascii="Cambria Math" w:hAnsi="Cambria Math"/>
                      <w:sz w:val="28"/>
                      <w:szCs w:val="28"/>
                      <w:shd w:val="clear" w:color="auto" w:fill="FFFFFF"/>
                    </w:rPr>
                    <m:t>i1</m:t>
                  </m:r>
                </m:sub>
              </m:sSub>
            </m:e>
          </m:mr>
          <m:m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μ</m:t>
                  </m:r>
                </m:e>
                <m:sub>
                  <m:r>
                    <w:rPr>
                      <w:rFonts w:ascii="Cambria Math" w:hAnsi="Cambria Math"/>
                      <w:sz w:val="28"/>
                      <w:szCs w:val="28"/>
                      <w:shd w:val="clear" w:color="auto" w:fill="FFFFFF"/>
                    </w:rPr>
                    <m:t>i2</m:t>
                  </m:r>
                </m:sub>
              </m:sSub>
            </m:e>
          </m:mr>
          <m:mr>
            <m:e>
              <m:m>
                <m:mPr>
                  <m:mcs>
                    <m:mc>
                      <m:mcPr>
                        <m:count m:val="1"/>
                        <m:mcJc m:val="center"/>
                      </m:mcPr>
                    </m:mc>
                  </m:mcs>
                  <m:ctrlPr>
                    <w:rPr>
                      <w:rFonts w:ascii="Cambria Math" w:hAnsi="Cambria Math"/>
                      <w:i/>
                      <w:sz w:val="28"/>
                      <w:szCs w:val="28"/>
                      <w:shd w:val="clear" w:color="auto" w:fill="FFFFFF"/>
                    </w:rPr>
                  </m:ctrlPr>
                </m:mPr>
                <m:mr>
                  <m:e>
                    <m:r>
                      <w:rPr>
                        <w:rFonts w:ascii="Cambria Math" w:hAnsi="Cambria Math"/>
                        <w:sz w:val="28"/>
                        <w:szCs w:val="28"/>
                        <w:shd w:val="clear" w:color="auto" w:fill="FFFFFF"/>
                      </w:rPr>
                      <m:t>.</m:t>
                    </m:r>
                  </m:e>
                </m:mr>
                <m:mr>
                  <m:e>
                    <m:r>
                      <w:rPr>
                        <w:rFonts w:ascii="Cambria Math" w:hAnsi="Cambria Math"/>
                        <w:sz w:val="28"/>
                        <w:szCs w:val="28"/>
                        <w:shd w:val="clear" w:color="auto" w:fill="FFFFFF"/>
                      </w:rPr>
                      <m:t>.</m:t>
                    </m:r>
                  </m:e>
                </m:mr>
                <m:m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μ</m:t>
                        </m:r>
                      </m:e>
                      <m:sub>
                        <m:r>
                          <w:rPr>
                            <w:rFonts w:ascii="Cambria Math" w:hAnsi="Cambria Math"/>
                            <w:sz w:val="28"/>
                            <w:szCs w:val="28"/>
                            <w:shd w:val="clear" w:color="auto" w:fill="FFFFFF"/>
                          </w:rPr>
                          <m:t>ip</m:t>
                        </m:r>
                      </m:sub>
                    </m:sSub>
                  </m:e>
                </m:mr>
              </m:m>
            </m:e>
          </m:mr>
        </m:m>
        <m:r>
          <w:rPr>
            <w:rFonts w:ascii="Cambria Math" w:hAnsi="Cambria Math"/>
            <w:sz w:val="28"/>
            <w:szCs w:val="28"/>
            <w:shd w:val="clear" w:color="auto" w:fill="FFFFFF"/>
          </w:rPr>
          <m:t>+</m:t>
        </m:r>
        <m:m>
          <m:mPr>
            <m:mcs>
              <m:mc>
                <m:mcPr>
                  <m:count m:val="1"/>
                  <m:mcJc m:val="center"/>
                </m:mcPr>
              </m:mc>
            </m:mcs>
            <m:ctrlPr>
              <w:rPr>
                <w:rFonts w:ascii="Cambria Math" w:hAnsi="Cambria Math"/>
                <w:i/>
                <w:sz w:val="28"/>
                <w:szCs w:val="28"/>
                <w:shd w:val="clear" w:color="auto" w:fill="FFFFFF"/>
              </w:rPr>
            </m:ctrlPr>
          </m:mPr>
          <m:m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ε</m:t>
                  </m:r>
                </m:e>
                <m:sub>
                  <m:r>
                    <w:rPr>
                      <w:rFonts w:ascii="Cambria Math" w:hAnsi="Cambria Math"/>
                      <w:sz w:val="28"/>
                      <w:szCs w:val="28"/>
                      <w:shd w:val="clear" w:color="auto" w:fill="FFFFFF"/>
                    </w:rPr>
                    <m:t>ij1</m:t>
                  </m:r>
                </m:sub>
              </m:sSub>
            </m:e>
          </m:mr>
          <m:mr>
            <m:e>
              <m:m>
                <m:mPr>
                  <m:mcs>
                    <m:mc>
                      <m:mcPr>
                        <m:count m:val="1"/>
                        <m:mcJc m:val="center"/>
                      </m:mcPr>
                    </m:mc>
                  </m:mcs>
                  <m:ctrlPr>
                    <w:rPr>
                      <w:rFonts w:ascii="Cambria Math" w:hAnsi="Cambria Math"/>
                      <w:i/>
                      <w:sz w:val="28"/>
                      <w:szCs w:val="28"/>
                      <w:shd w:val="clear" w:color="auto" w:fill="FFFFFF"/>
                    </w:rPr>
                  </m:ctrlPr>
                </m:mPr>
                <m:m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ε</m:t>
                        </m:r>
                      </m:e>
                      <m:sub>
                        <m:r>
                          <w:rPr>
                            <w:rFonts w:ascii="Cambria Math" w:hAnsi="Cambria Math"/>
                            <w:sz w:val="28"/>
                            <w:szCs w:val="28"/>
                            <w:shd w:val="clear" w:color="auto" w:fill="FFFFFF"/>
                          </w:rPr>
                          <m:t>ij2</m:t>
                        </m:r>
                      </m:sub>
                    </m:sSub>
                  </m:e>
                </m:mr>
                <m:mr>
                  <m:e>
                    <m:r>
                      <w:rPr>
                        <w:rFonts w:ascii="Cambria Math" w:hAnsi="Cambria Math"/>
                        <w:sz w:val="28"/>
                        <w:szCs w:val="28"/>
                        <w:shd w:val="clear" w:color="auto" w:fill="FFFFFF"/>
                      </w:rPr>
                      <m:t>.</m:t>
                    </m:r>
                  </m:e>
                </m:mr>
                <m:mr>
                  <m:e>
                    <m:r>
                      <w:rPr>
                        <w:rFonts w:ascii="Cambria Math" w:hAnsi="Cambria Math"/>
                        <w:sz w:val="28"/>
                        <w:szCs w:val="28"/>
                        <w:shd w:val="clear" w:color="auto" w:fill="FFFFFF"/>
                      </w:rPr>
                      <m:t>.</m:t>
                    </m:r>
                  </m:e>
                </m:mr>
              </m:m>
            </m:e>
          </m:mr>
          <m:mr>
            <m:e>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ε</m:t>
                  </m:r>
                </m:e>
                <m:sub>
                  <m:r>
                    <w:rPr>
                      <w:rFonts w:ascii="Cambria Math" w:hAnsi="Cambria Math"/>
                      <w:sz w:val="28"/>
                      <w:szCs w:val="28"/>
                      <w:shd w:val="clear" w:color="auto" w:fill="FFFFFF"/>
                    </w:rPr>
                    <m:t>ijp</m:t>
                  </m:r>
                </m:sub>
              </m:sSub>
            </m:e>
          </m:mr>
        </m:m>
      </m:oMath>
      <w:r w:rsidR="00603572" w:rsidRPr="00802D35">
        <w:rPr>
          <w:sz w:val="28"/>
          <w:szCs w:val="28"/>
          <w:shd w:val="clear" w:color="auto" w:fill="FFFFFF"/>
        </w:rPr>
        <w:t xml:space="preserve">                                               (11),</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eastAsiaTheme="minorEastAsia" w:hAnsi="Times New Roman" w:cs="Times New Roman"/>
          <w:sz w:val="28"/>
          <w:szCs w:val="28"/>
        </w:rPr>
        <w:t>где:</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y</w:t>
      </w:r>
      <w:r w:rsidRPr="00802D35">
        <w:rPr>
          <w:rFonts w:ascii="Times New Roman" w:hAnsi="Times New Roman" w:cs="Times New Roman"/>
          <w:sz w:val="28"/>
          <w:szCs w:val="28"/>
          <w:vertAlign w:val="subscript"/>
        </w:rPr>
        <w:t>ij</w:t>
      </w:r>
      <w:r w:rsidRPr="00802D35">
        <w:rPr>
          <w:rFonts w:ascii="Times New Roman" w:hAnsi="Times New Roman" w:cs="Times New Roman"/>
          <w:sz w:val="28"/>
          <w:szCs w:val="28"/>
        </w:rPr>
        <w:t xml:space="preserve"> – ВВП страны, на который оказывает влияние </w:t>
      </w:r>
      <w:r w:rsidRPr="00802D35">
        <w:rPr>
          <w:rFonts w:ascii="Times New Roman" w:hAnsi="Times New Roman" w:cs="Times New Roman"/>
          <w:color w:val="333333"/>
          <w:spacing w:val="4"/>
          <w:sz w:val="28"/>
          <w:szCs w:val="28"/>
          <w:shd w:val="clear" w:color="auto" w:fill="FCFCFC"/>
        </w:rPr>
        <w:t>i</w:t>
      </w:r>
      <w:r w:rsidRPr="00802D35">
        <w:rPr>
          <w:rFonts w:ascii="Times New Roman" w:hAnsi="Times New Roman" w:cs="Times New Roman"/>
          <w:sz w:val="28"/>
          <w:szCs w:val="28"/>
        </w:rPr>
        <w:t xml:space="preserve"> – ое наблюдение в j – ой группе;</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µ</w:t>
      </w:r>
      <w:r w:rsidRPr="00802D35">
        <w:rPr>
          <w:rFonts w:ascii="Times New Roman" w:hAnsi="Times New Roman" w:cs="Times New Roman"/>
          <w:sz w:val="28"/>
          <w:szCs w:val="28"/>
          <w:vertAlign w:val="subscript"/>
        </w:rPr>
        <w:t>ij</w:t>
      </w:r>
      <w:r w:rsidRPr="00802D35">
        <w:rPr>
          <w:rFonts w:ascii="Times New Roman" w:hAnsi="Times New Roman" w:cs="Times New Roman"/>
          <w:sz w:val="28"/>
          <w:szCs w:val="28"/>
        </w:rPr>
        <w:t xml:space="preserve"> – фактор </w:t>
      </w:r>
      <w:r w:rsidRPr="00802D35">
        <w:rPr>
          <w:rFonts w:ascii="Times New Roman" w:hAnsi="Times New Roman" w:cs="Times New Roman"/>
          <w:color w:val="333333"/>
          <w:spacing w:val="4"/>
          <w:sz w:val="28"/>
          <w:szCs w:val="28"/>
          <w:shd w:val="clear" w:color="auto" w:fill="FCFCFC"/>
        </w:rPr>
        <w:t>i</w:t>
      </w:r>
      <w:r w:rsidRPr="00802D35">
        <w:rPr>
          <w:rFonts w:ascii="Times New Roman" w:hAnsi="Times New Roman" w:cs="Times New Roman"/>
          <w:sz w:val="28"/>
          <w:szCs w:val="28"/>
        </w:rPr>
        <w:t xml:space="preserve"> – ого наблюдения в j – ой группе;</w:t>
      </w:r>
    </w:p>
    <w:p w:rsidR="00603572" w:rsidRPr="00802D35" w:rsidRDefault="00603572" w:rsidP="00603572">
      <w:pPr>
        <w:widowControl w:val="0"/>
        <w:spacing w:after="0" w:line="240" w:lineRule="auto"/>
        <w:ind w:firstLine="567"/>
        <w:jc w:val="both"/>
        <w:rPr>
          <w:rFonts w:ascii="Times New Roman" w:hAnsi="Times New Roman" w:cs="Times New Roman"/>
          <w:color w:val="333333"/>
          <w:spacing w:val="4"/>
          <w:sz w:val="28"/>
          <w:szCs w:val="28"/>
          <w:shd w:val="clear" w:color="auto" w:fill="FCFCFC"/>
        </w:rPr>
      </w:pPr>
      <w:r w:rsidRPr="00802D35">
        <w:rPr>
          <w:rFonts w:ascii="Times New Roman" w:hAnsi="Times New Roman" w:cs="Times New Roman"/>
          <w:color w:val="333333"/>
          <w:spacing w:val="4"/>
          <w:sz w:val="28"/>
          <w:szCs w:val="28"/>
          <w:shd w:val="clear" w:color="auto" w:fill="FCFCFC"/>
        </w:rPr>
        <w:t>ɛ</w:t>
      </w:r>
      <w:r w:rsidRPr="00802D35">
        <w:rPr>
          <w:rFonts w:ascii="Times New Roman" w:hAnsi="Times New Roman" w:cs="Times New Roman"/>
          <w:color w:val="333333"/>
          <w:spacing w:val="4"/>
          <w:sz w:val="28"/>
          <w:szCs w:val="28"/>
          <w:shd w:val="clear" w:color="auto" w:fill="FCFCFC"/>
          <w:vertAlign w:val="subscript"/>
        </w:rPr>
        <w:t>ij</w:t>
      </w:r>
      <w:r w:rsidRPr="00802D35">
        <w:rPr>
          <w:rFonts w:ascii="Times New Roman" w:hAnsi="Times New Roman" w:cs="Times New Roman"/>
          <w:color w:val="333333"/>
          <w:spacing w:val="4"/>
          <w:sz w:val="28"/>
          <w:szCs w:val="28"/>
          <w:shd w:val="clear" w:color="auto" w:fill="FCFCFC"/>
        </w:rPr>
        <w:t xml:space="preserve"> – ошибка i</w:t>
      </w:r>
      <w:r w:rsidRPr="00802D35">
        <w:rPr>
          <w:rFonts w:ascii="Times New Roman" w:hAnsi="Times New Roman" w:cs="Times New Roman"/>
          <w:sz w:val="28"/>
          <w:szCs w:val="28"/>
        </w:rPr>
        <w:t xml:space="preserve"> – ого наблюдения в j – ой группе.</w:t>
      </w: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r w:rsidRPr="00802D35">
        <w:rPr>
          <w:sz w:val="28"/>
          <w:szCs w:val="28"/>
          <w:shd w:val="clear" w:color="auto" w:fill="FFFFFF"/>
        </w:rPr>
        <w:t xml:space="preserve">Вариации в данном анализе рассматриваются как внутри групп, так и между группами переменных. В данном случае рассматриваются дисперсии эффекта модели и дисперсии ошибки, которые в совокупности составляют </w:t>
      </w:r>
      <w:r w:rsidRPr="00802D35">
        <w:rPr>
          <w:sz w:val="28"/>
          <w:szCs w:val="28"/>
          <w:shd w:val="clear" w:color="auto" w:fill="FFFFFF"/>
        </w:rPr>
        <w:lastRenderedPageBreak/>
        <w:t xml:space="preserve">внутригрупповую или межгрупповую вариацию </w:t>
      </w:r>
      <w:r w:rsidRPr="00802D35">
        <w:rPr>
          <w:sz w:val="28"/>
          <w:szCs w:val="28"/>
        </w:rPr>
        <w:t>[</w:t>
      </w:r>
      <w:r w:rsidR="000B0564" w:rsidRPr="00802D35">
        <w:rPr>
          <w:sz w:val="28"/>
          <w:szCs w:val="28"/>
        </w:rPr>
        <w:t>89</w:t>
      </w:r>
      <w:r w:rsidRPr="00802D35">
        <w:rPr>
          <w:sz w:val="28"/>
          <w:szCs w:val="28"/>
        </w:rPr>
        <w:t>]</w:t>
      </w:r>
      <w:r w:rsidRPr="00802D35">
        <w:rPr>
          <w:sz w:val="28"/>
          <w:szCs w:val="28"/>
          <w:shd w:val="clear" w:color="auto" w:fill="FFFFFF"/>
        </w:rPr>
        <w:t>. В результате, совокупная средняя вариация равна:</w:t>
      </w:r>
    </w:p>
    <w:p w:rsidR="00603572" w:rsidRPr="00802D35" w:rsidRDefault="00603572" w:rsidP="00603572">
      <w:pPr>
        <w:pStyle w:val="a7"/>
        <w:shd w:val="clear" w:color="auto" w:fill="FFFFFF"/>
        <w:spacing w:before="0" w:beforeAutospacing="0" w:after="0" w:afterAutospacing="0"/>
        <w:ind w:firstLine="567"/>
        <w:jc w:val="both"/>
        <w:textAlignment w:val="baseline"/>
        <w:rPr>
          <w:sz w:val="28"/>
          <w:szCs w:val="28"/>
          <w:shd w:val="clear" w:color="auto" w:fill="FFFFFF"/>
        </w:rPr>
      </w:pPr>
    </w:p>
    <w:p w:rsidR="00603572" w:rsidRPr="00802D35" w:rsidRDefault="00FF4C7E" w:rsidP="00603572">
      <w:pPr>
        <w:spacing w:after="0" w:line="240" w:lineRule="auto"/>
        <w:ind w:firstLine="567"/>
        <w:jc w:val="right"/>
        <w:rPr>
          <w:rFonts w:ascii="Times New Roman" w:eastAsiaTheme="minorEastAsia" w:hAnsi="Times New Roman" w:cs="Times New Roman"/>
          <w:color w:val="000000" w:themeColor="dark1"/>
          <w:sz w:val="28"/>
          <w:szCs w:val="28"/>
        </w:rPr>
      </w:pPr>
      <m:oMath>
        <m:sSub>
          <m:sSubPr>
            <m:ctrlPr>
              <w:rPr>
                <w:rFonts w:ascii="Cambria Math" w:eastAsiaTheme="minorEastAsia" w:hAnsi="Cambria Math" w:cs="Times New Roman"/>
                <w:i/>
                <w:iCs/>
                <w:color w:val="000000" w:themeColor="dark1"/>
                <w:sz w:val="28"/>
                <w:szCs w:val="28"/>
              </w:rPr>
            </m:ctrlPr>
          </m:sSubPr>
          <m:e>
            <m:r>
              <w:rPr>
                <w:rFonts w:ascii="Cambria Math" w:eastAsiaTheme="minorEastAsia" w:hAnsi="Cambria Math" w:cs="Times New Roman"/>
                <w:color w:val="000000" w:themeColor="dark1"/>
                <w:sz w:val="28"/>
                <w:szCs w:val="28"/>
              </w:rPr>
              <m:t>MS</m:t>
            </m:r>
          </m:e>
          <m:sub>
            <m:r>
              <w:rPr>
                <w:rFonts w:ascii="Cambria Math" w:eastAsiaTheme="minorEastAsia" w:hAnsi="Cambria Math" w:cs="Times New Roman"/>
                <w:color w:val="000000" w:themeColor="dark1"/>
                <w:sz w:val="28"/>
                <w:szCs w:val="28"/>
              </w:rPr>
              <m:t>T</m:t>
            </m:r>
          </m:sub>
        </m:sSub>
        <m:r>
          <w:rPr>
            <w:rFonts w:ascii="Cambria Math" w:eastAsiaTheme="minorEastAsia" w:hAnsi="Cambria Math" w:cs="Times New Roman"/>
            <w:color w:val="000000" w:themeColor="dark1"/>
            <w:sz w:val="28"/>
            <w:szCs w:val="28"/>
          </w:rPr>
          <m:t>= </m:t>
        </m:r>
        <m:f>
          <m:fPr>
            <m:ctrlPr>
              <w:rPr>
                <w:rFonts w:ascii="Cambria Math" w:eastAsiaTheme="minorEastAsia" w:hAnsi="Cambria Math" w:cs="Times New Roman"/>
                <w:i/>
                <w:iCs/>
                <w:color w:val="000000" w:themeColor="dark1"/>
                <w:sz w:val="28"/>
                <w:szCs w:val="28"/>
              </w:rPr>
            </m:ctrlPr>
          </m:fPr>
          <m:num>
            <m:sSup>
              <m:sSupPr>
                <m:ctrlPr>
                  <w:rPr>
                    <w:rFonts w:ascii="Cambria Math" w:eastAsiaTheme="minorEastAsia" w:hAnsi="Cambria Math" w:cs="Times New Roman"/>
                    <w:i/>
                    <w:iCs/>
                    <w:color w:val="000000" w:themeColor="dark1"/>
                    <w:sz w:val="28"/>
                    <w:szCs w:val="28"/>
                  </w:rPr>
                </m:ctrlPr>
              </m:sSupPr>
              <m:e>
                <m:r>
                  <w:rPr>
                    <w:rFonts w:ascii="Cambria Math" w:eastAsiaTheme="minorEastAsia" w:hAnsi="Cambria Math" w:cs="Times New Roman"/>
                    <w:color w:val="000000" w:themeColor="dark1"/>
                    <w:sz w:val="28"/>
                    <w:szCs w:val="28"/>
                  </w:rPr>
                  <m:t>S</m:t>
                </m:r>
              </m:e>
              <m:sup>
                <m:r>
                  <w:rPr>
                    <w:rFonts w:ascii="Cambria Math" w:eastAsiaTheme="minorEastAsia" w:hAnsi="Cambria Math" w:cs="Times New Roman"/>
                    <w:color w:val="000000" w:themeColor="dark1"/>
                    <w:sz w:val="28"/>
                    <w:szCs w:val="28"/>
                  </w:rPr>
                  <m:t>2</m:t>
                </m:r>
              </m:sup>
            </m:sSup>
          </m:num>
          <m:den>
            <m:r>
              <w:rPr>
                <w:rFonts w:ascii="Cambria Math" w:eastAsiaTheme="minorEastAsia" w:hAnsi="Cambria Math" w:cs="Times New Roman"/>
                <w:color w:val="000000" w:themeColor="dark1"/>
                <w:sz w:val="28"/>
                <w:szCs w:val="28"/>
              </w:rPr>
              <m:t>dƒ</m:t>
            </m:r>
          </m:den>
        </m:f>
        <m:r>
          <w:rPr>
            <w:rFonts w:ascii="Cambria Math" w:eastAsiaTheme="minorEastAsia" w:hAnsi="Cambria Math" w:cs="Times New Roman"/>
            <w:color w:val="000000" w:themeColor="dark1"/>
            <w:sz w:val="28"/>
            <w:szCs w:val="28"/>
          </w:rPr>
          <m:t>=</m:t>
        </m:r>
        <m:f>
          <m:fPr>
            <m:ctrlPr>
              <w:rPr>
                <w:rFonts w:ascii="Cambria Math" w:eastAsiaTheme="minorEastAsia" w:hAnsi="Cambria Math" w:cs="Times New Roman"/>
                <w:i/>
                <w:iCs/>
                <w:color w:val="000000" w:themeColor="dark1"/>
                <w:sz w:val="28"/>
                <w:szCs w:val="28"/>
              </w:rPr>
            </m:ctrlPr>
          </m:fPr>
          <m:num>
            <m:sSub>
              <m:sSubPr>
                <m:ctrlPr>
                  <w:rPr>
                    <w:rFonts w:ascii="Cambria Math" w:eastAsiaTheme="minorEastAsia" w:hAnsi="Cambria Math" w:cs="Times New Roman"/>
                    <w:i/>
                    <w:iCs/>
                    <w:color w:val="000000" w:themeColor="dark1"/>
                    <w:sz w:val="28"/>
                    <w:szCs w:val="28"/>
                  </w:rPr>
                </m:ctrlPr>
              </m:sSubPr>
              <m:e>
                <m:r>
                  <w:rPr>
                    <w:rFonts w:ascii="Cambria Math" w:eastAsiaTheme="minorEastAsia" w:hAnsi="Cambria Math" w:cs="Times New Roman"/>
                    <w:color w:val="000000" w:themeColor="dark1"/>
                    <w:sz w:val="28"/>
                    <w:szCs w:val="28"/>
                  </w:rPr>
                  <m:t>SS</m:t>
                </m:r>
              </m:e>
              <m:sub>
                <m:r>
                  <w:rPr>
                    <w:rFonts w:ascii="Cambria Math" w:eastAsiaTheme="minorEastAsia" w:hAnsi="Cambria Math" w:cs="Times New Roman"/>
                    <w:color w:val="000000" w:themeColor="dark1"/>
                    <w:sz w:val="28"/>
                    <w:szCs w:val="28"/>
                  </w:rPr>
                  <m:t>T</m:t>
                </m:r>
              </m:sub>
            </m:sSub>
          </m:num>
          <m:den>
            <m:r>
              <w:rPr>
                <w:rFonts w:ascii="Cambria Math" w:eastAsiaTheme="minorEastAsia" w:hAnsi="Cambria Math" w:cs="Times New Roman"/>
                <w:color w:val="000000" w:themeColor="dark1"/>
                <w:sz w:val="28"/>
                <w:szCs w:val="28"/>
              </w:rPr>
              <m:t>n-1</m:t>
            </m:r>
          </m:den>
        </m:f>
      </m:oMath>
      <w:r w:rsidR="00603572" w:rsidRPr="00802D35">
        <w:rPr>
          <w:rFonts w:ascii="Times New Roman" w:eastAsiaTheme="minorEastAsia" w:hAnsi="Times New Roman" w:cs="Times New Roman"/>
          <w:color w:val="000000" w:themeColor="dark1"/>
          <w:sz w:val="28"/>
          <w:szCs w:val="28"/>
        </w:rPr>
        <w:t xml:space="preserve">                                                  (12),</w:t>
      </w:r>
    </w:p>
    <w:p w:rsidR="00603572" w:rsidRPr="00802D35" w:rsidRDefault="00603572" w:rsidP="00603572">
      <w:pPr>
        <w:spacing w:after="0" w:line="240" w:lineRule="auto"/>
        <w:ind w:firstLine="567"/>
        <w:jc w:val="both"/>
        <w:rPr>
          <w:rFonts w:ascii="Times New Roman" w:eastAsiaTheme="minorEastAsia" w:hAnsi="Times New Roman" w:cs="Times New Roman"/>
          <w:color w:val="000000" w:themeColor="dark1"/>
          <w:sz w:val="28"/>
          <w:szCs w:val="28"/>
        </w:rPr>
      </w:pPr>
      <w:r w:rsidRPr="00802D35">
        <w:rPr>
          <w:rFonts w:ascii="Times New Roman" w:eastAsiaTheme="minorEastAsia" w:hAnsi="Times New Roman" w:cs="Times New Roman"/>
          <w:color w:val="000000" w:themeColor="dark1"/>
          <w:sz w:val="28"/>
          <w:szCs w:val="28"/>
        </w:rPr>
        <w:t>где:</w:t>
      </w:r>
    </w:p>
    <w:p w:rsidR="00603572" w:rsidRPr="00802D35" w:rsidRDefault="00603572" w:rsidP="00603572">
      <w:pPr>
        <w:spacing w:after="0" w:line="240" w:lineRule="auto"/>
        <w:ind w:firstLine="567"/>
        <w:jc w:val="both"/>
        <w:rPr>
          <w:rFonts w:ascii="Times New Roman" w:eastAsiaTheme="minorEastAsia" w:hAnsi="Times New Roman" w:cs="Times New Roman"/>
          <w:color w:val="000000" w:themeColor="dark1"/>
          <w:sz w:val="28"/>
          <w:szCs w:val="28"/>
        </w:rPr>
      </w:pPr>
      <w:r w:rsidRPr="00802D35">
        <w:rPr>
          <w:rFonts w:ascii="Times New Roman" w:eastAsiaTheme="minorEastAsia" w:hAnsi="Times New Roman" w:cs="Times New Roman"/>
          <w:color w:val="000000" w:themeColor="dark1"/>
          <w:sz w:val="28"/>
          <w:szCs w:val="28"/>
        </w:rPr>
        <w:t>S</w:t>
      </w:r>
      <w:r w:rsidRPr="00802D35">
        <w:rPr>
          <w:rFonts w:ascii="Times New Roman" w:eastAsiaTheme="minorEastAsia" w:hAnsi="Times New Roman" w:cs="Times New Roman"/>
          <w:color w:val="000000" w:themeColor="dark1"/>
          <w:sz w:val="28"/>
          <w:szCs w:val="28"/>
          <w:vertAlign w:val="superscript"/>
        </w:rPr>
        <w:t>2</w:t>
      </w:r>
      <w:r w:rsidRPr="00802D35">
        <w:rPr>
          <w:rFonts w:ascii="Times New Roman" w:eastAsiaTheme="minorEastAsia" w:hAnsi="Times New Roman" w:cs="Times New Roman"/>
          <w:color w:val="000000" w:themeColor="dark1"/>
          <w:sz w:val="28"/>
          <w:szCs w:val="28"/>
        </w:rPr>
        <w:t xml:space="preserve"> – полная вариация;</w:t>
      </w:r>
    </w:p>
    <w:p w:rsidR="00603572" w:rsidRPr="00802D35" w:rsidRDefault="00603572" w:rsidP="00603572">
      <w:pPr>
        <w:spacing w:after="0" w:line="240" w:lineRule="auto"/>
        <w:ind w:firstLine="567"/>
        <w:jc w:val="both"/>
        <w:rPr>
          <w:rFonts w:ascii="Times New Roman" w:eastAsiaTheme="minorEastAsia" w:hAnsi="Times New Roman" w:cs="Times New Roman"/>
          <w:color w:val="000000" w:themeColor="dark1"/>
          <w:sz w:val="28"/>
          <w:szCs w:val="28"/>
        </w:rPr>
      </w:pPr>
      <w:r w:rsidRPr="00802D35">
        <w:rPr>
          <w:rFonts w:ascii="Times New Roman" w:eastAsiaTheme="minorEastAsia" w:hAnsi="Times New Roman" w:cs="Times New Roman"/>
          <w:color w:val="000000" w:themeColor="dark1"/>
          <w:sz w:val="28"/>
          <w:szCs w:val="28"/>
        </w:rPr>
        <w:t>SS</w:t>
      </w:r>
      <w:r w:rsidRPr="00802D35">
        <w:rPr>
          <w:rFonts w:ascii="Times New Roman" w:eastAsiaTheme="minorEastAsia" w:hAnsi="Times New Roman" w:cs="Times New Roman"/>
          <w:color w:val="000000" w:themeColor="dark1"/>
          <w:sz w:val="28"/>
          <w:szCs w:val="28"/>
          <w:vertAlign w:val="subscript"/>
        </w:rPr>
        <w:t>T</w:t>
      </w:r>
      <w:r w:rsidRPr="00802D35">
        <w:rPr>
          <w:rFonts w:ascii="Times New Roman" w:eastAsiaTheme="minorEastAsia" w:hAnsi="Times New Roman" w:cs="Times New Roman"/>
          <w:color w:val="000000" w:themeColor="dark1"/>
          <w:sz w:val="28"/>
          <w:szCs w:val="28"/>
        </w:rPr>
        <w:t xml:space="preserve"> – сумма квадратов отклонений значений переменных в совокупности;</w:t>
      </w:r>
    </w:p>
    <w:p w:rsidR="00603572" w:rsidRPr="00802D35" w:rsidRDefault="00603572" w:rsidP="00603572">
      <w:pPr>
        <w:pStyle w:val="a7"/>
        <w:shd w:val="clear" w:color="auto" w:fill="FFFFFF"/>
        <w:spacing w:before="0" w:beforeAutospacing="0" w:after="0" w:afterAutospacing="0"/>
        <w:ind w:firstLine="567"/>
        <w:rPr>
          <w:color w:val="000000"/>
          <w:sz w:val="28"/>
          <w:szCs w:val="28"/>
        </w:rPr>
      </w:pPr>
      <w:r w:rsidRPr="00802D35">
        <w:rPr>
          <w:rStyle w:val="a5"/>
          <w:color w:val="000000"/>
          <w:sz w:val="28"/>
          <w:szCs w:val="28"/>
        </w:rPr>
        <w:t>n</w:t>
      </w:r>
      <w:r w:rsidRPr="00802D35">
        <w:rPr>
          <w:rStyle w:val="formula"/>
          <w:color w:val="000000"/>
          <w:sz w:val="28"/>
          <w:szCs w:val="28"/>
        </w:rPr>
        <w:t> − 1</w:t>
      </w:r>
      <w:r w:rsidRPr="00802D35">
        <w:rPr>
          <w:color w:val="000000"/>
          <w:sz w:val="28"/>
          <w:szCs w:val="28"/>
        </w:rPr>
        <w:t> – совокупное число степеней свободы.</w:t>
      </w:r>
    </w:p>
    <w:p w:rsidR="00603572" w:rsidRPr="00802D35" w:rsidRDefault="00603572" w:rsidP="00603572">
      <w:pPr>
        <w:spacing w:after="0" w:line="240" w:lineRule="auto"/>
        <w:ind w:firstLine="567"/>
        <w:jc w:val="both"/>
        <w:rPr>
          <w:rFonts w:ascii="Times New Roman" w:eastAsiaTheme="minorEastAsia" w:hAnsi="Times New Roman" w:cs="Times New Roman"/>
          <w:color w:val="000000" w:themeColor="dark1"/>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Средняя вариация эффекта модели или объясненная вариация оценивается следующим образом: </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FF4C7E" w:rsidP="00603572">
      <w:pPr>
        <w:spacing w:after="0" w:line="240" w:lineRule="auto"/>
        <w:ind w:firstLine="567"/>
        <w:jc w:val="right"/>
        <w:rPr>
          <w:rFonts w:ascii="Times New Roman" w:eastAsiaTheme="minorEastAsia" w:hAnsi="Times New Roman" w:cs="Times New Roman"/>
          <w:color w:val="000000" w:themeColor="dark1"/>
          <w:sz w:val="28"/>
          <w:szCs w:val="28"/>
        </w:rPr>
      </w:pPr>
      <m:oMath>
        <m:sSub>
          <m:sSubPr>
            <m:ctrlPr>
              <w:rPr>
                <w:rFonts w:ascii="Cambria Math" w:eastAsiaTheme="minorEastAsia" w:hAnsi="Cambria Math" w:cs="Times New Roman"/>
                <w:i/>
                <w:iCs/>
                <w:color w:val="000000" w:themeColor="dark1"/>
                <w:sz w:val="28"/>
                <w:szCs w:val="28"/>
              </w:rPr>
            </m:ctrlPr>
          </m:sSubPr>
          <m:e>
            <m:r>
              <w:rPr>
                <w:rFonts w:ascii="Cambria Math" w:eastAsiaTheme="minorEastAsia" w:hAnsi="Cambria Math" w:cs="Times New Roman"/>
                <w:color w:val="000000" w:themeColor="dark1"/>
                <w:sz w:val="28"/>
                <w:szCs w:val="28"/>
              </w:rPr>
              <m:t>MS</m:t>
            </m:r>
          </m:e>
          <m:sub>
            <m:r>
              <w:rPr>
                <w:rFonts w:ascii="Cambria Math" w:eastAsiaTheme="minorEastAsia" w:hAnsi="Cambria Math" w:cs="Times New Roman"/>
                <w:color w:val="000000" w:themeColor="dark1"/>
                <w:sz w:val="28"/>
                <w:szCs w:val="28"/>
              </w:rPr>
              <m:t>H</m:t>
            </m:r>
          </m:sub>
        </m:sSub>
        <m:r>
          <w:rPr>
            <w:rFonts w:ascii="Cambria Math" w:eastAsiaTheme="minorEastAsia" w:hAnsi="Cambria Math" w:cs="Times New Roman"/>
            <w:color w:val="000000" w:themeColor="dark1"/>
            <w:sz w:val="28"/>
            <w:szCs w:val="28"/>
          </w:rPr>
          <m:t>= </m:t>
        </m:r>
        <m:f>
          <m:fPr>
            <m:ctrlPr>
              <w:rPr>
                <w:rFonts w:ascii="Cambria Math" w:eastAsiaTheme="minorEastAsia" w:hAnsi="Cambria Math" w:cs="Times New Roman"/>
                <w:i/>
                <w:iCs/>
                <w:color w:val="000000" w:themeColor="dark1"/>
                <w:sz w:val="28"/>
                <w:szCs w:val="28"/>
              </w:rPr>
            </m:ctrlPr>
          </m:fPr>
          <m:num>
            <m:sSup>
              <m:sSupPr>
                <m:ctrlPr>
                  <w:rPr>
                    <w:rFonts w:ascii="Cambria Math" w:eastAsiaTheme="minorEastAsia" w:hAnsi="Cambria Math" w:cs="Times New Roman"/>
                    <w:i/>
                    <w:iCs/>
                    <w:color w:val="000000" w:themeColor="dark1"/>
                    <w:sz w:val="28"/>
                    <w:szCs w:val="28"/>
                  </w:rPr>
                </m:ctrlPr>
              </m:sSupPr>
              <m:e>
                <m:r>
                  <w:rPr>
                    <w:rFonts w:ascii="Cambria Math" w:eastAsiaTheme="minorEastAsia" w:hAnsi="Cambria Math" w:cs="Times New Roman"/>
                    <w:color w:val="000000" w:themeColor="dark1"/>
                    <w:sz w:val="28"/>
                    <w:szCs w:val="28"/>
                  </w:rPr>
                  <m:t>S</m:t>
                </m:r>
              </m:e>
              <m:sup>
                <m:r>
                  <w:rPr>
                    <w:rFonts w:ascii="Cambria Math" w:eastAsiaTheme="minorEastAsia" w:hAnsi="Cambria Math" w:cs="Times New Roman"/>
                    <w:color w:val="000000" w:themeColor="dark1"/>
                    <w:sz w:val="28"/>
                    <w:szCs w:val="28"/>
                  </w:rPr>
                  <m:t>2</m:t>
                </m:r>
              </m:sup>
            </m:sSup>
            <m:r>
              <w:rPr>
                <w:rFonts w:ascii="Cambria Math" w:eastAsiaTheme="minorEastAsia" w:hAnsi="Cambria Math" w:cs="Times New Roman"/>
                <w:color w:val="000000" w:themeColor="dark1"/>
                <w:sz w:val="28"/>
                <w:szCs w:val="28"/>
              </w:rPr>
              <m:t>H</m:t>
            </m:r>
          </m:num>
          <m:den>
            <m:r>
              <w:rPr>
                <w:rFonts w:ascii="Cambria Math" w:eastAsiaTheme="minorEastAsia" w:hAnsi="Cambria Math" w:cs="Times New Roman"/>
                <w:color w:val="000000" w:themeColor="dark1"/>
                <w:sz w:val="28"/>
                <w:szCs w:val="28"/>
              </w:rPr>
              <m:t>dƒH</m:t>
            </m:r>
          </m:den>
        </m:f>
        <m:r>
          <w:rPr>
            <w:rFonts w:ascii="Cambria Math" w:eastAsiaTheme="minorEastAsia" w:hAnsi="Cambria Math" w:cs="Times New Roman"/>
            <w:color w:val="000000" w:themeColor="dark1"/>
            <w:sz w:val="28"/>
            <w:szCs w:val="28"/>
          </w:rPr>
          <m:t>=</m:t>
        </m:r>
        <m:f>
          <m:fPr>
            <m:ctrlPr>
              <w:rPr>
                <w:rFonts w:ascii="Cambria Math" w:eastAsiaTheme="minorEastAsia" w:hAnsi="Cambria Math" w:cs="Times New Roman"/>
                <w:i/>
                <w:iCs/>
                <w:color w:val="000000" w:themeColor="dark1"/>
                <w:sz w:val="28"/>
                <w:szCs w:val="28"/>
              </w:rPr>
            </m:ctrlPr>
          </m:fPr>
          <m:num>
            <m:sSub>
              <m:sSubPr>
                <m:ctrlPr>
                  <w:rPr>
                    <w:rFonts w:ascii="Cambria Math" w:eastAsiaTheme="minorEastAsia" w:hAnsi="Cambria Math" w:cs="Times New Roman"/>
                    <w:i/>
                    <w:iCs/>
                    <w:color w:val="000000" w:themeColor="dark1"/>
                    <w:sz w:val="28"/>
                    <w:szCs w:val="28"/>
                  </w:rPr>
                </m:ctrlPr>
              </m:sSubPr>
              <m:e>
                <m:r>
                  <w:rPr>
                    <w:rFonts w:ascii="Cambria Math" w:eastAsiaTheme="minorEastAsia" w:hAnsi="Cambria Math" w:cs="Times New Roman"/>
                    <w:color w:val="000000" w:themeColor="dark1"/>
                    <w:sz w:val="28"/>
                    <w:szCs w:val="28"/>
                  </w:rPr>
                  <m:t>SS</m:t>
                </m:r>
              </m:e>
              <m:sub>
                <m:r>
                  <w:rPr>
                    <w:rFonts w:ascii="Cambria Math" w:eastAsiaTheme="minorEastAsia" w:hAnsi="Cambria Math" w:cs="Times New Roman"/>
                    <w:color w:val="000000" w:themeColor="dark1"/>
                    <w:sz w:val="28"/>
                    <w:szCs w:val="28"/>
                  </w:rPr>
                  <m:t>H</m:t>
                </m:r>
              </m:sub>
            </m:sSub>
          </m:num>
          <m:den>
            <m:r>
              <w:rPr>
                <w:rFonts w:ascii="Cambria Math" w:eastAsiaTheme="minorEastAsia" w:hAnsi="Cambria Math" w:cs="Times New Roman"/>
                <w:color w:val="000000" w:themeColor="dark1"/>
                <w:sz w:val="28"/>
                <w:szCs w:val="28"/>
              </w:rPr>
              <m:t>T-1</m:t>
            </m:r>
          </m:den>
        </m:f>
      </m:oMath>
      <w:r w:rsidR="00603572" w:rsidRPr="00802D35">
        <w:rPr>
          <w:rFonts w:ascii="Times New Roman" w:eastAsiaTheme="minorEastAsia" w:hAnsi="Times New Roman" w:cs="Times New Roman"/>
          <w:color w:val="000000" w:themeColor="dark1"/>
          <w:sz w:val="28"/>
          <w:szCs w:val="28"/>
        </w:rPr>
        <w:t xml:space="preserve">                                               (13),</w:t>
      </w:r>
    </w:p>
    <w:p w:rsidR="00603572" w:rsidRPr="00802D35" w:rsidRDefault="00603572" w:rsidP="00603572">
      <w:pPr>
        <w:spacing w:after="0" w:line="240" w:lineRule="auto"/>
        <w:ind w:firstLine="567"/>
        <w:jc w:val="both"/>
        <w:rPr>
          <w:rFonts w:ascii="Times New Roman" w:eastAsiaTheme="minorEastAsia" w:hAnsi="Times New Roman" w:cs="Times New Roman"/>
          <w:color w:val="000000" w:themeColor="dark1"/>
          <w:sz w:val="28"/>
          <w:szCs w:val="28"/>
        </w:rPr>
      </w:pPr>
      <w:r w:rsidRPr="00802D35">
        <w:rPr>
          <w:rFonts w:ascii="Times New Roman" w:eastAsiaTheme="minorEastAsia" w:hAnsi="Times New Roman" w:cs="Times New Roman"/>
          <w:color w:val="000000" w:themeColor="dark1"/>
          <w:sz w:val="28"/>
          <w:szCs w:val="28"/>
        </w:rPr>
        <w:t>где:</w:t>
      </w:r>
    </w:p>
    <w:p w:rsidR="00603572" w:rsidRPr="00802D35" w:rsidRDefault="00603572" w:rsidP="00603572">
      <w:pPr>
        <w:spacing w:after="0" w:line="240" w:lineRule="auto"/>
        <w:ind w:firstLine="567"/>
        <w:jc w:val="both"/>
        <w:rPr>
          <w:rFonts w:ascii="Times New Roman" w:eastAsiaTheme="minorEastAsia" w:hAnsi="Times New Roman" w:cs="Times New Roman"/>
          <w:color w:val="000000" w:themeColor="dark1"/>
          <w:sz w:val="28"/>
          <w:szCs w:val="28"/>
        </w:rPr>
      </w:pPr>
      <w:r w:rsidRPr="00802D35">
        <w:rPr>
          <w:rFonts w:ascii="Times New Roman" w:eastAsiaTheme="minorEastAsia" w:hAnsi="Times New Roman" w:cs="Times New Roman"/>
          <w:color w:val="000000" w:themeColor="dark1"/>
          <w:sz w:val="28"/>
          <w:szCs w:val="28"/>
        </w:rPr>
        <w:t>S</w:t>
      </w:r>
      <w:r w:rsidRPr="00802D35">
        <w:rPr>
          <w:rFonts w:ascii="Times New Roman" w:eastAsiaTheme="minorEastAsia" w:hAnsi="Times New Roman" w:cs="Times New Roman"/>
          <w:color w:val="000000" w:themeColor="dark1"/>
          <w:sz w:val="28"/>
          <w:szCs w:val="28"/>
          <w:vertAlign w:val="superscript"/>
        </w:rPr>
        <w:t>2</w:t>
      </w:r>
      <w:r w:rsidRPr="00802D35">
        <w:rPr>
          <w:rFonts w:ascii="Times New Roman" w:eastAsiaTheme="minorEastAsia" w:hAnsi="Times New Roman" w:cs="Times New Roman"/>
          <w:color w:val="000000" w:themeColor="dark1"/>
          <w:sz w:val="28"/>
          <w:szCs w:val="28"/>
        </w:rPr>
        <w:t>H – внутригрупповая вариация эффекта модели;</w:t>
      </w:r>
    </w:p>
    <w:p w:rsidR="00603572" w:rsidRPr="00802D35" w:rsidRDefault="00603572" w:rsidP="00603572">
      <w:pPr>
        <w:pStyle w:val="a7"/>
        <w:shd w:val="clear" w:color="auto" w:fill="FFFFFF"/>
        <w:spacing w:before="0" w:beforeAutospacing="0" w:after="0" w:afterAutospacing="0"/>
        <w:ind w:firstLine="567"/>
        <w:rPr>
          <w:color w:val="000000"/>
          <w:sz w:val="28"/>
          <w:szCs w:val="28"/>
        </w:rPr>
      </w:pPr>
      <w:r w:rsidRPr="00802D35">
        <w:rPr>
          <w:rStyle w:val="a5"/>
          <w:color w:val="000000"/>
          <w:sz w:val="28"/>
          <w:szCs w:val="28"/>
        </w:rPr>
        <w:t>Т</w:t>
      </w:r>
      <w:r w:rsidRPr="00802D35">
        <w:rPr>
          <w:rStyle w:val="formula"/>
          <w:color w:val="000000"/>
          <w:sz w:val="28"/>
          <w:szCs w:val="28"/>
        </w:rPr>
        <w:t> − 1</w:t>
      </w:r>
      <w:r w:rsidRPr="00802D35">
        <w:rPr>
          <w:color w:val="000000"/>
          <w:sz w:val="28"/>
          <w:szCs w:val="28"/>
        </w:rPr>
        <w:t> - число степеней свободы эффекта модели;</w:t>
      </w:r>
    </w:p>
    <w:p w:rsidR="00603572" w:rsidRPr="00802D35" w:rsidRDefault="00603572" w:rsidP="00603572">
      <w:pPr>
        <w:spacing w:after="0" w:line="240" w:lineRule="auto"/>
        <w:ind w:firstLine="567"/>
        <w:jc w:val="both"/>
        <w:rPr>
          <w:rFonts w:ascii="Times New Roman" w:eastAsiaTheme="minorEastAsia" w:hAnsi="Times New Roman" w:cs="Times New Roman"/>
          <w:color w:val="000000" w:themeColor="dark1"/>
          <w:sz w:val="28"/>
          <w:szCs w:val="28"/>
        </w:rPr>
      </w:pPr>
      <w:r w:rsidRPr="00802D35">
        <w:rPr>
          <w:rFonts w:ascii="Times New Roman" w:eastAsiaTheme="minorEastAsia" w:hAnsi="Times New Roman" w:cs="Times New Roman"/>
          <w:color w:val="000000" w:themeColor="dark1"/>
          <w:sz w:val="28"/>
          <w:szCs w:val="28"/>
        </w:rPr>
        <w:t>SS</w:t>
      </w:r>
      <w:r w:rsidRPr="00802D35">
        <w:rPr>
          <w:rFonts w:ascii="Times New Roman" w:eastAsiaTheme="minorEastAsia" w:hAnsi="Times New Roman" w:cs="Times New Roman"/>
          <w:color w:val="000000" w:themeColor="dark1"/>
          <w:sz w:val="28"/>
          <w:szCs w:val="28"/>
          <w:vertAlign w:val="subscript"/>
        </w:rPr>
        <w:t>H</w:t>
      </w:r>
      <w:r w:rsidRPr="00802D35">
        <w:rPr>
          <w:rFonts w:ascii="Times New Roman" w:eastAsiaTheme="minorEastAsia" w:hAnsi="Times New Roman" w:cs="Times New Roman"/>
          <w:color w:val="000000" w:themeColor="dark1"/>
          <w:sz w:val="28"/>
          <w:szCs w:val="28"/>
        </w:rPr>
        <w:t xml:space="preserve"> – сумма квадратов отклонений значений переменных объясненной вариации (эффекта).</w:t>
      </w:r>
    </w:p>
    <w:p w:rsidR="00603572" w:rsidRPr="00802D35" w:rsidRDefault="00603572" w:rsidP="00603572">
      <w:pPr>
        <w:spacing w:after="0" w:line="240" w:lineRule="auto"/>
        <w:ind w:firstLine="567"/>
        <w:jc w:val="both"/>
        <w:rPr>
          <w:rFonts w:ascii="Times New Roman" w:hAnsi="Times New Roman" w:cs="Times New Roman"/>
          <w:sz w:val="28"/>
          <w:szCs w:val="28"/>
        </w:rPr>
      </w:pPr>
    </w:p>
    <w:p w:rsidR="00603572" w:rsidRPr="00802D35" w:rsidRDefault="00603572" w:rsidP="00603572">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Средняя вариация ошибки модели или необъясненная вариация оценивается следующим образом: </w:t>
      </w:r>
    </w:p>
    <w:p w:rsidR="00603572" w:rsidRPr="00802D35" w:rsidRDefault="00603572" w:rsidP="00603572">
      <w:pPr>
        <w:spacing w:after="0" w:line="240" w:lineRule="auto"/>
        <w:ind w:firstLine="567"/>
        <w:jc w:val="both"/>
        <w:rPr>
          <w:rFonts w:ascii="Times New Roman" w:eastAsiaTheme="minorEastAsia" w:hAnsi="Times New Roman" w:cs="Times New Roman"/>
          <w:i/>
          <w:color w:val="000000" w:themeColor="dark1"/>
          <w:sz w:val="28"/>
          <w:szCs w:val="28"/>
        </w:rPr>
      </w:pPr>
    </w:p>
    <w:p w:rsidR="00603572" w:rsidRPr="00802D35" w:rsidRDefault="00FF4C7E" w:rsidP="00603572">
      <w:pPr>
        <w:spacing w:after="0" w:line="240" w:lineRule="auto"/>
        <w:ind w:firstLine="567"/>
        <w:jc w:val="right"/>
        <w:rPr>
          <w:rFonts w:ascii="Times New Roman" w:hAnsi="Times New Roman" w:cs="Times New Roman"/>
          <w:sz w:val="28"/>
          <w:szCs w:val="28"/>
        </w:rPr>
      </w:pPr>
      <m:oMath>
        <m:sSub>
          <m:sSubPr>
            <m:ctrlPr>
              <w:rPr>
                <w:rFonts w:ascii="Cambria Math" w:eastAsiaTheme="minorEastAsia" w:hAnsi="Cambria Math" w:cs="Times New Roman"/>
                <w:i/>
                <w:iCs/>
                <w:color w:val="000000" w:themeColor="dark1"/>
                <w:sz w:val="28"/>
                <w:szCs w:val="28"/>
              </w:rPr>
            </m:ctrlPr>
          </m:sSubPr>
          <m:e>
            <m:r>
              <w:rPr>
                <w:rFonts w:ascii="Cambria Math" w:eastAsiaTheme="minorEastAsia" w:hAnsi="Cambria Math" w:cs="Times New Roman"/>
                <w:color w:val="000000" w:themeColor="dark1"/>
                <w:sz w:val="28"/>
                <w:szCs w:val="28"/>
              </w:rPr>
              <m:t>MS</m:t>
            </m:r>
          </m:e>
          <m:sub>
            <m:r>
              <w:rPr>
                <w:rFonts w:ascii="Cambria Math" w:eastAsiaTheme="minorEastAsia" w:hAnsi="Cambria Math" w:cs="Times New Roman"/>
                <w:color w:val="000000" w:themeColor="dark1"/>
                <w:sz w:val="28"/>
                <w:szCs w:val="28"/>
              </w:rPr>
              <m:t>E</m:t>
            </m:r>
          </m:sub>
        </m:sSub>
        <m:r>
          <w:rPr>
            <w:rFonts w:ascii="Cambria Math" w:eastAsiaTheme="minorEastAsia" w:hAnsi="Cambria Math" w:cs="Times New Roman"/>
            <w:color w:val="000000" w:themeColor="dark1"/>
            <w:sz w:val="28"/>
            <w:szCs w:val="28"/>
          </w:rPr>
          <m:t>= </m:t>
        </m:r>
        <m:f>
          <m:fPr>
            <m:ctrlPr>
              <w:rPr>
                <w:rFonts w:ascii="Cambria Math" w:eastAsiaTheme="minorEastAsia" w:hAnsi="Cambria Math" w:cs="Times New Roman"/>
                <w:i/>
                <w:iCs/>
                <w:color w:val="000000" w:themeColor="dark1"/>
                <w:sz w:val="28"/>
                <w:szCs w:val="28"/>
              </w:rPr>
            </m:ctrlPr>
          </m:fPr>
          <m:num>
            <m:sSup>
              <m:sSupPr>
                <m:ctrlPr>
                  <w:rPr>
                    <w:rFonts w:ascii="Cambria Math" w:eastAsiaTheme="minorEastAsia" w:hAnsi="Cambria Math" w:cs="Times New Roman"/>
                    <w:i/>
                    <w:iCs/>
                    <w:color w:val="000000" w:themeColor="dark1"/>
                    <w:sz w:val="28"/>
                    <w:szCs w:val="28"/>
                  </w:rPr>
                </m:ctrlPr>
              </m:sSupPr>
              <m:e>
                <m:r>
                  <w:rPr>
                    <w:rFonts w:ascii="Cambria Math" w:eastAsiaTheme="minorEastAsia" w:hAnsi="Cambria Math" w:cs="Times New Roman"/>
                    <w:color w:val="000000" w:themeColor="dark1"/>
                    <w:sz w:val="28"/>
                    <w:szCs w:val="28"/>
                  </w:rPr>
                  <m:t>S</m:t>
                </m:r>
              </m:e>
              <m:sup>
                <m:r>
                  <w:rPr>
                    <w:rFonts w:ascii="Cambria Math" w:eastAsiaTheme="minorEastAsia" w:hAnsi="Cambria Math" w:cs="Times New Roman"/>
                    <w:color w:val="000000" w:themeColor="dark1"/>
                    <w:sz w:val="28"/>
                    <w:szCs w:val="28"/>
                  </w:rPr>
                  <m:t>2</m:t>
                </m:r>
              </m:sup>
            </m:sSup>
            <m:r>
              <w:rPr>
                <w:rFonts w:ascii="Cambria Math" w:eastAsiaTheme="minorEastAsia" w:hAnsi="Cambria Math" w:cs="Times New Roman"/>
                <w:color w:val="000000" w:themeColor="dark1"/>
                <w:sz w:val="28"/>
                <w:szCs w:val="28"/>
              </w:rPr>
              <m:t>E</m:t>
            </m:r>
          </m:num>
          <m:den>
            <m:r>
              <w:rPr>
                <w:rFonts w:ascii="Cambria Math" w:eastAsiaTheme="minorEastAsia" w:hAnsi="Cambria Math" w:cs="Times New Roman"/>
                <w:color w:val="000000" w:themeColor="dark1"/>
                <w:sz w:val="28"/>
                <w:szCs w:val="28"/>
              </w:rPr>
              <m:t>dƒE</m:t>
            </m:r>
          </m:den>
        </m:f>
        <m:r>
          <w:rPr>
            <w:rFonts w:ascii="Cambria Math" w:eastAsiaTheme="minorEastAsia" w:hAnsi="Cambria Math" w:cs="Times New Roman"/>
            <w:color w:val="000000" w:themeColor="dark1"/>
            <w:sz w:val="28"/>
            <w:szCs w:val="28"/>
          </w:rPr>
          <m:t>=</m:t>
        </m:r>
        <m:f>
          <m:fPr>
            <m:ctrlPr>
              <w:rPr>
                <w:rFonts w:ascii="Cambria Math" w:eastAsiaTheme="minorEastAsia" w:hAnsi="Cambria Math" w:cs="Times New Roman"/>
                <w:i/>
                <w:iCs/>
                <w:color w:val="000000" w:themeColor="dark1"/>
                <w:sz w:val="28"/>
                <w:szCs w:val="28"/>
              </w:rPr>
            </m:ctrlPr>
          </m:fPr>
          <m:num>
            <m:sSub>
              <m:sSubPr>
                <m:ctrlPr>
                  <w:rPr>
                    <w:rFonts w:ascii="Cambria Math" w:eastAsiaTheme="minorEastAsia" w:hAnsi="Cambria Math" w:cs="Times New Roman"/>
                    <w:i/>
                    <w:iCs/>
                    <w:color w:val="000000" w:themeColor="dark1"/>
                    <w:sz w:val="28"/>
                    <w:szCs w:val="28"/>
                  </w:rPr>
                </m:ctrlPr>
              </m:sSubPr>
              <m:e>
                <m:r>
                  <w:rPr>
                    <w:rFonts w:ascii="Cambria Math" w:eastAsiaTheme="minorEastAsia" w:hAnsi="Cambria Math" w:cs="Times New Roman"/>
                    <w:color w:val="000000" w:themeColor="dark1"/>
                    <w:sz w:val="28"/>
                    <w:szCs w:val="28"/>
                  </w:rPr>
                  <m:t>SS</m:t>
                </m:r>
              </m:e>
              <m:sub>
                <m:r>
                  <w:rPr>
                    <w:rFonts w:ascii="Cambria Math" w:eastAsiaTheme="minorEastAsia" w:hAnsi="Cambria Math" w:cs="Times New Roman"/>
                    <w:color w:val="000000" w:themeColor="dark1"/>
                    <w:sz w:val="28"/>
                    <w:szCs w:val="28"/>
                  </w:rPr>
                  <m:t>E</m:t>
                </m:r>
              </m:sub>
            </m:sSub>
          </m:num>
          <m:den>
            <m:r>
              <w:rPr>
                <w:rFonts w:ascii="Cambria Math" w:eastAsiaTheme="minorEastAsia" w:hAnsi="Cambria Math" w:cs="Times New Roman"/>
                <w:color w:val="000000" w:themeColor="dark1"/>
                <w:sz w:val="28"/>
                <w:szCs w:val="28"/>
              </w:rPr>
              <m:t>n-T</m:t>
            </m:r>
          </m:den>
        </m:f>
      </m:oMath>
      <w:r w:rsidR="00603572" w:rsidRPr="00802D35">
        <w:rPr>
          <w:rFonts w:ascii="Times New Roman" w:eastAsiaTheme="minorEastAsia" w:hAnsi="Times New Roman" w:cs="Times New Roman"/>
          <w:color w:val="000000" w:themeColor="dark1"/>
          <w:sz w:val="28"/>
          <w:szCs w:val="28"/>
        </w:rPr>
        <w:t xml:space="preserve">                                              (14),</w:t>
      </w:r>
    </w:p>
    <w:p w:rsidR="00603572" w:rsidRPr="00802D35" w:rsidRDefault="00603572" w:rsidP="00603572">
      <w:pPr>
        <w:pStyle w:val="a7"/>
        <w:shd w:val="clear" w:color="auto" w:fill="FFFFFF"/>
        <w:spacing w:before="0" w:beforeAutospacing="0" w:after="0" w:afterAutospacing="0"/>
        <w:ind w:firstLine="567"/>
        <w:rPr>
          <w:color w:val="000000"/>
          <w:sz w:val="28"/>
          <w:szCs w:val="28"/>
        </w:rPr>
      </w:pPr>
      <w:r w:rsidRPr="00802D35">
        <w:rPr>
          <w:color w:val="000000"/>
          <w:sz w:val="28"/>
          <w:szCs w:val="28"/>
        </w:rPr>
        <w:t>где:</w:t>
      </w:r>
    </w:p>
    <w:p w:rsidR="00603572" w:rsidRPr="00802D35" w:rsidRDefault="00603572" w:rsidP="00603572">
      <w:pPr>
        <w:spacing w:after="0" w:line="240" w:lineRule="auto"/>
        <w:ind w:firstLine="567"/>
        <w:jc w:val="both"/>
        <w:rPr>
          <w:rFonts w:ascii="Times New Roman" w:eastAsiaTheme="minorEastAsia" w:hAnsi="Times New Roman" w:cs="Times New Roman"/>
          <w:color w:val="000000" w:themeColor="dark1"/>
          <w:sz w:val="28"/>
          <w:szCs w:val="28"/>
        </w:rPr>
      </w:pPr>
      <w:r w:rsidRPr="00802D35">
        <w:rPr>
          <w:rFonts w:ascii="Times New Roman" w:eastAsiaTheme="minorEastAsia" w:hAnsi="Times New Roman" w:cs="Times New Roman"/>
          <w:color w:val="000000" w:themeColor="dark1"/>
          <w:sz w:val="28"/>
          <w:szCs w:val="28"/>
        </w:rPr>
        <w:t>S</w:t>
      </w:r>
      <w:r w:rsidRPr="00802D35">
        <w:rPr>
          <w:rFonts w:ascii="Times New Roman" w:eastAsiaTheme="minorEastAsia" w:hAnsi="Times New Roman" w:cs="Times New Roman"/>
          <w:color w:val="000000" w:themeColor="dark1"/>
          <w:sz w:val="28"/>
          <w:szCs w:val="28"/>
          <w:vertAlign w:val="superscript"/>
        </w:rPr>
        <w:t>2</w:t>
      </w:r>
      <w:r w:rsidRPr="00802D35">
        <w:rPr>
          <w:rFonts w:ascii="Times New Roman" w:eastAsiaTheme="minorEastAsia" w:hAnsi="Times New Roman" w:cs="Times New Roman"/>
          <w:color w:val="000000" w:themeColor="dark1"/>
          <w:sz w:val="28"/>
          <w:szCs w:val="28"/>
        </w:rPr>
        <w:t>E – внутригрупповая вариация ошибки модели;</w:t>
      </w:r>
    </w:p>
    <w:p w:rsidR="00603572" w:rsidRPr="00802D35" w:rsidRDefault="00603572" w:rsidP="00603572">
      <w:pPr>
        <w:pStyle w:val="a7"/>
        <w:shd w:val="clear" w:color="auto" w:fill="FFFFFF"/>
        <w:spacing w:before="0" w:beforeAutospacing="0" w:after="0" w:afterAutospacing="0"/>
        <w:ind w:firstLine="567"/>
        <w:rPr>
          <w:color w:val="000000"/>
          <w:sz w:val="28"/>
          <w:szCs w:val="28"/>
        </w:rPr>
      </w:pPr>
      <w:r w:rsidRPr="00802D35">
        <w:rPr>
          <w:rStyle w:val="a5"/>
          <w:color w:val="000000"/>
          <w:sz w:val="28"/>
          <w:szCs w:val="28"/>
        </w:rPr>
        <w:t>n</w:t>
      </w:r>
      <w:r w:rsidRPr="00802D35">
        <w:rPr>
          <w:rStyle w:val="formula"/>
          <w:color w:val="000000"/>
          <w:sz w:val="28"/>
          <w:szCs w:val="28"/>
        </w:rPr>
        <w:t> − </w:t>
      </w:r>
      <w:r w:rsidRPr="00802D35">
        <w:rPr>
          <w:rStyle w:val="a5"/>
          <w:color w:val="000000"/>
          <w:sz w:val="28"/>
          <w:szCs w:val="28"/>
        </w:rPr>
        <w:t>Т</w:t>
      </w:r>
      <w:r w:rsidRPr="00802D35">
        <w:rPr>
          <w:color w:val="000000"/>
          <w:sz w:val="28"/>
          <w:szCs w:val="28"/>
        </w:rPr>
        <w:t> - число степеней свободы ошибки модели;</w:t>
      </w:r>
    </w:p>
    <w:p w:rsidR="00603572" w:rsidRPr="00802D35" w:rsidRDefault="00603572" w:rsidP="00603572">
      <w:pPr>
        <w:spacing w:after="0" w:line="240" w:lineRule="auto"/>
        <w:ind w:firstLine="567"/>
        <w:jc w:val="both"/>
        <w:rPr>
          <w:rFonts w:ascii="Times New Roman" w:eastAsiaTheme="minorEastAsia" w:hAnsi="Times New Roman" w:cs="Times New Roman"/>
          <w:color w:val="000000" w:themeColor="dark1"/>
          <w:sz w:val="28"/>
          <w:szCs w:val="28"/>
        </w:rPr>
      </w:pPr>
      <w:r w:rsidRPr="00802D35">
        <w:rPr>
          <w:rFonts w:ascii="Times New Roman" w:eastAsiaTheme="minorEastAsia" w:hAnsi="Times New Roman" w:cs="Times New Roman"/>
          <w:color w:val="000000" w:themeColor="dark1"/>
          <w:sz w:val="28"/>
          <w:szCs w:val="28"/>
        </w:rPr>
        <w:t>SS</w:t>
      </w:r>
      <w:r w:rsidRPr="00802D35">
        <w:rPr>
          <w:rFonts w:ascii="Times New Roman" w:eastAsiaTheme="minorEastAsia" w:hAnsi="Times New Roman" w:cs="Times New Roman"/>
          <w:color w:val="000000" w:themeColor="dark1"/>
          <w:sz w:val="28"/>
          <w:szCs w:val="28"/>
          <w:vertAlign w:val="subscript"/>
        </w:rPr>
        <w:t>E</w:t>
      </w:r>
      <w:r w:rsidRPr="00802D35">
        <w:rPr>
          <w:rFonts w:ascii="Times New Roman" w:eastAsiaTheme="minorEastAsia" w:hAnsi="Times New Roman" w:cs="Times New Roman"/>
          <w:color w:val="000000" w:themeColor="dark1"/>
          <w:sz w:val="28"/>
          <w:szCs w:val="28"/>
        </w:rPr>
        <w:t xml:space="preserve"> – сумма квадратов отклонений значений переменных необъясненной вариации (ошибки).</w:t>
      </w:r>
    </w:p>
    <w:p w:rsidR="00603572" w:rsidRPr="00802D35" w:rsidRDefault="00603572" w:rsidP="00603572">
      <w:pPr>
        <w:pStyle w:val="a7"/>
        <w:shd w:val="clear" w:color="auto" w:fill="FFFFFF"/>
        <w:spacing w:before="0" w:beforeAutospacing="0" w:after="0" w:afterAutospacing="0"/>
        <w:ind w:firstLine="567"/>
        <w:rPr>
          <w:color w:val="000000"/>
          <w:sz w:val="28"/>
          <w:szCs w:val="28"/>
        </w:rPr>
      </w:pPr>
    </w:p>
    <w:p w:rsidR="00603572" w:rsidRPr="00802D35" w:rsidRDefault="00603572" w:rsidP="00603572">
      <w:pPr>
        <w:pStyle w:val="a7"/>
        <w:shd w:val="clear" w:color="auto" w:fill="FFFFFF"/>
        <w:spacing w:before="0" w:beforeAutospacing="0" w:after="0" w:afterAutospacing="0"/>
        <w:ind w:firstLine="567"/>
        <w:jc w:val="both"/>
        <w:rPr>
          <w:color w:val="000000"/>
          <w:sz w:val="28"/>
          <w:szCs w:val="28"/>
        </w:rPr>
      </w:pPr>
      <w:r w:rsidRPr="00802D35">
        <w:rPr>
          <w:color w:val="000000"/>
          <w:sz w:val="28"/>
          <w:szCs w:val="28"/>
        </w:rPr>
        <w:t>В свою очередь, сумма квадратов отклонений SS, аналогично как и средняя квадратов отклонений MS складываются из соответствующих показателей эффекта модели и ее ошибки, то есть объясненной вариации и необъясненной вариации (дисперсии):</w:t>
      </w:r>
    </w:p>
    <w:p w:rsidR="00603572" w:rsidRPr="00802D35" w:rsidRDefault="00603572" w:rsidP="00603572">
      <w:pPr>
        <w:pStyle w:val="a7"/>
        <w:shd w:val="clear" w:color="auto" w:fill="FFFFFF"/>
        <w:spacing w:before="0" w:beforeAutospacing="0" w:after="0" w:afterAutospacing="0"/>
        <w:ind w:firstLine="567"/>
        <w:jc w:val="both"/>
        <w:rPr>
          <w:color w:val="000000"/>
          <w:sz w:val="28"/>
          <w:szCs w:val="28"/>
        </w:rPr>
      </w:pPr>
    </w:p>
    <w:p w:rsidR="00603572" w:rsidRPr="00802D35" w:rsidRDefault="00603572" w:rsidP="00603572">
      <w:pPr>
        <w:pStyle w:val="a7"/>
        <w:shd w:val="clear" w:color="auto" w:fill="FFFFFF"/>
        <w:spacing w:before="0" w:beforeAutospacing="0" w:after="0" w:afterAutospacing="0"/>
        <w:jc w:val="right"/>
        <w:rPr>
          <w:rFonts w:ascii="Cambria Math" w:hAnsi="Cambria Math"/>
          <w:color w:val="000000"/>
          <w:sz w:val="28"/>
          <w:szCs w:val="28"/>
          <w:oMath/>
        </w:rPr>
      </w:pPr>
      <m:oMath>
        <m:r>
          <w:rPr>
            <w:rFonts w:ascii="Cambria Math" w:hAnsi="Cambria Math"/>
            <w:color w:val="000000"/>
            <w:sz w:val="28"/>
            <w:szCs w:val="28"/>
          </w:rPr>
          <m:t> </m:t>
        </m:r>
        <m:sSub>
          <m:sSubPr>
            <m:ctrlPr>
              <w:rPr>
                <w:rStyle w:val="a5"/>
                <w:rFonts w:ascii="Cambria Math" w:hAnsi="Cambria Math"/>
                <w:i w:val="0"/>
                <w:iCs w:val="0"/>
                <w:color w:val="000000"/>
                <w:sz w:val="28"/>
                <w:szCs w:val="28"/>
                <w:bdr w:val="none" w:sz="0" w:space="0" w:color="auto" w:frame="1"/>
              </w:rPr>
            </m:ctrlPr>
          </m:sSubPr>
          <m:e>
            <m:r>
              <w:rPr>
                <w:rStyle w:val="a5"/>
                <w:rFonts w:ascii="Cambria Math" w:hAnsi="Cambria Math"/>
                <w:color w:val="000000"/>
                <w:sz w:val="28"/>
                <w:szCs w:val="28"/>
                <w:bdr w:val="none" w:sz="0" w:space="0" w:color="auto" w:frame="1"/>
              </w:rPr>
              <m:t>SS</m:t>
            </m:r>
          </m:e>
          <m:sub>
            <m:r>
              <w:rPr>
                <w:rStyle w:val="a5"/>
                <w:rFonts w:ascii="Cambria Math" w:hAnsi="Cambria Math"/>
                <w:color w:val="000000"/>
                <w:sz w:val="28"/>
                <w:szCs w:val="28"/>
                <w:bdr w:val="none" w:sz="0" w:space="0" w:color="auto" w:frame="1"/>
              </w:rPr>
              <m:t>T</m:t>
            </m:r>
          </m:sub>
        </m:sSub>
        <m:r>
          <w:rPr>
            <w:rFonts w:ascii="Cambria Math" w:hAnsi="Cambria Math"/>
            <w:color w:val="000000"/>
            <w:sz w:val="28"/>
            <w:szCs w:val="28"/>
          </w:rPr>
          <m:t> </m:t>
        </m:r>
        <m:r>
          <w:rPr>
            <w:rStyle w:val="a5"/>
            <w:rFonts w:ascii="Cambria Math" w:hAnsi="Cambria Math"/>
            <w:color w:val="000000"/>
            <w:sz w:val="28"/>
            <w:szCs w:val="28"/>
            <w:bdr w:val="none" w:sz="0" w:space="0" w:color="auto" w:frame="1"/>
          </w:rPr>
          <m:t>=</m:t>
        </m:r>
        <m:r>
          <w:rPr>
            <w:rFonts w:ascii="Cambria Math" w:hAnsi="Cambria Math"/>
            <w:color w:val="000000"/>
            <w:sz w:val="28"/>
            <w:szCs w:val="28"/>
          </w:rPr>
          <m:t> </m:t>
        </m:r>
        <m:sSub>
          <m:sSubPr>
            <m:ctrlPr>
              <w:rPr>
                <w:rFonts w:ascii="Cambria Math" w:hAnsi="Cambria Math"/>
                <w:i/>
                <w:color w:val="000000"/>
                <w:sz w:val="28"/>
                <w:szCs w:val="28"/>
              </w:rPr>
            </m:ctrlPr>
          </m:sSubPr>
          <m:e>
            <m:r>
              <w:rPr>
                <w:rFonts w:ascii="Cambria Math" w:hAnsi="Cambria Math"/>
                <w:color w:val="000000"/>
                <w:sz w:val="28"/>
                <w:szCs w:val="28"/>
              </w:rPr>
              <m:t>SS</m:t>
            </m:r>
          </m:e>
          <m:sub>
            <m:r>
              <w:rPr>
                <w:rFonts w:ascii="Cambria Math" w:hAnsi="Cambria Math"/>
                <w:color w:val="000000"/>
                <w:sz w:val="28"/>
                <w:szCs w:val="28"/>
              </w:rPr>
              <m:t>H</m:t>
            </m:r>
          </m:sub>
        </m:sSub>
        <m:r>
          <w:rPr>
            <w:rFonts w:ascii="Cambria Math" w:hAnsi="Cambria Math"/>
            <w:color w:val="000000"/>
            <w:sz w:val="28"/>
            <w:szCs w:val="28"/>
          </w:rPr>
          <m:t>+ </m:t>
        </m:r>
        <m:sSub>
          <m:sSubPr>
            <m:ctrlPr>
              <w:rPr>
                <w:rStyle w:val="a5"/>
                <w:rFonts w:ascii="Cambria Math" w:hAnsi="Cambria Math"/>
                <w:i w:val="0"/>
                <w:iCs w:val="0"/>
                <w:color w:val="000000"/>
                <w:sz w:val="28"/>
                <w:szCs w:val="28"/>
                <w:bdr w:val="none" w:sz="0" w:space="0" w:color="auto" w:frame="1"/>
              </w:rPr>
            </m:ctrlPr>
          </m:sSubPr>
          <m:e>
            <m:r>
              <w:rPr>
                <w:rStyle w:val="a5"/>
                <w:rFonts w:ascii="Cambria Math" w:hAnsi="Cambria Math"/>
                <w:color w:val="000000"/>
                <w:sz w:val="28"/>
                <w:szCs w:val="28"/>
                <w:bdr w:val="none" w:sz="0" w:space="0" w:color="auto" w:frame="1"/>
              </w:rPr>
              <m:t>SS</m:t>
            </m:r>
          </m:e>
          <m:sub>
            <m:r>
              <w:rPr>
                <w:rStyle w:val="a5"/>
                <w:rFonts w:ascii="Cambria Math" w:hAnsi="Cambria Math"/>
                <w:color w:val="000000"/>
                <w:sz w:val="28"/>
                <w:szCs w:val="28"/>
                <w:bdr w:val="none" w:sz="0" w:space="0" w:color="auto" w:frame="1"/>
              </w:rPr>
              <m:t>E</m:t>
            </m:r>
          </m:sub>
        </m:sSub>
      </m:oMath>
      <w:r w:rsidRPr="00802D35">
        <w:rPr>
          <w:color w:val="000000"/>
          <w:sz w:val="28"/>
          <w:szCs w:val="28"/>
        </w:rPr>
        <w:t xml:space="preserve">                                               (15)</w:t>
      </w:r>
    </w:p>
    <w:p w:rsidR="00603572" w:rsidRPr="00802D35" w:rsidRDefault="00603572" w:rsidP="00603572">
      <w:pPr>
        <w:pStyle w:val="a7"/>
        <w:shd w:val="clear" w:color="auto" w:fill="FFFFFF"/>
        <w:spacing w:before="0" w:beforeAutospacing="0" w:after="0" w:afterAutospacing="0"/>
        <w:jc w:val="right"/>
        <w:rPr>
          <w:rFonts w:ascii="Cambria Math" w:hAnsi="Cambria Math"/>
          <w:color w:val="000000"/>
          <w:sz w:val="28"/>
          <w:szCs w:val="28"/>
          <w:oMath/>
        </w:rPr>
      </w:pPr>
      <m:oMathPara>
        <m:oMathParaPr>
          <m:jc m:val="center"/>
        </m:oMathParaPr>
        <m:oMath>
          <m:r>
            <w:rPr>
              <w:rFonts w:ascii="Cambria Math" w:hAnsi="Cambria Math"/>
              <w:color w:val="000000"/>
              <w:sz w:val="28"/>
              <w:szCs w:val="28"/>
            </w:rPr>
            <m:t> </m:t>
          </m:r>
          <m:sSub>
            <m:sSubPr>
              <m:ctrlPr>
                <w:rPr>
                  <w:rStyle w:val="a5"/>
                  <w:rFonts w:ascii="Cambria Math" w:hAnsi="Cambria Math"/>
                  <w:i w:val="0"/>
                  <w:iCs w:val="0"/>
                  <w:color w:val="000000"/>
                  <w:sz w:val="28"/>
                  <w:szCs w:val="28"/>
                  <w:bdr w:val="none" w:sz="0" w:space="0" w:color="auto" w:frame="1"/>
                </w:rPr>
              </m:ctrlPr>
            </m:sSubPr>
            <m:e>
              <m:r>
                <w:rPr>
                  <w:rStyle w:val="a5"/>
                  <w:rFonts w:ascii="Cambria Math" w:hAnsi="Cambria Math"/>
                  <w:color w:val="000000"/>
                  <w:sz w:val="28"/>
                  <w:szCs w:val="28"/>
                  <w:bdr w:val="none" w:sz="0" w:space="0" w:color="auto" w:frame="1"/>
                </w:rPr>
                <m:t>MS</m:t>
              </m:r>
            </m:e>
            <m:sub>
              <m:r>
                <w:rPr>
                  <w:rStyle w:val="a5"/>
                  <w:rFonts w:ascii="Cambria Math" w:hAnsi="Cambria Math"/>
                  <w:color w:val="000000"/>
                  <w:sz w:val="28"/>
                  <w:szCs w:val="28"/>
                  <w:bdr w:val="none" w:sz="0" w:space="0" w:color="auto" w:frame="1"/>
                </w:rPr>
                <m:t>T</m:t>
              </m:r>
            </m:sub>
          </m:sSub>
          <m:r>
            <w:rPr>
              <w:rFonts w:ascii="Cambria Math" w:hAnsi="Cambria Math"/>
              <w:color w:val="000000"/>
              <w:sz w:val="28"/>
              <w:szCs w:val="28"/>
            </w:rPr>
            <m:t> </m:t>
          </m:r>
          <m:r>
            <w:rPr>
              <w:rStyle w:val="a5"/>
              <w:rFonts w:ascii="Cambria Math" w:hAnsi="Cambria Math"/>
              <w:color w:val="000000"/>
              <w:sz w:val="28"/>
              <w:szCs w:val="28"/>
              <w:bdr w:val="none" w:sz="0" w:space="0" w:color="auto" w:frame="1"/>
            </w:rPr>
            <m:t>=</m:t>
          </m:r>
          <m:r>
            <w:rPr>
              <w:rFonts w:ascii="Cambria Math" w:hAnsi="Cambria Math"/>
              <w:color w:val="000000"/>
              <w:sz w:val="28"/>
              <w:szCs w:val="28"/>
            </w:rPr>
            <m:t> </m:t>
          </m:r>
          <m:sSub>
            <m:sSubPr>
              <m:ctrlPr>
                <w:rPr>
                  <w:rFonts w:ascii="Cambria Math" w:hAnsi="Cambria Math"/>
                  <w:i/>
                  <w:color w:val="000000"/>
                  <w:sz w:val="28"/>
                  <w:szCs w:val="28"/>
                </w:rPr>
              </m:ctrlPr>
            </m:sSubPr>
            <m:e>
              <m:r>
                <w:rPr>
                  <w:rFonts w:ascii="Cambria Math" w:hAnsi="Cambria Math"/>
                  <w:color w:val="000000"/>
                  <w:sz w:val="28"/>
                  <w:szCs w:val="28"/>
                </w:rPr>
                <m:t>MS</m:t>
              </m:r>
            </m:e>
            <m:sub>
              <m:r>
                <w:rPr>
                  <w:rFonts w:ascii="Cambria Math" w:hAnsi="Cambria Math"/>
                  <w:color w:val="000000"/>
                  <w:sz w:val="28"/>
                  <w:szCs w:val="28"/>
                </w:rPr>
                <m:t>H</m:t>
              </m:r>
            </m:sub>
          </m:sSub>
          <m:r>
            <w:rPr>
              <w:rFonts w:ascii="Cambria Math" w:hAnsi="Cambria Math"/>
              <w:color w:val="000000"/>
              <w:sz w:val="28"/>
              <w:szCs w:val="28"/>
            </w:rPr>
            <m:t xml:space="preserve"> + </m:t>
          </m:r>
          <m:sSub>
            <m:sSubPr>
              <m:ctrlPr>
                <w:rPr>
                  <w:rFonts w:ascii="Cambria Math" w:hAnsi="Cambria Math"/>
                  <w:i/>
                  <w:color w:val="000000"/>
                  <w:sz w:val="28"/>
                  <w:szCs w:val="28"/>
                </w:rPr>
              </m:ctrlPr>
            </m:sSubPr>
            <m:e>
              <m:r>
                <w:rPr>
                  <w:rFonts w:ascii="Cambria Math" w:hAnsi="Cambria Math"/>
                  <w:color w:val="000000"/>
                  <w:sz w:val="28"/>
                  <w:szCs w:val="28"/>
                </w:rPr>
                <m:t>MS</m:t>
              </m:r>
            </m:e>
            <m:sub>
              <m:r>
                <w:rPr>
                  <w:rFonts w:ascii="Cambria Math" w:hAnsi="Cambria Math"/>
                  <w:color w:val="000000"/>
                  <w:sz w:val="28"/>
                  <w:szCs w:val="28"/>
                </w:rPr>
                <m:t>E</m:t>
              </m:r>
            </m:sub>
          </m:sSub>
        </m:oMath>
      </m:oMathPara>
    </w:p>
    <w:p w:rsidR="00603572" w:rsidRPr="00802D35" w:rsidRDefault="00603572" w:rsidP="00603572">
      <w:pPr>
        <w:pStyle w:val="a7"/>
        <w:shd w:val="clear" w:color="auto" w:fill="FFFFFF"/>
        <w:spacing w:before="0" w:beforeAutospacing="0" w:after="0" w:afterAutospacing="0"/>
        <w:ind w:firstLine="567"/>
        <w:jc w:val="both"/>
        <w:rPr>
          <w:color w:val="000000"/>
          <w:sz w:val="28"/>
          <w:szCs w:val="28"/>
        </w:rPr>
      </w:pP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color w:val="000000"/>
          <w:sz w:val="28"/>
          <w:szCs w:val="28"/>
        </w:rPr>
        <w:t xml:space="preserve">Полученные в результате расчетов показатели модели </w:t>
      </w:r>
      <w:r w:rsidRPr="00802D35">
        <w:rPr>
          <w:rFonts w:ascii="Times New Roman" w:hAnsi="Times New Roman" w:cs="Times New Roman"/>
          <w:sz w:val="28"/>
          <w:szCs w:val="28"/>
          <w:shd w:val="clear" w:color="auto" w:fill="FFFFFF"/>
        </w:rPr>
        <w:t xml:space="preserve">MANOVA содержат как многомерные, так и одномерные критерии. К многомерным </w:t>
      </w:r>
      <w:r w:rsidRPr="00802D35">
        <w:rPr>
          <w:rFonts w:ascii="Times New Roman" w:hAnsi="Times New Roman" w:cs="Times New Roman"/>
          <w:sz w:val="28"/>
          <w:szCs w:val="28"/>
        </w:rPr>
        <w:t>Multivariate Tests</w:t>
      </w:r>
      <w:r w:rsidRPr="00802D35">
        <w:rPr>
          <w:rFonts w:ascii="Times New Roman" w:hAnsi="Times New Roman" w:cs="Times New Roman"/>
          <w:sz w:val="28"/>
          <w:szCs w:val="28"/>
          <w:shd w:val="clear" w:color="auto" w:fill="FFFFFF"/>
        </w:rPr>
        <w:t xml:space="preserve"> относятся корреляции зависимых переменных: критерий Пиллая, Уилкса, Лоли-Хотеллинга и Роя [</w:t>
      </w:r>
      <w:r w:rsidR="000B0564" w:rsidRPr="00802D35">
        <w:rPr>
          <w:rFonts w:ascii="Times New Roman" w:hAnsi="Times New Roman" w:cs="Times New Roman"/>
          <w:sz w:val="28"/>
          <w:szCs w:val="28"/>
          <w:shd w:val="clear" w:color="auto" w:fill="FFFFFF"/>
        </w:rPr>
        <w:t>90</w:t>
      </w:r>
      <w:r w:rsidRPr="00802D35">
        <w:rPr>
          <w:rFonts w:ascii="Times New Roman" w:hAnsi="Times New Roman" w:cs="Times New Roman"/>
          <w:sz w:val="28"/>
          <w:szCs w:val="28"/>
          <w:shd w:val="clear" w:color="auto" w:fill="FFFFFF"/>
        </w:rPr>
        <w:t xml:space="preserve">]. К одномерным критериям относятся </w:t>
      </w:r>
      <w:r w:rsidRPr="00802D35">
        <w:rPr>
          <w:rFonts w:ascii="Times New Roman" w:hAnsi="Times New Roman" w:cs="Times New Roman"/>
          <w:sz w:val="28"/>
          <w:szCs w:val="28"/>
        </w:rPr>
        <w:t xml:space="preserve">F-критерий и p-значимость для проверки влияния факторов и степени их взаимодействия. </w:t>
      </w:r>
      <w:r w:rsidRPr="00802D35">
        <w:rPr>
          <w:rFonts w:ascii="Times New Roman" w:hAnsi="Times New Roman" w:cs="Times New Roman"/>
          <w:sz w:val="28"/>
          <w:szCs w:val="28"/>
        </w:rPr>
        <w:lastRenderedPageBreak/>
        <w:t>Если F приближено к 1, то между факторами нет статистически значимых различий. При этом фактические значение критерия сравнивают с его табличным значением. Если F</w:t>
      </w:r>
      <w:r w:rsidRPr="00802D35">
        <w:rPr>
          <w:rFonts w:ascii="Times New Roman" w:hAnsi="Times New Roman" w:cs="Times New Roman"/>
          <w:sz w:val="28"/>
          <w:szCs w:val="28"/>
          <w:vertAlign w:val="subscript"/>
        </w:rPr>
        <w:t>факт</w:t>
      </w:r>
      <w:r w:rsidRPr="00802D35">
        <w:rPr>
          <w:rFonts w:ascii="Times New Roman" w:hAnsi="Times New Roman" w:cs="Times New Roman"/>
          <w:sz w:val="28"/>
          <w:szCs w:val="28"/>
        </w:rPr>
        <w:t xml:space="preserve"> &gt; F</w:t>
      </w:r>
      <w:r w:rsidRPr="00802D35">
        <w:rPr>
          <w:rFonts w:ascii="Times New Roman" w:hAnsi="Times New Roman" w:cs="Times New Roman"/>
          <w:sz w:val="28"/>
          <w:szCs w:val="28"/>
          <w:vertAlign w:val="subscript"/>
        </w:rPr>
        <w:t>табл</w:t>
      </w:r>
      <w:r w:rsidRPr="00802D35">
        <w:rPr>
          <w:rFonts w:ascii="Times New Roman" w:hAnsi="Times New Roman" w:cs="Times New Roman"/>
          <w:sz w:val="28"/>
          <w:szCs w:val="28"/>
        </w:rPr>
        <w:t>, то модель является статистически значимой, если наоборот, то не значимой.</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Критерий Пиллаи (</w:t>
      </w:r>
      <w:r w:rsidRPr="00802D35">
        <w:rPr>
          <w:rFonts w:ascii="Times New Roman" w:hAnsi="Times New Roman" w:cs="Times New Roman"/>
          <w:sz w:val="28"/>
          <w:szCs w:val="28"/>
          <w:lang w:val="en-US"/>
        </w:rPr>
        <w:t>Pillai</w:t>
      </w:r>
      <w:r w:rsidRPr="00802D35">
        <w:rPr>
          <w:rFonts w:ascii="Times New Roman" w:hAnsi="Times New Roman" w:cs="Times New Roman"/>
          <w:sz w:val="28"/>
          <w:szCs w:val="28"/>
        </w:rPr>
        <w:t>’</w:t>
      </w:r>
      <w:r w:rsidRPr="00802D35">
        <w:rPr>
          <w:rFonts w:ascii="Times New Roman" w:hAnsi="Times New Roman" w:cs="Times New Roman"/>
          <w:sz w:val="28"/>
          <w:szCs w:val="28"/>
          <w:lang w:val="en-US"/>
        </w:rPr>
        <w:t>s</w:t>
      </w:r>
      <w:r w:rsidRPr="00802D35">
        <w:rPr>
          <w:rFonts w:ascii="Times New Roman" w:hAnsi="Times New Roman" w:cs="Times New Roman"/>
          <w:sz w:val="28"/>
          <w:szCs w:val="28"/>
        </w:rPr>
        <w:t xml:space="preserve"> </w:t>
      </w:r>
      <w:r w:rsidRPr="00802D35">
        <w:rPr>
          <w:rFonts w:ascii="Times New Roman" w:hAnsi="Times New Roman" w:cs="Times New Roman"/>
          <w:sz w:val="28"/>
          <w:szCs w:val="28"/>
          <w:lang w:val="en-US"/>
        </w:rPr>
        <w:t>Trace</w:t>
      </w:r>
      <w:r w:rsidRPr="00802D35">
        <w:rPr>
          <w:rFonts w:ascii="Times New Roman" w:hAnsi="Times New Roman" w:cs="Times New Roman"/>
          <w:sz w:val="28"/>
          <w:szCs w:val="28"/>
        </w:rPr>
        <w:t>) рассчитывается следующим образом:</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tabs>
          <w:tab w:val="left" w:pos="993"/>
        </w:tabs>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P=</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S</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m:t>
                    </m:r>
                  </m:sub>
                </m:sSub>
              </m:num>
              <m:den>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m:t>
                    </m:r>
                  </m:sub>
                </m:sSub>
              </m:den>
            </m:f>
          </m:e>
        </m:nary>
      </m:oMath>
      <w:r w:rsidRPr="00802D35">
        <w:rPr>
          <w:rFonts w:ascii="Times New Roman" w:eastAsiaTheme="minorEastAsia" w:hAnsi="Times New Roman" w:cs="Times New Roman"/>
          <w:sz w:val="28"/>
          <w:szCs w:val="28"/>
        </w:rPr>
        <w:t xml:space="preserve">                                                   (16),</w:t>
      </w:r>
    </w:p>
    <w:p w:rsidR="00603572" w:rsidRPr="00802D35" w:rsidRDefault="00603572" w:rsidP="00603572">
      <w:pPr>
        <w:widowControl w:val="0"/>
        <w:tabs>
          <w:tab w:val="left" w:pos="993"/>
        </w:tabs>
        <w:spacing w:after="0" w:line="240" w:lineRule="auto"/>
        <w:ind w:firstLine="567"/>
        <w:jc w:val="both"/>
        <w:rPr>
          <w:rFonts w:ascii="Times New Roman" w:eastAsiaTheme="minorEastAsia" w:hAnsi="Times New Roman" w:cs="Times New Roman"/>
          <w:sz w:val="28"/>
          <w:szCs w:val="28"/>
        </w:rPr>
      </w:pP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λ</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 i –ый корень матрицы HE</w:t>
      </w:r>
      <w:r w:rsidRPr="00802D35">
        <w:rPr>
          <w:rFonts w:ascii="Times New Roman" w:hAnsi="Times New Roman" w:cs="Times New Roman"/>
          <w:sz w:val="28"/>
          <w:szCs w:val="28"/>
          <w:vertAlign w:val="superscript"/>
        </w:rPr>
        <w:t>-1</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S – минимум (g-1, p)</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g – количество групп;</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p – количество переменных в каждой группе.</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shd w:val="clear" w:color="auto" w:fill="FFFFFF"/>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Лямбда Уилкса (Wilks’ Lambda) оценивается по формуле [</w:t>
      </w:r>
      <w:r w:rsidR="000B0564" w:rsidRPr="00802D35">
        <w:rPr>
          <w:rFonts w:ascii="Times New Roman" w:hAnsi="Times New Roman" w:cs="Times New Roman"/>
          <w:sz w:val="28"/>
          <w:szCs w:val="28"/>
        </w:rPr>
        <w:t>91</w:t>
      </w:r>
      <w:r w:rsidRPr="00802D35">
        <w:rPr>
          <w:rFonts w:ascii="Times New Roman" w:hAnsi="Times New Roman" w:cs="Times New Roman"/>
          <w:sz w:val="28"/>
          <w:szCs w:val="28"/>
        </w:rPr>
        <w:t>]:</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tabs>
          <w:tab w:val="left" w:pos="993"/>
        </w:tabs>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W=</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S</m:t>
            </m:r>
          </m:sup>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m:t>
                    </m:r>
                  </m:sub>
                </m:sSub>
              </m:den>
            </m:f>
          </m:e>
        </m:nary>
      </m:oMath>
      <w:r w:rsidRPr="00802D35">
        <w:rPr>
          <w:rFonts w:ascii="Times New Roman" w:eastAsiaTheme="minorEastAsia" w:hAnsi="Times New Roman" w:cs="Times New Roman"/>
          <w:sz w:val="28"/>
          <w:szCs w:val="28"/>
        </w:rPr>
        <w:t xml:space="preserve">                                                   (17),</w:t>
      </w:r>
    </w:p>
    <w:p w:rsidR="00603572" w:rsidRPr="00802D35" w:rsidRDefault="00603572" w:rsidP="00603572">
      <w:pPr>
        <w:pStyle w:val="a7"/>
        <w:shd w:val="clear" w:color="auto" w:fill="FFFFFF"/>
        <w:spacing w:before="0" w:beforeAutospacing="0" w:after="0" w:afterAutospacing="0"/>
        <w:ind w:firstLine="567"/>
        <w:textAlignment w:val="baseline"/>
        <w:rPr>
          <w:color w:val="000000"/>
          <w:sz w:val="28"/>
          <w:szCs w:val="28"/>
        </w:rPr>
      </w:pPr>
    </w:p>
    <w:p w:rsidR="00603572" w:rsidRPr="00802D35" w:rsidRDefault="00603572" w:rsidP="00603572">
      <w:pPr>
        <w:pStyle w:val="a7"/>
        <w:shd w:val="clear" w:color="auto" w:fill="FFFFFF"/>
        <w:spacing w:before="0" w:beforeAutospacing="0" w:after="0" w:afterAutospacing="0"/>
        <w:ind w:firstLine="567"/>
        <w:textAlignment w:val="baseline"/>
        <w:rPr>
          <w:color w:val="000000"/>
          <w:sz w:val="28"/>
          <w:szCs w:val="28"/>
        </w:rPr>
      </w:pPr>
      <w:r w:rsidRPr="00802D35">
        <w:rPr>
          <w:color w:val="000000"/>
          <w:sz w:val="28"/>
          <w:szCs w:val="28"/>
        </w:rPr>
        <w:t xml:space="preserve">Критерий  Лоли-Хоттелинга </w:t>
      </w:r>
      <w:r w:rsidRPr="00802D35">
        <w:rPr>
          <w:sz w:val="28"/>
          <w:szCs w:val="28"/>
        </w:rPr>
        <w:t>(Lawley-Hotelling’s Trace)</w:t>
      </w:r>
      <w:r w:rsidRPr="00802D35">
        <w:rPr>
          <w:color w:val="000000"/>
          <w:sz w:val="28"/>
          <w:szCs w:val="28"/>
        </w:rPr>
        <w:t>равен:</w:t>
      </w:r>
    </w:p>
    <w:p w:rsidR="00603572" w:rsidRPr="00802D35" w:rsidRDefault="00603572" w:rsidP="00603572">
      <w:pPr>
        <w:pStyle w:val="a7"/>
        <w:shd w:val="clear" w:color="auto" w:fill="FFFFFF"/>
        <w:spacing w:before="0" w:beforeAutospacing="0" w:after="0" w:afterAutospacing="0"/>
        <w:textAlignment w:val="baseline"/>
        <w:rPr>
          <w:color w:val="000000"/>
          <w:sz w:val="28"/>
          <w:szCs w:val="28"/>
        </w:rPr>
      </w:pPr>
    </w:p>
    <w:p w:rsidR="00603572" w:rsidRPr="00802D35" w:rsidRDefault="00603572" w:rsidP="00603572">
      <w:pPr>
        <w:widowControl w:val="0"/>
        <w:tabs>
          <w:tab w:val="left" w:pos="993"/>
        </w:tabs>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LH=</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S</m:t>
            </m:r>
          </m:sup>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m:t>
                </m:r>
              </m:sub>
            </m:sSub>
          </m:e>
        </m:nary>
      </m:oMath>
      <w:r w:rsidRPr="00802D35">
        <w:rPr>
          <w:rFonts w:ascii="Times New Roman" w:eastAsiaTheme="minorEastAsia" w:hAnsi="Times New Roman" w:cs="Times New Roman"/>
          <w:sz w:val="28"/>
          <w:szCs w:val="28"/>
        </w:rPr>
        <w:t xml:space="preserve">                                                   (18),</w:t>
      </w:r>
    </w:p>
    <w:p w:rsidR="00603572" w:rsidRPr="00802D35" w:rsidRDefault="00603572" w:rsidP="00603572">
      <w:pPr>
        <w:pStyle w:val="a7"/>
        <w:shd w:val="clear" w:color="auto" w:fill="FFFFFF"/>
        <w:spacing w:before="0" w:beforeAutospacing="0" w:after="0" w:afterAutospacing="0"/>
        <w:textAlignment w:val="baseline"/>
        <w:rPr>
          <w:color w:val="000000"/>
          <w:sz w:val="28"/>
          <w:szCs w:val="28"/>
        </w:rPr>
      </w:pPr>
    </w:p>
    <w:p w:rsidR="00603572" w:rsidRPr="00802D35" w:rsidRDefault="00603572" w:rsidP="00603572">
      <w:pPr>
        <w:pStyle w:val="a7"/>
        <w:shd w:val="clear" w:color="auto" w:fill="FFFFFF"/>
        <w:spacing w:before="0" w:beforeAutospacing="0" w:after="0" w:afterAutospacing="0"/>
        <w:ind w:firstLine="567"/>
        <w:textAlignment w:val="baseline"/>
        <w:rPr>
          <w:color w:val="000000"/>
          <w:sz w:val="28"/>
          <w:szCs w:val="28"/>
        </w:rPr>
      </w:pPr>
      <w:r w:rsidRPr="00802D35">
        <w:rPr>
          <w:color w:val="000000"/>
          <w:sz w:val="28"/>
          <w:szCs w:val="28"/>
        </w:rPr>
        <w:t xml:space="preserve">Критерий Роя </w:t>
      </w:r>
      <w:r w:rsidRPr="00802D35">
        <w:rPr>
          <w:sz w:val="28"/>
          <w:szCs w:val="28"/>
        </w:rPr>
        <w:t xml:space="preserve">(Roy’s Largest Root) </w:t>
      </w:r>
      <w:r w:rsidRPr="00802D35">
        <w:rPr>
          <w:color w:val="000000"/>
          <w:sz w:val="28"/>
          <w:szCs w:val="28"/>
        </w:rPr>
        <w:t>рассчитывается по следующей формуле:</w:t>
      </w:r>
    </w:p>
    <w:p w:rsidR="00603572" w:rsidRPr="00802D35" w:rsidRDefault="00603572" w:rsidP="00603572">
      <w:pPr>
        <w:pStyle w:val="a7"/>
        <w:shd w:val="clear" w:color="auto" w:fill="FFFFFF"/>
        <w:spacing w:before="0" w:beforeAutospacing="0" w:after="0" w:afterAutospacing="0"/>
        <w:textAlignment w:val="baseline"/>
        <w:rPr>
          <w:color w:val="000000"/>
          <w:sz w:val="28"/>
          <w:szCs w:val="28"/>
        </w:rPr>
      </w:pPr>
    </w:p>
    <w:p w:rsidR="00603572" w:rsidRPr="00802D35" w:rsidRDefault="00603572" w:rsidP="00603572">
      <w:pPr>
        <w:widowControl w:val="0"/>
        <w:tabs>
          <w:tab w:val="left" w:pos="993"/>
        </w:tabs>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R=</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S</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max</m:t>
                    </m:r>
                  </m:sub>
                </m:sSub>
              </m:num>
              <m:den>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max</m:t>
                    </m:r>
                  </m:sub>
                </m:sSub>
              </m:den>
            </m:f>
          </m:e>
        </m:nary>
      </m:oMath>
      <w:r w:rsidRPr="00802D35">
        <w:rPr>
          <w:rFonts w:ascii="Times New Roman" w:eastAsiaTheme="minorEastAsia" w:hAnsi="Times New Roman" w:cs="Times New Roman"/>
          <w:sz w:val="28"/>
          <w:szCs w:val="28"/>
        </w:rPr>
        <w:t xml:space="preserve">                                                   (19),</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λ</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 i –ый корень матрицы HE</w:t>
      </w:r>
      <w:r w:rsidRPr="00802D35">
        <w:rPr>
          <w:rFonts w:ascii="Times New Roman" w:hAnsi="Times New Roman" w:cs="Times New Roman"/>
          <w:sz w:val="28"/>
          <w:szCs w:val="28"/>
          <w:vertAlign w:val="superscript"/>
        </w:rPr>
        <w:t>-1</w:t>
      </w:r>
    </w:p>
    <w:p w:rsidR="00603572" w:rsidRPr="00802D35" w:rsidRDefault="00603572" w:rsidP="00603572">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S – минимум (g-1, p)</w:t>
      </w:r>
    </w:p>
    <w:p w:rsidR="00603572" w:rsidRPr="00802D35" w:rsidRDefault="00603572" w:rsidP="00603572">
      <w:pPr>
        <w:widowControl w:val="0"/>
        <w:tabs>
          <w:tab w:val="left" w:pos="993"/>
        </w:tabs>
        <w:spacing w:after="0" w:line="240" w:lineRule="auto"/>
        <w:ind w:firstLine="567"/>
        <w:jc w:val="both"/>
        <w:rPr>
          <w:rFonts w:ascii="Times New Roman" w:eastAsiaTheme="minorEastAsia" w:hAnsi="Times New Roman" w:cs="Times New Roman"/>
          <w:sz w:val="28"/>
          <w:szCs w:val="28"/>
        </w:rPr>
      </w:pP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bdr w:val="none" w:sz="0" w:space="0" w:color="auto" w:frame="1"/>
        </w:rPr>
        <w:t>Критерий Пиллаи отражает статистику с положительными значениями в рамках 0 и выше [</w:t>
      </w:r>
      <w:r w:rsidR="000B0564" w:rsidRPr="00802D35">
        <w:rPr>
          <w:sz w:val="28"/>
          <w:szCs w:val="28"/>
          <w:bdr w:val="none" w:sz="0" w:space="0" w:color="auto" w:frame="1"/>
        </w:rPr>
        <w:t>92</w:t>
      </w:r>
      <w:r w:rsidRPr="00802D35">
        <w:rPr>
          <w:sz w:val="28"/>
          <w:szCs w:val="28"/>
          <w:bdr w:val="none" w:sz="0" w:space="0" w:color="auto" w:frame="1"/>
        </w:rPr>
        <w:t>]. Увеличение значений указывает на эффекты, которые вносят больший вклад в модель.</w:t>
      </w:r>
    </w:p>
    <w:p w:rsidR="00603572" w:rsidRPr="00802D35" w:rsidRDefault="00603572" w:rsidP="00603572">
      <w:pPr>
        <w:shd w:val="clear" w:color="auto" w:fill="FFFFFF"/>
        <w:spacing w:after="0" w:line="240" w:lineRule="auto"/>
        <w:ind w:firstLine="567"/>
        <w:jc w:val="both"/>
        <w:textAlignment w:val="baseline"/>
        <w:rPr>
          <w:rFonts w:ascii="Times New Roman" w:hAnsi="Times New Roman" w:cs="Times New Roman"/>
          <w:sz w:val="28"/>
          <w:szCs w:val="28"/>
        </w:rPr>
      </w:pPr>
      <w:r w:rsidRPr="00802D35">
        <w:rPr>
          <w:rFonts w:ascii="Times New Roman" w:hAnsi="Times New Roman" w:cs="Times New Roman"/>
          <w:sz w:val="28"/>
          <w:szCs w:val="28"/>
          <w:bdr w:val="none" w:sz="0" w:space="0" w:color="auto" w:frame="1"/>
        </w:rPr>
        <w:t>Лямбда Уилкса - это статистика с положительными значениями, которая находится в диапазоне от 0 до 1. Уменьшение значений указывает на эффекты, которые вносят больший вклад в модель.</w:t>
      </w:r>
    </w:p>
    <w:p w:rsidR="00603572" w:rsidRPr="00802D35" w:rsidRDefault="00603572" w:rsidP="00603572">
      <w:pPr>
        <w:pStyle w:val="a7"/>
        <w:shd w:val="clear" w:color="auto" w:fill="FFFFFF"/>
        <w:spacing w:before="0" w:beforeAutospacing="0" w:after="0" w:afterAutospacing="0"/>
        <w:ind w:firstLine="567"/>
        <w:jc w:val="both"/>
        <w:rPr>
          <w:sz w:val="28"/>
          <w:szCs w:val="28"/>
        </w:rPr>
      </w:pPr>
      <w:r w:rsidRPr="00802D35">
        <w:rPr>
          <w:sz w:val="28"/>
          <w:szCs w:val="28"/>
          <w:bdr w:val="none" w:sz="0" w:space="0" w:color="auto" w:frame="1"/>
        </w:rPr>
        <w:t>Критерий Лоли-Хотеллинга показывает сумму собственных значений тестовой матрицы [</w:t>
      </w:r>
      <w:r w:rsidR="000B0564" w:rsidRPr="00802D35">
        <w:rPr>
          <w:sz w:val="28"/>
          <w:szCs w:val="28"/>
          <w:bdr w:val="none" w:sz="0" w:space="0" w:color="auto" w:frame="1"/>
        </w:rPr>
        <w:t>93</w:t>
      </w:r>
      <w:r w:rsidRPr="00802D35">
        <w:rPr>
          <w:sz w:val="28"/>
          <w:szCs w:val="28"/>
          <w:bdr w:val="none" w:sz="0" w:space="0" w:color="auto" w:frame="1"/>
        </w:rPr>
        <w:t xml:space="preserve">]. Показатель может приобретать лишь положительные значения, увеличение которых указывает на эффекты, которые вносят больший вклад в модель. Следует отметить, что критерий Лоли-Хотеллинга всегда больше, чем критерий Пиллаи, но когда собственные значения тестовой </w:t>
      </w:r>
      <w:r w:rsidRPr="00802D35">
        <w:rPr>
          <w:sz w:val="28"/>
          <w:szCs w:val="28"/>
          <w:bdr w:val="none" w:sz="0" w:space="0" w:color="auto" w:frame="1"/>
        </w:rPr>
        <w:lastRenderedPageBreak/>
        <w:t>матрицы малы, эти два показателя будут практически равны. Это указывает на то, что эффект, вероятно, не сильно влияет на модель.</w:t>
      </w:r>
    </w:p>
    <w:p w:rsidR="00603572" w:rsidRPr="00802D35" w:rsidRDefault="00603572" w:rsidP="00603572">
      <w:pPr>
        <w:shd w:val="clear" w:color="auto" w:fill="FFFFFF"/>
        <w:spacing w:after="0" w:line="240" w:lineRule="auto"/>
        <w:ind w:firstLine="567"/>
        <w:jc w:val="both"/>
        <w:textAlignment w:val="baseline"/>
        <w:rPr>
          <w:rFonts w:ascii="Times New Roman" w:hAnsi="Times New Roman" w:cs="Times New Roman"/>
          <w:sz w:val="28"/>
          <w:szCs w:val="28"/>
          <w:bdr w:val="none" w:sz="0" w:space="0" w:color="auto" w:frame="1"/>
        </w:rPr>
      </w:pPr>
      <w:r w:rsidRPr="00802D35">
        <w:rPr>
          <w:rFonts w:ascii="Times New Roman" w:hAnsi="Times New Roman" w:cs="Times New Roman"/>
          <w:sz w:val="28"/>
          <w:szCs w:val="28"/>
          <w:bdr w:val="none" w:sz="0" w:space="0" w:color="auto" w:frame="1"/>
        </w:rPr>
        <w:t>Наибольший корень Роя показывает наибольшее собственное значение тестовой матрицы. Таким образом, он аналогично приобретает положительные значения, увеличение которых свидетельствует о внесении большего вклада в модель [</w:t>
      </w:r>
      <w:r w:rsidR="000B0564" w:rsidRPr="00802D35">
        <w:rPr>
          <w:rFonts w:ascii="Times New Roman" w:hAnsi="Times New Roman" w:cs="Times New Roman"/>
          <w:sz w:val="28"/>
          <w:szCs w:val="28"/>
          <w:bdr w:val="none" w:sz="0" w:space="0" w:color="auto" w:frame="1"/>
        </w:rPr>
        <w:t>94</w:t>
      </w:r>
      <w:r w:rsidRPr="00802D35">
        <w:rPr>
          <w:rFonts w:ascii="Times New Roman" w:hAnsi="Times New Roman" w:cs="Times New Roman"/>
          <w:sz w:val="28"/>
          <w:szCs w:val="28"/>
          <w:bdr w:val="none" w:sz="0" w:space="0" w:color="auto" w:frame="1"/>
        </w:rPr>
        <w:t>]. Самый высокий корень Роя всегда ≤ критерию Лоли-Хотеллинга. Когда эти два критерия равны, эффект модели преимущественно связан только с одной из зависимых переменных или существует сильная корреляция между зависимыми переменными.</w:t>
      </w:r>
    </w:p>
    <w:p w:rsidR="00603572" w:rsidRPr="00802D35" w:rsidRDefault="00603572" w:rsidP="00603572">
      <w:pPr>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Исходя из выдвинутой нами в первой главе гипотезы в данном случае нами будет проведен анализ влияния структуры фондирования банков на показатель экономического роста государства – ВВП. MANOVA позволит определить существует ли разница между использованием инструментов фондирования для привлечения средств в отношении влияния на экономический рост Казахстана и какова сила эффекта их применения в качестве средства привлечения фондирования.</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Для анализа использовались данные по структуре фондирования БВУ по месяцам, начиная с 2017 по январь 2021 г. При этом, в структуру фондирования БВУ включены следующие инструменты фондирования:</w:t>
      </w:r>
    </w:p>
    <w:p w:rsidR="00603572" w:rsidRPr="00802D35" w:rsidRDefault="00603572" w:rsidP="00203A4B">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Межбанковские вклады</w:t>
      </w:r>
    </w:p>
    <w:p w:rsidR="004E38BC" w:rsidRPr="00802D35" w:rsidRDefault="004E38BC" w:rsidP="004E38BC">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Уставный капитал</w:t>
      </w:r>
    </w:p>
    <w:p w:rsidR="00603572" w:rsidRPr="00802D35" w:rsidRDefault="00603572" w:rsidP="00203A4B">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Полученные займы</w:t>
      </w:r>
    </w:p>
    <w:p w:rsidR="00603572" w:rsidRPr="00802D35" w:rsidRDefault="00603572" w:rsidP="00203A4B">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Вклады клиентов</w:t>
      </w:r>
    </w:p>
    <w:p w:rsidR="004E38BC" w:rsidRPr="00802D35" w:rsidRDefault="004E38BC" w:rsidP="004E38BC">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Резервный капитал</w:t>
      </w:r>
    </w:p>
    <w:p w:rsidR="00603572" w:rsidRPr="00802D35" w:rsidRDefault="00603572" w:rsidP="00203A4B">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Выпущенные в обращение ценные бумаги</w:t>
      </w:r>
    </w:p>
    <w:p w:rsidR="00603572" w:rsidRPr="00802D35" w:rsidRDefault="00603572" w:rsidP="00203A4B">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Нераспределенная прибыль </w:t>
      </w:r>
      <w:r w:rsidR="004E38BC" w:rsidRPr="00802D35">
        <w:rPr>
          <w:rFonts w:ascii="Times New Roman" w:hAnsi="Times New Roman" w:cs="Times New Roman"/>
          <w:sz w:val="28"/>
          <w:szCs w:val="28"/>
        </w:rPr>
        <w:t>банка за текущий год</w:t>
      </w:r>
    </w:p>
    <w:p w:rsidR="00603572" w:rsidRPr="00802D35" w:rsidRDefault="00603572" w:rsidP="00203A4B">
      <w:pPr>
        <w:pStyle w:val="a3"/>
        <w:numPr>
          <w:ilvl w:val="0"/>
          <w:numId w:val="11"/>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Прочие </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Нами предполагается исследовать возможности влияния выше представленных инструментов в структуре фондирования банков на экономический рост государства и оценки взаимовлияния факторов.</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результате расчетов были получены соответствующие показатели комбинированной полиномиальной, экспоненциальной и асимптотической моделей регрессионного анализа, представленные в таблице 2.</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регрессионных моделях используются следующие оценочные показатели:</w:t>
      </w:r>
    </w:p>
    <w:p w:rsidR="00603572" w:rsidRPr="00802D35" w:rsidRDefault="00603572" w:rsidP="00203A4B">
      <w:pPr>
        <w:pStyle w:val="a7"/>
        <w:numPr>
          <w:ilvl w:val="0"/>
          <w:numId w:val="12"/>
        </w:numPr>
        <w:shd w:val="clear" w:color="auto" w:fill="FFFFFF"/>
        <w:tabs>
          <w:tab w:val="clear" w:pos="720"/>
          <w:tab w:val="left" w:pos="851"/>
        </w:tabs>
        <w:spacing w:before="0" w:beforeAutospacing="0" w:after="0" w:afterAutospacing="0"/>
        <w:ind w:left="0" w:firstLine="567"/>
        <w:jc w:val="both"/>
        <w:rPr>
          <w:rStyle w:val="af"/>
          <w:b w:val="0"/>
          <w:bCs w:val="0"/>
          <w:sz w:val="28"/>
          <w:szCs w:val="28"/>
        </w:rPr>
      </w:pPr>
      <w:r w:rsidRPr="00802D35">
        <w:rPr>
          <w:rStyle w:val="af"/>
          <w:b w:val="0"/>
          <w:sz w:val="28"/>
          <w:szCs w:val="28"/>
        </w:rPr>
        <w:t>R-квадрат (R</w:t>
      </w:r>
      <w:r w:rsidRPr="00802D35">
        <w:rPr>
          <w:rStyle w:val="af"/>
          <w:b w:val="0"/>
          <w:sz w:val="28"/>
          <w:szCs w:val="28"/>
          <w:vertAlign w:val="superscript"/>
        </w:rPr>
        <w:t>2</w:t>
      </w:r>
      <w:r w:rsidRPr="00802D35">
        <w:rPr>
          <w:rStyle w:val="af"/>
          <w:b w:val="0"/>
          <w:sz w:val="28"/>
          <w:szCs w:val="28"/>
        </w:rPr>
        <w:t>), представляющий собой долю вариации результата, которая объясняется переменными-предикторами. В моделях множественной регрессии R2 соответствует квадрату корреляции между наблюдаемыми значениями результатов и значениями, предсказанными моделью. Чем выше R-квадрат, тем лучше модель.</w:t>
      </w:r>
    </w:p>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Среднеквадратичная ошибка (RMSE), которая измеряет среднюю ошибку, выполняемую моделью при прогнозировании результата наблюдения. Математически RMSE - это квадратный корень из среднеквадратичной ошибки (MSE), которая представляет собой среднеквадратичную разницу между </w:t>
      </w:r>
      <w:r w:rsidRPr="00802D35">
        <w:rPr>
          <w:rFonts w:ascii="Times New Roman" w:hAnsi="Times New Roman" w:cs="Times New Roman"/>
          <w:sz w:val="28"/>
          <w:szCs w:val="28"/>
        </w:rPr>
        <w:lastRenderedPageBreak/>
        <w:t xml:space="preserve">наблюдаемыми фактическими значениями вывода и значениями, предсказанными моделью. </w:t>
      </w:r>
    </w:p>
    <w:p w:rsidR="00603572" w:rsidRPr="00802D35" w:rsidRDefault="00603572" w:rsidP="00603572">
      <w:pPr>
        <w:widowControl w:val="0"/>
        <w:spacing w:after="0" w:line="240" w:lineRule="auto"/>
        <w:jc w:val="both"/>
        <w:rPr>
          <w:rFonts w:ascii="Times New Roman" w:hAnsi="Times New Roman" w:cs="Times New Roman"/>
          <w:sz w:val="28"/>
          <w:szCs w:val="28"/>
        </w:rPr>
      </w:pPr>
    </w:p>
    <w:p w:rsidR="00603572" w:rsidRPr="00802D35" w:rsidRDefault="00603572" w:rsidP="00603572">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Таблица 2 - Результаты регрессионного анализа</w:t>
      </w:r>
    </w:p>
    <w:p w:rsidR="00603572" w:rsidRPr="00802D35" w:rsidRDefault="00603572" w:rsidP="00603572">
      <w:pPr>
        <w:widowControl w:val="0"/>
        <w:spacing w:after="0" w:line="240" w:lineRule="auto"/>
        <w:jc w:val="both"/>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3"/>
        <w:gridCol w:w="555"/>
        <w:gridCol w:w="556"/>
        <w:gridCol w:w="1015"/>
        <w:gridCol w:w="555"/>
        <w:gridCol w:w="556"/>
        <w:gridCol w:w="1015"/>
        <w:gridCol w:w="555"/>
        <w:gridCol w:w="556"/>
        <w:gridCol w:w="731"/>
        <w:gridCol w:w="603"/>
        <w:gridCol w:w="673"/>
      </w:tblGrid>
      <w:tr w:rsidR="00603572" w:rsidRPr="00802D35" w:rsidTr="00C22913">
        <w:tc>
          <w:tcPr>
            <w:tcW w:w="1526" w:type="dxa"/>
            <w:vMerge w:val="restart"/>
            <w:vAlign w:val="center"/>
          </w:tcPr>
          <w:p w:rsidR="00603572" w:rsidRPr="00802D35" w:rsidRDefault="00603572" w:rsidP="00C22913">
            <w:pPr>
              <w:widowControl w:val="0"/>
              <w:spacing w:after="0" w:line="240" w:lineRule="auto"/>
              <w:ind w:right="-108"/>
              <w:jc w:val="center"/>
              <w:rPr>
                <w:rFonts w:ascii="Times New Roman" w:hAnsi="Times New Roman" w:cs="Times New Roman"/>
              </w:rPr>
            </w:pPr>
            <w:r w:rsidRPr="00802D35">
              <w:rPr>
                <w:rFonts w:ascii="Times New Roman" w:hAnsi="Times New Roman" w:cs="Times New Roman"/>
              </w:rPr>
              <w:t>Инструмент фондирования</w:t>
            </w:r>
          </w:p>
        </w:tc>
        <w:tc>
          <w:tcPr>
            <w:tcW w:w="2104" w:type="dxa"/>
            <w:gridSpan w:val="3"/>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Polynomial equations</w:t>
            </w:r>
          </w:p>
        </w:tc>
        <w:tc>
          <w:tcPr>
            <w:tcW w:w="2126" w:type="dxa"/>
            <w:gridSpan w:val="3"/>
            <w:vAlign w:val="center"/>
          </w:tcPr>
          <w:p w:rsidR="00603572" w:rsidRPr="00802D35" w:rsidRDefault="00603572" w:rsidP="00C22913">
            <w:pPr>
              <w:widowControl w:val="0"/>
              <w:spacing w:after="0" w:line="240" w:lineRule="auto"/>
              <w:jc w:val="center"/>
              <w:rPr>
                <w:rFonts w:ascii="Times New Roman" w:hAnsi="Times New Roman" w:cs="Times New Roman"/>
                <w:color w:val="000000"/>
              </w:rPr>
            </w:pPr>
            <w:r w:rsidRPr="00802D35">
              <w:rPr>
                <w:rFonts w:ascii="Times New Roman" w:hAnsi="Times New Roman" w:cs="Times New Roman"/>
              </w:rPr>
              <w:t>Exponential equations</w:t>
            </w:r>
          </w:p>
        </w:tc>
        <w:tc>
          <w:tcPr>
            <w:tcW w:w="2126" w:type="dxa"/>
            <w:gridSpan w:val="3"/>
            <w:vAlign w:val="center"/>
          </w:tcPr>
          <w:p w:rsidR="00603572" w:rsidRPr="00802D35" w:rsidRDefault="00603572" w:rsidP="00C22913">
            <w:pPr>
              <w:widowControl w:val="0"/>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Asymptotic regression</w:t>
            </w:r>
          </w:p>
        </w:tc>
        <w:tc>
          <w:tcPr>
            <w:tcW w:w="731" w:type="dxa"/>
            <w:vMerge w:val="restart"/>
            <w:vAlign w:val="center"/>
          </w:tcPr>
          <w:p w:rsidR="00603572" w:rsidRPr="00802D35" w:rsidRDefault="00603572" w:rsidP="00C22913">
            <w:pPr>
              <w:widowControl w:val="0"/>
              <w:spacing w:after="0" w:line="240" w:lineRule="auto"/>
              <w:jc w:val="center"/>
              <w:rPr>
                <w:rFonts w:ascii="Times New Roman" w:hAnsi="Times New Roman" w:cs="Times New Roman"/>
                <w:color w:val="000000"/>
                <w:vertAlign w:val="subscript"/>
              </w:rPr>
            </w:pPr>
            <w:r w:rsidRPr="00802D35">
              <w:rPr>
                <w:rFonts w:ascii="Times New Roman" w:hAnsi="Times New Roman" w:cs="Times New Roman"/>
                <w:color w:val="000000"/>
              </w:rPr>
              <w:t>E</w:t>
            </w:r>
            <w:r w:rsidRPr="00802D35">
              <w:rPr>
                <w:rFonts w:ascii="Times New Roman" w:hAnsi="Times New Roman" w:cs="Times New Roman"/>
                <w:color w:val="000000"/>
                <w:vertAlign w:val="subscript"/>
              </w:rPr>
              <w:t>i</w:t>
            </w:r>
          </w:p>
        </w:tc>
        <w:tc>
          <w:tcPr>
            <w:tcW w:w="603" w:type="dxa"/>
            <w:vMerge w:val="restart"/>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color w:val="000000"/>
              </w:rPr>
              <w:t>BG</w:t>
            </w:r>
          </w:p>
        </w:tc>
        <w:tc>
          <w:tcPr>
            <w:tcW w:w="673" w:type="dxa"/>
            <w:vMerge w:val="restart"/>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GQ</w:t>
            </w:r>
          </w:p>
        </w:tc>
      </w:tr>
      <w:tr w:rsidR="00603572" w:rsidRPr="00802D35" w:rsidTr="00C22913">
        <w:trPr>
          <w:cantSplit/>
          <w:trHeight w:val="1134"/>
        </w:trPr>
        <w:tc>
          <w:tcPr>
            <w:tcW w:w="1526" w:type="dxa"/>
            <w:vMerge/>
            <w:vAlign w:val="center"/>
          </w:tcPr>
          <w:p w:rsidR="00603572" w:rsidRPr="00802D35" w:rsidRDefault="00603572" w:rsidP="00C22913">
            <w:pPr>
              <w:widowControl w:val="0"/>
              <w:spacing w:after="0" w:line="240" w:lineRule="auto"/>
              <w:jc w:val="center"/>
              <w:rPr>
                <w:rFonts w:ascii="Times New Roman" w:hAnsi="Times New Roman" w:cs="Times New Roman"/>
              </w:rPr>
            </w:pPr>
          </w:p>
        </w:tc>
        <w:tc>
          <w:tcPr>
            <w:tcW w:w="993" w:type="dxa"/>
            <w:textDirection w:val="btLr"/>
            <w:vAlign w:val="center"/>
          </w:tcPr>
          <w:p w:rsidR="00603572" w:rsidRPr="00802D35" w:rsidRDefault="00603572" w:rsidP="00C22913">
            <w:pPr>
              <w:spacing w:after="0" w:line="240" w:lineRule="auto"/>
              <w:ind w:left="113" w:right="113"/>
              <w:jc w:val="center"/>
              <w:rPr>
                <w:rFonts w:ascii="Times New Roman" w:hAnsi="Times New Roman" w:cs="Times New Roman"/>
                <w:vertAlign w:val="superscript"/>
              </w:rPr>
            </w:pPr>
            <w:r w:rsidRPr="00802D35">
              <w:rPr>
                <w:rFonts w:ascii="Times New Roman" w:hAnsi="Times New Roman" w:cs="Times New Roman"/>
              </w:rPr>
              <w:t>R</w:t>
            </w:r>
            <w:r w:rsidRPr="00802D35">
              <w:rPr>
                <w:rFonts w:ascii="Times New Roman" w:hAnsi="Times New Roman" w:cs="Times New Roman"/>
                <w:vertAlign w:val="superscript"/>
              </w:rPr>
              <w:t>2</w:t>
            </w:r>
          </w:p>
        </w:tc>
        <w:tc>
          <w:tcPr>
            <w:tcW w:w="555" w:type="dxa"/>
            <w:textDirection w:val="btLr"/>
            <w:vAlign w:val="center"/>
          </w:tcPr>
          <w:p w:rsidR="00603572" w:rsidRPr="00802D35" w:rsidRDefault="00603572" w:rsidP="00C22913">
            <w:pPr>
              <w:spacing w:after="0" w:line="240" w:lineRule="auto"/>
              <w:ind w:left="113" w:right="113"/>
              <w:jc w:val="center"/>
              <w:rPr>
                <w:rFonts w:ascii="Times New Roman" w:hAnsi="Times New Roman" w:cs="Times New Roman"/>
              </w:rPr>
            </w:pPr>
            <w:r w:rsidRPr="00802D35">
              <w:rPr>
                <w:rFonts w:ascii="Times New Roman" w:hAnsi="Times New Roman" w:cs="Times New Roman"/>
              </w:rPr>
              <w:t>RMSE</w:t>
            </w:r>
          </w:p>
        </w:tc>
        <w:tc>
          <w:tcPr>
            <w:tcW w:w="556" w:type="dxa"/>
            <w:textDirection w:val="btLr"/>
            <w:vAlign w:val="center"/>
          </w:tcPr>
          <w:p w:rsidR="00603572" w:rsidRPr="00802D35" w:rsidRDefault="00603572" w:rsidP="00C22913">
            <w:pPr>
              <w:spacing w:after="0" w:line="240" w:lineRule="auto"/>
              <w:ind w:left="113" w:right="113"/>
              <w:jc w:val="center"/>
              <w:rPr>
                <w:rFonts w:ascii="Times New Roman" w:hAnsi="Times New Roman" w:cs="Times New Roman"/>
              </w:rPr>
            </w:pPr>
            <w:r w:rsidRPr="00802D35">
              <w:rPr>
                <w:rFonts w:ascii="Times New Roman" w:hAnsi="Times New Roman" w:cs="Times New Roman"/>
              </w:rPr>
              <w:t>AIC</w:t>
            </w:r>
          </w:p>
        </w:tc>
        <w:tc>
          <w:tcPr>
            <w:tcW w:w="1015" w:type="dxa"/>
            <w:textDirection w:val="btLr"/>
            <w:vAlign w:val="center"/>
          </w:tcPr>
          <w:p w:rsidR="00603572" w:rsidRPr="00802D35" w:rsidRDefault="00603572" w:rsidP="00C22913">
            <w:pPr>
              <w:spacing w:after="0" w:line="240" w:lineRule="auto"/>
              <w:ind w:left="113" w:right="113"/>
              <w:jc w:val="center"/>
              <w:rPr>
                <w:rFonts w:ascii="Times New Roman" w:hAnsi="Times New Roman" w:cs="Times New Roman"/>
                <w:vertAlign w:val="superscript"/>
              </w:rPr>
            </w:pPr>
            <w:r w:rsidRPr="00802D35">
              <w:rPr>
                <w:rFonts w:ascii="Times New Roman" w:hAnsi="Times New Roman" w:cs="Times New Roman"/>
              </w:rPr>
              <w:t>R</w:t>
            </w:r>
            <w:r w:rsidRPr="00802D35">
              <w:rPr>
                <w:rFonts w:ascii="Times New Roman" w:hAnsi="Times New Roman" w:cs="Times New Roman"/>
                <w:vertAlign w:val="superscript"/>
              </w:rPr>
              <w:t>2</w:t>
            </w:r>
          </w:p>
        </w:tc>
        <w:tc>
          <w:tcPr>
            <w:tcW w:w="555" w:type="dxa"/>
            <w:textDirection w:val="btLr"/>
            <w:vAlign w:val="center"/>
          </w:tcPr>
          <w:p w:rsidR="00603572" w:rsidRPr="00802D35" w:rsidRDefault="00603572" w:rsidP="00C22913">
            <w:pPr>
              <w:spacing w:after="0" w:line="240" w:lineRule="auto"/>
              <w:ind w:left="113" w:right="113"/>
              <w:jc w:val="center"/>
              <w:rPr>
                <w:rFonts w:ascii="Times New Roman" w:hAnsi="Times New Roman" w:cs="Times New Roman"/>
              </w:rPr>
            </w:pPr>
            <w:r w:rsidRPr="00802D35">
              <w:rPr>
                <w:rFonts w:ascii="Times New Roman" w:hAnsi="Times New Roman" w:cs="Times New Roman"/>
              </w:rPr>
              <w:t>RMSE</w:t>
            </w:r>
          </w:p>
        </w:tc>
        <w:tc>
          <w:tcPr>
            <w:tcW w:w="556" w:type="dxa"/>
            <w:textDirection w:val="btLr"/>
            <w:vAlign w:val="center"/>
          </w:tcPr>
          <w:p w:rsidR="00603572" w:rsidRPr="00802D35" w:rsidRDefault="00603572" w:rsidP="00C22913">
            <w:pPr>
              <w:spacing w:after="0" w:line="240" w:lineRule="auto"/>
              <w:ind w:left="113" w:right="113"/>
              <w:jc w:val="center"/>
              <w:rPr>
                <w:rFonts w:ascii="Times New Roman" w:hAnsi="Times New Roman" w:cs="Times New Roman"/>
              </w:rPr>
            </w:pPr>
            <w:r w:rsidRPr="00802D35">
              <w:rPr>
                <w:rFonts w:ascii="Times New Roman" w:hAnsi="Times New Roman" w:cs="Times New Roman"/>
              </w:rPr>
              <w:t>AIC</w:t>
            </w:r>
          </w:p>
        </w:tc>
        <w:tc>
          <w:tcPr>
            <w:tcW w:w="1015" w:type="dxa"/>
            <w:textDirection w:val="btLr"/>
            <w:vAlign w:val="center"/>
          </w:tcPr>
          <w:p w:rsidR="00603572" w:rsidRPr="00802D35" w:rsidRDefault="00603572" w:rsidP="00C22913">
            <w:pPr>
              <w:spacing w:after="0" w:line="240" w:lineRule="auto"/>
              <w:ind w:left="113" w:right="113"/>
              <w:jc w:val="center"/>
              <w:rPr>
                <w:rFonts w:ascii="Times New Roman" w:hAnsi="Times New Roman" w:cs="Times New Roman"/>
                <w:vertAlign w:val="superscript"/>
              </w:rPr>
            </w:pPr>
            <w:r w:rsidRPr="00802D35">
              <w:rPr>
                <w:rFonts w:ascii="Times New Roman" w:hAnsi="Times New Roman" w:cs="Times New Roman"/>
              </w:rPr>
              <w:t>R</w:t>
            </w:r>
            <w:r w:rsidRPr="00802D35">
              <w:rPr>
                <w:rFonts w:ascii="Times New Roman" w:hAnsi="Times New Roman" w:cs="Times New Roman"/>
                <w:vertAlign w:val="superscript"/>
              </w:rPr>
              <w:t>2</w:t>
            </w:r>
          </w:p>
        </w:tc>
        <w:tc>
          <w:tcPr>
            <w:tcW w:w="555" w:type="dxa"/>
            <w:textDirection w:val="btLr"/>
            <w:vAlign w:val="center"/>
          </w:tcPr>
          <w:p w:rsidR="00603572" w:rsidRPr="00802D35" w:rsidRDefault="00603572" w:rsidP="00C22913">
            <w:pPr>
              <w:spacing w:after="0" w:line="240" w:lineRule="auto"/>
              <w:ind w:left="113" w:right="113"/>
              <w:jc w:val="center"/>
              <w:rPr>
                <w:rFonts w:ascii="Times New Roman" w:hAnsi="Times New Roman" w:cs="Times New Roman"/>
              </w:rPr>
            </w:pPr>
            <w:r w:rsidRPr="00802D35">
              <w:rPr>
                <w:rFonts w:ascii="Times New Roman" w:hAnsi="Times New Roman" w:cs="Times New Roman"/>
              </w:rPr>
              <w:t>RMSE</w:t>
            </w:r>
          </w:p>
        </w:tc>
        <w:tc>
          <w:tcPr>
            <w:tcW w:w="556" w:type="dxa"/>
            <w:textDirection w:val="btLr"/>
            <w:vAlign w:val="center"/>
          </w:tcPr>
          <w:p w:rsidR="00603572" w:rsidRPr="00802D35" w:rsidRDefault="00603572" w:rsidP="00C22913">
            <w:pPr>
              <w:spacing w:after="0" w:line="240" w:lineRule="auto"/>
              <w:ind w:left="113" w:right="113"/>
              <w:jc w:val="center"/>
              <w:rPr>
                <w:rFonts w:ascii="Times New Roman" w:hAnsi="Times New Roman" w:cs="Times New Roman"/>
              </w:rPr>
            </w:pPr>
            <w:r w:rsidRPr="00802D35">
              <w:rPr>
                <w:rFonts w:ascii="Times New Roman" w:hAnsi="Times New Roman" w:cs="Times New Roman"/>
              </w:rPr>
              <w:t>AIC</w:t>
            </w:r>
          </w:p>
        </w:tc>
        <w:tc>
          <w:tcPr>
            <w:tcW w:w="731" w:type="dxa"/>
            <w:vMerge/>
            <w:vAlign w:val="center"/>
          </w:tcPr>
          <w:p w:rsidR="00603572" w:rsidRPr="00802D35" w:rsidRDefault="00603572" w:rsidP="00C22913">
            <w:pPr>
              <w:widowControl w:val="0"/>
              <w:spacing w:after="0" w:line="240" w:lineRule="auto"/>
              <w:jc w:val="center"/>
              <w:rPr>
                <w:rFonts w:ascii="Times New Roman" w:hAnsi="Times New Roman" w:cs="Times New Roman"/>
                <w:color w:val="000000"/>
              </w:rPr>
            </w:pPr>
          </w:p>
        </w:tc>
        <w:tc>
          <w:tcPr>
            <w:tcW w:w="603" w:type="dxa"/>
            <w:vMerge/>
            <w:vAlign w:val="center"/>
          </w:tcPr>
          <w:p w:rsidR="00603572" w:rsidRPr="00802D35" w:rsidRDefault="00603572" w:rsidP="00C22913">
            <w:pPr>
              <w:widowControl w:val="0"/>
              <w:spacing w:after="0" w:line="240" w:lineRule="auto"/>
              <w:jc w:val="center"/>
              <w:rPr>
                <w:rFonts w:ascii="Times New Roman" w:hAnsi="Times New Roman" w:cs="Times New Roman"/>
                <w:color w:val="000000"/>
              </w:rPr>
            </w:pPr>
          </w:p>
        </w:tc>
        <w:tc>
          <w:tcPr>
            <w:tcW w:w="673" w:type="dxa"/>
            <w:vMerge/>
            <w:vAlign w:val="center"/>
          </w:tcPr>
          <w:p w:rsidR="00603572" w:rsidRPr="00802D35" w:rsidRDefault="00603572" w:rsidP="00C22913">
            <w:pPr>
              <w:widowControl w:val="0"/>
              <w:spacing w:after="0" w:line="240" w:lineRule="auto"/>
              <w:jc w:val="center"/>
              <w:rPr>
                <w:rFonts w:ascii="Times New Roman" w:hAnsi="Times New Roman" w:cs="Times New Roman"/>
              </w:rPr>
            </w:pPr>
          </w:p>
        </w:tc>
      </w:tr>
      <w:tr w:rsidR="00603572" w:rsidRPr="00802D35" w:rsidTr="00C22913">
        <w:tc>
          <w:tcPr>
            <w:tcW w:w="1526" w:type="dxa"/>
            <w:vAlign w:val="center"/>
          </w:tcPr>
          <w:p w:rsidR="00603572" w:rsidRPr="00802D35" w:rsidRDefault="00603572" w:rsidP="00C22913">
            <w:pPr>
              <w:spacing w:after="0" w:line="240" w:lineRule="auto"/>
              <w:jc w:val="both"/>
              <w:rPr>
                <w:rFonts w:ascii="Times New Roman" w:hAnsi="Times New Roman" w:cs="Times New Roman"/>
              </w:rPr>
            </w:pPr>
            <w:r w:rsidRPr="00802D35">
              <w:rPr>
                <w:rFonts w:ascii="Times New Roman" w:hAnsi="Times New Roman" w:cs="Times New Roman"/>
              </w:rPr>
              <w:t>Межбанковские вклады</w:t>
            </w:r>
          </w:p>
        </w:tc>
        <w:tc>
          <w:tcPr>
            <w:tcW w:w="993"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149946,24</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b/>
                <w:bCs/>
                <w:color w:val="000000"/>
              </w:rPr>
            </w:pPr>
            <w:r w:rsidRPr="00802D35">
              <w:rPr>
                <w:rFonts w:ascii="Times New Roman" w:hAnsi="Times New Roman" w:cs="Times New Roman"/>
                <w:b/>
                <w:bCs/>
                <w:color w:val="000000"/>
              </w:rPr>
              <w:t>38,72</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18,71</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177750,5</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42,16</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18,74</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196623,02</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44,34</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18,92</w:t>
            </w:r>
          </w:p>
        </w:tc>
        <w:tc>
          <w:tcPr>
            <w:tcW w:w="731"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0,496</w:t>
            </w:r>
          </w:p>
        </w:tc>
        <w:tc>
          <w:tcPr>
            <w:tcW w:w="60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1,87</w:t>
            </w:r>
          </w:p>
        </w:tc>
        <w:tc>
          <w:tcPr>
            <w:tcW w:w="67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2,09</w:t>
            </w:r>
          </w:p>
        </w:tc>
      </w:tr>
      <w:tr w:rsidR="00603572" w:rsidRPr="00802D35" w:rsidTr="00C22913">
        <w:tc>
          <w:tcPr>
            <w:tcW w:w="1526" w:type="dxa"/>
            <w:vAlign w:val="center"/>
          </w:tcPr>
          <w:p w:rsidR="00603572" w:rsidRPr="00802D35" w:rsidRDefault="00603572" w:rsidP="00C22913">
            <w:pPr>
              <w:spacing w:after="0" w:line="240" w:lineRule="auto"/>
              <w:rPr>
                <w:rFonts w:ascii="Times New Roman" w:hAnsi="Times New Roman" w:cs="Times New Roman"/>
              </w:rPr>
            </w:pPr>
            <w:r w:rsidRPr="00802D35">
              <w:rPr>
                <w:rFonts w:ascii="Times New Roman" w:hAnsi="Times New Roman" w:cs="Times New Roman"/>
              </w:rPr>
              <w:t>Займы полученные</w:t>
            </w:r>
          </w:p>
        </w:tc>
        <w:tc>
          <w:tcPr>
            <w:tcW w:w="993"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173825,08</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b/>
                <w:bCs/>
                <w:color w:val="000000"/>
              </w:rPr>
            </w:pPr>
            <w:r w:rsidRPr="00802D35">
              <w:rPr>
                <w:rFonts w:ascii="Times New Roman" w:hAnsi="Times New Roman" w:cs="Times New Roman"/>
                <w:b/>
                <w:bCs/>
                <w:color w:val="000000"/>
              </w:rPr>
              <w:t>41,69</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18,87</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178023,08</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42,19</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18,74</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200294,35</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44,75</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18,94</w:t>
            </w:r>
          </w:p>
        </w:tc>
        <w:tc>
          <w:tcPr>
            <w:tcW w:w="731" w:type="dxa"/>
            <w:vAlign w:val="center"/>
          </w:tcPr>
          <w:p w:rsidR="00603572" w:rsidRPr="00802D35" w:rsidRDefault="00603572" w:rsidP="00C22913">
            <w:pPr>
              <w:widowControl w:val="0"/>
              <w:spacing w:after="0" w:line="240" w:lineRule="auto"/>
              <w:jc w:val="center"/>
              <w:rPr>
                <w:rFonts w:ascii="Times New Roman" w:hAnsi="Times New Roman" w:cs="Times New Roman"/>
                <w:i/>
              </w:rPr>
            </w:pPr>
            <w:r w:rsidRPr="00802D35">
              <w:rPr>
                <w:rFonts w:ascii="Times New Roman" w:hAnsi="Times New Roman" w:cs="Times New Roman"/>
                <w:i/>
              </w:rPr>
              <w:t>-1,102</w:t>
            </w:r>
          </w:p>
        </w:tc>
        <w:tc>
          <w:tcPr>
            <w:tcW w:w="60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1,8</w:t>
            </w:r>
          </w:p>
        </w:tc>
        <w:tc>
          <w:tcPr>
            <w:tcW w:w="67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1,82</w:t>
            </w:r>
          </w:p>
        </w:tc>
      </w:tr>
      <w:tr w:rsidR="00603572" w:rsidRPr="00802D35" w:rsidTr="00C22913">
        <w:tc>
          <w:tcPr>
            <w:tcW w:w="1526" w:type="dxa"/>
            <w:vAlign w:val="center"/>
          </w:tcPr>
          <w:p w:rsidR="00603572" w:rsidRPr="00802D35" w:rsidRDefault="00603572" w:rsidP="00C22913">
            <w:pPr>
              <w:spacing w:after="0" w:line="240" w:lineRule="auto"/>
              <w:rPr>
                <w:rFonts w:ascii="Times New Roman" w:hAnsi="Times New Roman" w:cs="Times New Roman"/>
              </w:rPr>
            </w:pPr>
            <w:r w:rsidRPr="00802D35">
              <w:rPr>
                <w:rFonts w:ascii="Times New Roman" w:hAnsi="Times New Roman" w:cs="Times New Roman"/>
              </w:rPr>
              <w:t>Вклады клиентов</w:t>
            </w:r>
          </w:p>
        </w:tc>
        <w:tc>
          <w:tcPr>
            <w:tcW w:w="993"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177954,88</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b/>
                <w:color w:val="000000"/>
              </w:rPr>
            </w:pPr>
            <w:r w:rsidRPr="00802D35">
              <w:rPr>
                <w:rFonts w:ascii="Times New Roman" w:hAnsi="Times New Roman" w:cs="Times New Roman"/>
                <w:b/>
                <w:color w:val="000000"/>
              </w:rPr>
              <w:t>41,19</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18,89</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172819,95</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bCs/>
                <w:color w:val="000000"/>
              </w:rPr>
            </w:pPr>
            <w:r w:rsidRPr="00802D35">
              <w:rPr>
                <w:rFonts w:ascii="Times New Roman" w:hAnsi="Times New Roman" w:cs="Times New Roman"/>
                <w:bCs/>
                <w:color w:val="000000"/>
              </w:rPr>
              <w:t>41,57</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18,71</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187434,43</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43,29</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18,87</w:t>
            </w:r>
          </w:p>
        </w:tc>
        <w:tc>
          <w:tcPr>
            <w:tcW w:w="731" w:type="dxa"/>
            <w:vAlign w:val="center"/>
          </w:tcPr>
          <w:p w:rsidR="00603572" w:rsidRPr="00802D35" w:rsidRDefault="00603572" w:rsidP="00C22913">
            <w:pPr>
              <w:widowControl w:val="0"/>
              <w:spacing w:after="0" w:line="240" w:lineRule="auto"/>
              <w:jc w:val="center"/>
              <w:rPr>
                <w:rFonts w:ascii="Times New Roman" w:hAnsi="Times New Roman" w:cs="Times New Roman"/>
                <w:i/>
              </w:rPr>
            </w:pPr>
            <w:r w:rsidRPr="00802D35">
              <w:rPr>
                <w:rFonts w:ascii="Times New Roman" w:hAnsi="Times New Roman" w:cs="Times New Roman"/>
                <w:i/>
              </w:rPr>
              <w:t>1,209</w:t>
            </w:r>
          </w:p>
        </w:tc>
        <w:tc>
          <w:tcPr>
            <w:tcW w:w="60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2,0</w:t>
            </w:r>
          </w:p>
        </w:tc>
        <w:tc>
          <w:tcPr>
            <w:tcW w:w="67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3,16</w:t>
            </w:r>
          </w:p>
        </w:tc>
      </w:tr>
      <w:tr w:rsidR="00603572" w:rsidRPr="00802D35" w:rsidTr="00C22913">
        <w:tc>
          <w:tcPr>
            <w:tcW w:w="1526" w:type="dxa"/>
            <w:vAlign w:val="center"/>
          </w:tcPr>
          <w:p w:rsidR="00603572" w:rsidRPr="00802D35" w:rsidRDefault="00603572" w:rsidP="00C22913">
            <w:pPr>
              <w:spacing w:after="0" w:line="240" w:lineRule="auto"/>
              <w:rPr>
                <w:rFonts w:ascii="Times New Roman" w:hAnsi="Times New Roman" w:cs="Times New Roman"/>
              </w:rPr>
            </w:pPr>
            <w:r w:rsidRPr="00802D35">
              <w:rPr>
                <w:rFonts w:ascii="Times New Roman" w:hAnsi="Times New Roman" w:cs="Times New Roman"/>
              </w:rPr>
              <w:t>Выпущенные в обращение ценные бумаги</w:t>
            </w:r>
          </w:p>
        </w:tc>
        <w:tc>
          <w:tcPr>
            <w:tcW w:w="993"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143540,1</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b/>
                <w:bCs/>
                <w:color w:val="000000"/>
              </w:rPr>
            </w:pPr>
            <w:r w:rsidRPr="00802D35">
              <w:rPr>
                <w:rFonts w:ascii="Times New Roman" w:hAnsi="Times New Roman" w:cs="Times New Roman"/>
                <w:b/>
                <w:bCs/>
                <w:color w:val="000000"/>
              </w:rPr>
              <w:t>37,89</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18,61</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168253,67</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41,02</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18,68</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183720,44</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42,86</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18,85</w:t>
            </w:r>
          </w:p>
        </w:tc>
        <w:tc>
          <w:tcPr>
            <w:tcW w:w="731"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0,272</w:t>
            </w:r>
          </w:p>
        </w:tc>
        <w:tc>
          <w:tcPr>
            <w:tcW w:w="60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2,12</w:t>
            </w:r>
          </w:p>
        </w:tc>
        <w:tc>
          <w:tcPr>
            <w:tcW w:w="67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1,13</w:t>
            </w:r>
          </w:p>
        </w:tc>
      </w:tr>
      <w:tr w:rsidR="00603572" w:rsidRPr="00802D35" w:rsidTr="00C22913">
        <w:tc>
          <w:tcPr>
            <w:tcW w:w="1526" w:type="dxa"/>
            <w:vAlign w:val="center"/>
          </w:tcPr>
          <w:p w:rsidR="00603572" w:rsidRPr="00802D35" w:rsidRDefault="00603572" w:rsidP="00C22913">
            <w:pPr>
              <w:spacing w:after="0" w:line="240" w:lineRule="auto"/>
              <w:rPr>
                <w:rFonts w:ascii="Times New Roman" w:hAnsi="Times New Roman" w:cs="Times New Roman"/>
              </w:rPr>
            </w:pPr>
            <w:r w:rsidRPr="00802D35">
              <w:rPr>
                <w:rFonts w:ascii="Times New Roman" w:hAnsi="Times New Roman" w:cs="Times New Roman"/>
              </w:rPr>
              <w:t>Уставный капитал</w:t>
            </w:r>
          </w:p>
        </w:tc>
        <w:tc>
          <w:tcPr>
            <w:tcW w:w="993"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203467,51</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45,11</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19,05</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150313,88</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b/>
                <w:bCs/>
                <w:color w:val="000000"/>
              </w:rPr>
            </w:pPr>
            <w:r w:rsidRPr="00802D35">
              <w:rPr>
                <w:rFonts w:ascii="Times New Roman" w:hAnsi="Times New Roman" w:cs="Times New Roman"/>
                <w:b/>
                <w:bCs/>
                <w:color w:val="000000"/>
              </w:rPr>
              <w:t>38,77</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18,58</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166483,86</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40,80</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18,74</w:t>
            </w:r>
          </w:p>
        </w:tc>
        <w:tc>
          <w:tcPr>
            <w:tcW w:w="731" w:type="dxa"/>
            <w:vAlign w:val="center"/>
          </w:tcPr>
          <w:p w:rsidR="00603572" w:rsidRPr="00802D35" w:rsidRDefault="00603572" w:rsidP="00C22913">
            <w:pPr>
              <w:widowControl w:val="0"/>
              <w:spacing w:after="0" w:line="240" w:lineRule="auto"/>
              <w:jc w:val="center"/>
              <w:rPr>
                <w:rFonts w:ascii="Times New Roman" w:hAnsi="Times New Roman" w:cs="Times New Roman"/>
                <w:i/>
              </w:rPr>
            </w:pPr>
            <w:r w:rsidRPr="00802D35">
              <w:rPr>
                <w:rFonts w:ascii="Times New Roman" w:hAnsi="Times New Roman" w:cs="Times New Roman"/>
                <w:i/>
              </w:rPr>
              <w:t>4,748</w:t>
            </w:r>
          </w:p>
        </w:tc>
        <w:tc>
          <w:tcPr>
            <w:tcW w:w="60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2,25</w:t>
            </w:r>
          </w:p>
        </w:tc>
        <w:tc>
          <w:tcPr>
            <w:tcW w:w="673" w:type="dxa"/>
            <w:vAlign w:val="center"/>
          </w:tcPr>
          <w:p w:rsidR="00603572" w:rsidRPr="00802D35" w:rsidRDefault="00603572" w:rsidP="00C22913">
            <w:pPr>
              <w:widowControl w:val="0"/>
              <w:spacing w:after="0" w:line="240" w:lineRule="auto"/>
              <w:ind w:left="-144" w:right="-108"/>
              <w:jc w:val="center"/>
              <w:rPr>
                <w:rFonts w:ascii="Times New Roman" w:hAnsi="Times New Roman" w:cs="Times New Roman"/>
                <w:i/>
              </w:rPr>
            </w:pPr>
            <w:r w:rsidRPr="00802D35">
              <w:rPr>
                <w:rFonts w:ascii="Times New Roman" w:hAnsi="Times New Roman" w:cs="Times New Roman"/>
                <w:i/>
              </w:rPr>
              <w:t>25,15</w:t>
            </w:r>
          </w:p>
        </w:tc>
      </w:tr>
      <w:tr w:rsidR="00603572" w:rsidRPr="00802D35" w:rsidTr="00C22913">
        <w:tc>
          <w:tcPr>
            <w:tcW w:w="1526" w:type="dxa"/>
            <w:vAlign w:val="center"/>
          </w:tcPr>
          <w:p w:rsidR="00603572" w:rsidRPr="00802D35" w:rsidRDefault="00603572" w:rsidP="00C22913">
            <w:pPr>
              <w:spacing w:after="0" w:line="240" w:lineRule="auto"/>
              <w:rPr>
                <w:rFonts w:ascii="Times New Roman" w:hAnsi="Times New Roman" w:cs="Times New Roman"/>
              </w:rPr>
            </w:pPr>
            <w:r w:rsidRPr="00802D35">
              <w:rPr>
                <w:rFonts w:ascii="Times New Roman" w:hAnsi="Times New Roman" w:cs="Times New Roman"/>
              </w:rPr>
              <w:t>Резервный капитал</w:t>
            </w:r>
          </w:p>
        </w:tc>
        <w:tc>
          <w:tcPr>
            <w:tcW w:w="993"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206336,4</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45,42</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19,06</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153621,77</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b/>
                <w:bCs/>
                <w:color w:val="000000"/>
              </w:rPr>
            </w:pPr>
            <w:r w:rsidRPr="00802D35">
              <w:rPr>
                <w:rFonts w:ascii="Times New Roman" w:hAnsi="Times New Roman" w:cs="Times New Roman"/>
                <w:b/>
                <w:bCs/>
                <w:color w:val="000000"/>
              </w:rPr>
              <w:t>39,19</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18,58</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170516,97</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41,29</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18,77</w:t>
            </w:r>
          </w:p>
        </w:tc>
        <w:tc>
          <w:tcPr>
            <w:tcW w:w="731" w:type="dxa"/>
            <w:vAlign w:val="center"/>
          </w:tcPr>
          <w:p w:rsidR="00603572" w:rsidRPr="00802D35" w:rsidRDefault="00603572" w:rsidP="00C22913">
            <w:pPr>
              <w:widowControl w:val="0"/>
              <w:spacing w:after="0" w:line="240" w:lineRule="auto"/>
              <w:jc w:val="center"/>
              <w:rPr>
                <w:rFonts w:ascii="Times New Roman" w:hAnsi="Times New Roman" w:cs="Times New Roman"/>
                <w:i/>
              </w:rPr>
            </w:pPr>
            <w:r w:rsidRPr="00802D35">
              <w:rPr>
                <w:rFonts w:ascii="Times New Roman" w:hAnsi="Times New Roman" w:cs="Times New Roman"/>
                <w:i/>
              </w:rPr>
              <w:t>3,22</w:t>
            </w:r>
          </w:p>
        </w:tc>
        <w:tc>
          <w:tcPr>
            <w:tcW w:w="60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2,29</w:t>
            </w:r>
          </w:p>
        </w:tc>
        <w:tc>
          <w:tcPr>
            <w:tcW w:w="673" w:type="dxa"/>
            <w:vAlign w:val="center"/>
          </w:tcPr>
          <w:p w:rsidR="00603572" w:rsidRPr="00802D35" w:rsidRDefault="00603572" w:rsidP="00C22913">
            <w:pPr>
              <w:widowControl w:val="0"/>
              <w:spacing w:after="0" w:line="240" w:lineRule="auto"/>
              <w:ind w:left="-144" w:right="-108"/>
              <w:jc w:val="center"/>
              <w:rPr>
                <w:rFonts w:ascii="Times New Roman" w:hAnsi="Times New Roman" w:cs="Times New Roman"/>
                <w:i/>
              </w:rPr>
            </w:pPr>
            <w:r w:rsidRPr="00802D35">
              <w:rPr>
                <w:rFonts w:ascii="Times New Roman" w:hAnsi="Times New Roman" w:cs="Times New Roman"/>
                <w:i/>
              </w:rPr>
              <w:t>41,19</w:t>
            </w:r>
          </w:p>
        </w:tc>
      </w:tr>
      <w:tr w:rsidR="00603572" w:rsidRPr="00802D35" w:rsidTr="00C22913">
        <w:tc>
          <w:tcPr>
            <w:tcW w:w="1526" w:type="dxa"/>
            <w:vAlign w:val="center"/>
          </w:tcPr>
          <w:p w:rsidR="00603572" w:rsidRPr="00802D35" w:rsidRDefault="00603572" w:rsidP="00C22913">
            <w:pPr>
              <w:spacing w:after="0" w:line="240" w:lineRule="auto"/>
              <w:rPr>
                <w:rFonts w:ascii="Times New Roman" w:hAnsi="Times New Roman" w:cs="Times New Roman"/>
              </w:rPr>
            </w:pPr>
            <w:r w:rsidRPr="00802D35">
              <w:rPr>
                <w:rFonts w:ascii="Times New Roman" w:hAnsi="Times New Roman" w:cs="Times New Roman"/>
              </w:rPr>
              <w:t>Нераспределенная чистая прибыль  текущего года</w:t>
            </w:r>
          </w:p>
        </w:tc>
        <w:tc>
          <w:tcPr>
            <w:tcW w:w="993"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75518,6</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b/>
                <w:bCs/>
                <w:color w:val="000000"/>
              </w:rPr>
            </w:pPr>
            <w:r w:rsidRPr="00802D35">
              <w:rPr>
                <w:rFonts w:ascii="Times New Roman" w:hAnsi="Times New Roman" w:cs="Times New Roman"/>
                <w:b/>
                <w:bCs/>
                <w:color w:val="000000"/>
              </w:rPr>
              <w:t>27,48</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17,95</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83317,82</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28,87</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17,91</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85779,61</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29,29</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18,01</w:t>
            </w:r>
          </w:p>
        </w:tc>
        <w:tc>
          <w:tcPr>
            <w:tcW w:w="731"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0,441</w:t>
            </w:r>
          </w:p>
        </w:tc>
        <w:tc>
          <w:tcPr>
            <w:tcW w:w="60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1,57</w:t>
            </w:r>
          </w:p>
        </w:tc>
        <w:tc>
          <w:tcPr>
            <w:tcW w:w="67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4,1</w:t>
            </w:r>
          </w:p>
        </w:tc>
      </w:tr>
      <w:tr w:rsidR="00603572" w:rsidRPr="00802D35" w:rsidTr="00C22913">
        <w:tc>
          <w:tcPr>
            <w:tcW w:w="1526" w:type="dxa"/>
            <w:vAlign w:val="center"/>
          </w:tcPr>
          <w:p w:rsidR="00603572" w:rsidRPr="00802D35" w:rsidRDefault="00603572" w:rsidP="00C22913">
            <w:pPr>
              <w:spacing w:after="0" w:line="240" w:lineRule="auto"/>
              <w:rPr>
                <w:rFonts w:ascii="Times New Roman" w:hAnsi="Times New Roman" w:cs="Times New Roman"/>
              </w:rPr>
            </w:pPr>
            <w:r w:rsidRPr="00802D35">
              <w:rPr>
                <w:rFonts w:ascii="Times New Roman" w:hAnsi="Times New Roman" w:cs="Times New Roman"/>
              </w:rPr>
              <w:t>Прочие инструменты</w:t>
            </w:r>
          </w:p>
        </w:tc>
        <w:tc>
          <w:tcPr>
            <w:tcW w:w="993"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180721,1</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42,51</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18,91</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175673,47</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b/>
                <w:bCs/>
                <w:color w:val="000000"/>
              </w:rPr>
            </w:pPr>
            <w:r w:rsidRPr="00802D35">
              <w:rPr>
                <w:rFonts w:ascii="Times New Roman" w:hAnsi="Times New Roman" w:cs="Times New Roman"/>
                <w:b/>
                <w:bCs/>
                <w:color w:val="000000"/>
              </w:rPr>
              <w:t>41,91</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18,73</w:t>
            </w:r>
          </w:p>
        </w:tc>
        <w:tc>
          <w:tcPr>
            <w:tcW w:w="101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197464,54</w:t>
            </w:r>
          </w:p>
        </w:tc>
        <w:tc>
          <w:tcPr>
            <w:tcW w:w="555"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44,44</w:t>
            </w:r>
          </w:p>
        </w:tc>
        <w:tc>
          <w:tcPr>
            <w:tcW w:w="556" w:type="dxa"/>
            <w:vAlign w:val="center"/>
          </w:tcPr>
          <w:p w:rsidR="00603572" w:rsidRPr="00802D35" w:rsidRDefault="00603572" w:rsidP="00C22913">
            <w:pPr>
              <w:spacing w:after="0" w:line="240" w:lineRule="auto"/>
              <w:ind w:left="-108" w:right="-132"/>
              <w:jc w:val="center"/>
              <w:rPr>
                <w:rFonts w:ascii="Times New Roman" w:hAnsi="Times New Roman" w:cs="Times New Roman"/>
                <w:color w:val="000000"/>
              </w:rPr>
            </w:pPr>
            <w:r w:rsidRPr="00802D35">
              <w:rPr>
                <w:rFonts w:ascii="Times New Roman" w:hAnsi="Times New Roman" w:cs="Times New Roman"/>
                <w:color w:val="000000"/>
              </w:rPr>
              <w:t>18,93</w:t>
            </w:r>
          </w:p>
        </w:tc>
        <w:tc>
          <w:tcPr>
            <w:tcW w:w="731"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0,076</w:t>
            </w:r>
          </w:p>
        </w:tc>
        <w:tc>
          <w:tcPr>
            <w:tcW w:w="60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2,1</w:t>
            </w:r>
          </w:p>
        </w:tc>
        <w:tc>
          <w:tcPr>
            <w:tcW w:w="673" w:type="dxa"/>
            <w:vAlign w:val="center"/>
          </w:tcPr>
          <w:p w:rsidR="00603572" w:rsidRPr="00802D35" w:rsidRDefault="00603572" w:rsidP="00C22913">
            <w:pPr>
              <w:widowControl w:val="0"/>
              <w:spacing w:after="0" w:line="240" w:lineRule="auto"/>
              <w:jc w:val="center"/>
              <w:rPr>
                <w:rFonts w:ascii="Times New Roman" w:hAnsi="Times New Roman" w:cs="Times New Roman"/>
              </w:rPr>
            </w:pPr>
            <w:r w:rsidRPr="00802D35">
              <w:rPr>
                <w:rFonts w:ascii="Times New Roman" w:hAnsi="Times New Roman" w:cs="Times New Roman"/>
              </w:rPr>
              <w:t>2,88</w:t>
            </w:r>
          </w:p>
        </w:tc>
      </w:tr>
      <w:tr w:rsidR="00603572" w:rsidRPr="00802D35" w:rsidTr="00C22913">
        <w:tc>
          <w:tcPr>
            <w:tcW w:w="9889" w:type="dxa"/>
            <w:gridSpan w:val="13"/>
          </w:tcPr>
          <w:p w:rsidR="00603572" w:rsidRPr="00802D35" w:rsidRDefault="00603572" w:rsidP="00C22913">
            <w:pPr>
              <w:widowControl w:val="0"/>
              <w:spacing w:after="0" w:line="240" w:lineRule="auto"/>
              <w:jc w:val="both"/>
              <w:rPr>
                <w:rFonts w:ascii="Times New Roman" w:hAnsi="Times New Roman" w:cs="Times New Roman"/>
              </w:rPr>
            </w:pPr>
            <w:r w:rsidRPr="00802D35">
              <w:rPr>
                <w:rFonts w:ascii="Times New Roman" w:hAnsi="Times New Roman" w:cs="Times New Roman"/>
              </w:rPr>
              <w:t>Примечание – составлено на основании расчетов автора</w:t>
            </w:r>
          </w:p>
        </w:tc>
      </w:tr>
    </w:tbl>
    <w:p w:rsidR="00603572" w:rsidRPr="00802D35" w:rsidRDefault="00603572" w:rsidP="00603572">
      <w:pPr>
        <w:widowControl w:val="0"/>
        <w:spacing w:after="0" w:line="240" w:lineRule="auto"/>
        <w:ind w:firstLine="567"/>
        <w:jc w:val="both"/>
        <w:rPr>
          <w:rFonts w:ascii="Times New Roman" w:hAnsi="Times New Roman" w:cs="Times New Roman"/>
          <w:sz w:val="28"/>
          <w:szCs w:val="28"/>
        </w:rPr>
      </w:pPr>
    </w:p>
    <w:p w:rsidR="002222C6" w:rsidRPr="00802D35" w:rsidRDefault="002222C6" w:rsidP="002222C6">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Итак, MSE = среднее ((наблюдаемое - прогнозируемое)</w:t>
      </w:r>
      <w:r w:rsidRPr="00802D35">
        <w:rPr>
          <w:rFonts w:ascii="Times New Roman" w:hAnsi="Times New Roman" w:cs="Times New Roman"/>
          <w:sz w:val="28"/>
          <w:szCs w:val="28"/>
          <w:vertAlign w:val="superscript"/>
        </w:rPr>
        <w:t>2</w:t>
      </w:r>
      <w:r w:rsidRPr="00802D35">
        <w:rPr>
          <w:rFonts w:ascii="Times New Roman" w:hAnsi="Times New Roman" w:cs="Times New Roman"/>
          <w:sz w:val="28"/>
          <w:szCs w:val="28"/>
        </w:rPr>
        <w:t>) и RMSE = sqrt (MSE). Чем ниже RMSE, тем лучше модель.</w:t>
      </w:r>
    </w:p>
    <w:p w:rsidR="002222C6" w:rsidRPr="00802D35" w:rsidRDefault="002222C6" w:rsidP="002222C6">
      <w:pPr>
        <w:shd w:val="clear" w:color="auto" w:fill="FFFFFF"/>
        <w:tabs>
          <w:tab w:val="left" w:pos="851"/>
        </w:tabs>
        <w:spacing w:after="0" w:line="240" w:lineRule="auto"/>
        <w:ind w:firstLine="567"/>
        <w:jc w:val="both"/>
        <w:rPr>
          <w:rStyle w:val="af"/>
          <w:rFonts w:ascii="Times New Roman" w:hAnsi="Times New Roman" w:cs="Times New Roman"/>
          <w:b w:val="0"/>
          <w:bCs w:val="0"/>
          <w:sz w:val="28"/>
          <w:szCs w:val="28"/>
        </w:rPr>
      </w:pPr>
      <w:r w:rsidRPr="00802D35">
        <w:rPr>
          <w:rFonts w:ascii="Times New Roman" w:eastAsia="Times New Roman" w:hAnsi="Times New Roman" w:cs="Times New Roman"/>
          <w:sz w:val="28"/>
          <w:szCs w:val="28"/>
          <w:lang w:eastAsia="ru-RU"/>
        </w:rPr>
        <w:t>Проблема с вышеуказанными показателями заключается в том, что они разумны для включения дополнительных переменных в модель, даже если эти переменные не имеют существенного вклада в объяснение результата. Другими словами, включение дополнительных переменных в модель всегда будет увеличивать R</w:t>
      </w:r>
      <w:r w:rsidRPr="00802D35">
        <w:rPr>
          <w:rFonts w:ascii="Times New Roman" w:eastAsia="Times New Roman" w:hAnsi="Times New Roman" w:cs="Times New Roman"/>
          <w:sz w:val="28"/>
          <w:szCs w:val="28"/>
          <w:vertAlign w:val="superscript"/>
          <w:lang w:eastAsia="ru-RU"/>
        </w:rPr>
        <w:t>2</w:t>
      </w:r>
      <w:r w:rsidRPr="00802D35">
        <w:rPr>
          <w:rFonts w:ascii="Times New Roman" w:eastAsia="Times New Roman" w:hAnsi="Times New Roman" w:cs="Times New Roman"/>
          <w:sz w:val="28"/>
          <w:szCs w:val="28"/>
          <w:lang w:eastAsia="ru-RU"/>
        </w:rPr>
        <w:t xml:space="preserve"> и уменьшать RMSE. Итак, нам нужна более надежная метрика для выбора модели. Поэтому дополнительно рассматривается </w:t>
      </w:r>
      <w:r w:rsidRPr="00802D35">
        <w:rPr>
          <w:rStyle w:val="af"/>
          <w:rFonts w:ascii="Times New Roman" w:hAnsi="Times New Roman" w:cs="Times New Roman"/>
          <w:b w:val="0"/>
          <w:sz w:val="28"/>
          <w:szCs w:val="28"/>
        </w:rPr>
        <w:t>AIC (информационный критерий Акаике) - метрика, разработанная японским статистиком Хиротугу Акаике, 1970 [</w:t>
      </w:r>
      <w:r w:rsidR="000B0564" w:rsidRPr="00802D35">
        <w:rPr>
          <w:rStyle w:val="af"/>
          <w:rFonts w:ascii="Times New Roman" w:hAnsi="Times New Roman" w:cs="Times New Roman"/>
          <w:b w:val="0"/>
          <w:sz w:val="28"/>
          <w:szCs w:val="28"/>
        </w:rPr>
        <w:t>95</w:t>
      </w:r>
      <w:r w:rsidRPr="00802D35">
        <w:rPr>
          <w:rStyle w:val="af"/>
          <w:rFonts w:ascii="Times New Roman" w:hAnsi="Times New Roman" w:cs="Times New Roman"/>
          <w:b w:val="0"/>
          <w:sz w:val="28"/>
          <w:szCs w:val="28"/>
        </w:rPr>
        <w:t>]. Основная идея AIC состоит в том, чтобы «наказывать» включение дополнительных переменных в модель. Он добавляет значение, которое увеличивает ошибку при включении дополнительных условий. Чем ниже AIC, тем лучше модель.</w:t>
      </w:r>
    </w:p>
    <w:p w:rsidR="002222C6" w:rsidRPr="00802D35" w:rsidRDefault="002222C6" w:rsidP="002222C6">
      <w:pPr>
        <w:widowControl w:val="0"/>
        <w:spacing w:after="0" w:line="240" w:lineRule="auto"/>
        <w:ind w:firstLine="567"/>
        <w:jc w:val="both"/>
        <w:rPr>
          <w:rStyle w:val="af"/>
          <w:rFonts w:ascii="Times New Roman" w:hAnsi="Times New Roman" w:cs="Times New Roman"/>
          <w:b w:val="0"/>
          <w:sz w:val="28"/>
          <w:szCs w:val="28"/>
        </w:rPr>
      </w:pPr>
      <w:r w:rsidRPr="00802D35">
        <w:rPr>
          <w:rFonts w:ascii="Times New Roman" w:hAnsi="Times New Roman" w:cs="Times New Roman"/>
          <w:sz w:val="28"/>
          <w:szCs w:val="28"/>
        </w:rPr>
        <w:t xml:space="preserve">Итак, в полученных результатах отражены показатели </w:t>
      </w:r>
      <w:r w:rsidRPr="00802D35">
        <w:rPr>
          <w:rStyle w:val="af"/>
          <w:rFonts w:ascii="Times New Roman" w:hAnsi="Times New Roman" w:cs="Times New Roman"/>
          <w:b w:val="0"/>
          <w:sz w:val="28"/>
          <w:szCs w:val="28"/>
        </w:rPr>
        <w:t>R</w:t>
      </w:r>
      <w:r w:rsidRPr="00802D35">
        <w:rPr>
          <w:rStyle w:val="af"/>
          <w:rFonts w:ascii="Times New Roman" w:hAnsi="Times New Roman" w:cs="Times New Roman"/>
          <w:b w:val="0"/>
          <w:sz w:val="28"/>
          <w:szCs w:val="28"/>
          <w:vertAlign w:val="superscript"/>
        </w:rPr>
        <w:t>2</w:t>
      </w:r>
      <w:r w:rsidRPr="00802D35">
        <w:rPr>
          <w:rStyle w:val="af"/>
          <w:rFonts w:ascii="Times New Roman" w:hAnsi="Times New Roman" w:cs="Times New Roman"/>
          <w:b w:val="0"/>
          <w:sz w:val="28"/>
          <w:szCs w:val="28"/>
        </w:rPr>
        <w:t xml:space="preserve">, </w:t>
      </w:r>
      <w:r w:rsidRPr="00802D35">
        <w:rPr>
          <w:rFonts w:ascii="Times New Roman" w:hAnsi="Times New Roman" w:cs="Times New Roman"/>
          <w:sz w:val="28"/>
          <w:szCs w:val="28"/>
        </w:rPr>
        <w:t xml:space="preserve">RMSE и </w:t>
      </w:r>
      <w:r w:rsidRPr="00802D35">
        <w:rPr>
          <w:rStyle w:val="af"/>
          <w:rFonts w:ascii="Times New Roman" w:hAnsi="Times New Roman" w:cs="Times New Roman"/>
          <w:b w:val="0"/>
          <w:sz w:val="28"/>
          <w:szCs w:val="28"/>
        </w:rPr>
        <w:t xml:space="preserve">AIC по каждому варианту регрессионной модели </w:t>
      </w:r>
      <w:r w:rsidRPr="00802D35">
        <w:rPr>
          <w:rFonts w:ascii="Times New Roman" w:hAnsi="Times New Roman" w:cs="Times New Roman"/>
          <w:sz w:val="28"/>
          <w:szCs w:val="28"/>
        </w:rPr>
        <w:t>(рисунок 25)</w:t>
      </w:r>
      <w:r w:rsidRPr="00802D35">
        <w:rPr>
          <w:rStyle w:val="af"/>
          <w:rFonts w:ascii="Times New Roman" w:hAnsi="Times New Roman" w:cs="Times New Roman"/>
          <w:b w:val="0"/>
          <w:sz w:val="28"/>
          <w:szCs w:val="28"/>
        </w:rPr>
        <w:t>.</w:t>
      </w:r>
    </w:p>
    <w:p w:rsidR="002222C6" w:rsidRPr="00802D35" w:rsidRDefault="002222C6" w:rsidP="002222C6">
      <w:pPr>
        <w:widowControl w:val="0"/>
        <w:spacing w:after="0" w:line="240" w:lineRule="auto"/>
        <w:ind w:firstLine="567"/>
        <w:jc w:val="both"/>
        <w:rPr>
          <w:rStyle w:val="af"/>
          <w:rFonts w:ascii="Times New Roman" w:hAnsi="Times New Roman" w:cs="Times New Roman"/>
          <w:b w:val="0"/>
          <w:sz w:val="28"/>
          <w:szCs w:val="28"/>
        </w:rPr>
      </w:pPr>
    </w:p>
    <w:p w:rsidR="002222C6" w:rsidRPr="00802D35" w:rsidRDefault="005368DA" w:rsidP="002222C6">
      <w:pPr>
        <w:spacing w:after="0" w:line="240" w:lineRule="auto"/>
        <w:ind w:firstLine="567"/>
        <w:jc w:val="center"/>
        <w:rPr>
          <w:rFonts w:ascii="Times New Roman" w:hAnsi="Times New Roman" w:cs="Times New Roman"/>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809792" behindDoc="0" locked="0" layoutInCell="1" allowOverlap="1">
                <wp:simplePos x="0" y="0"/>
                <wp:positionH relativeFrom="column">
                  <wp:posOffset>-220980</wp:posOffset>
                </wp:positionH>
                <wp:positionV relativeFrom="paragraph">
                  <wp:posOffset>-20955</wp:posOffset>
                </wp:positionV>
                <wp:extent cx="6477000" cy="8252460"/>
                <wp:effectExtent l="0" t="0" r="0" b="0"/>
                <wp:wrapTopAndBottom/>
                <wp:docPr id="3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252460"/>
                        </a:xfrm>
                        <a:prstGeom prst="rect">
                          <a:avLst/>
                        </a:prstGeom>
                        <a:solidFill>
                          <a:srgbClr val="FFFFFF"/>
                        </a:solidFill>
                        <a:ln w="9525">
                          <a:noFill/>
                          <a:miter lim="800000"/>
                          <a:headEnd/>
                          <a:tailEnd/>
                        </a:ln>
                      </wps:spPr>
                      <wps:txbx>
                        <w:txbxContent>
                          <w:p w:rsidR="000C2C64" w:rsidRDefault="000C2C64" w:rsidP="002222C6">
                            <w:pPr>
                              <w:rPr>
                                <w:noProof/>
                                <w:lang w:eastAsia="ru-RU"/>
                              </w:rPr>
                            </w:pPr>
                            <w:r>
                              <w:rPr>
                                <w:noProof/>
                                <w:lang w:eastAsia="ru-RU"/>
                              </w:rPr>
                              <w:drawing>
                                <wp:inline distT="0" distB="0" distL="0" distR="0">
                                  <wp:extent cx="3009900" cy="1821180"/>
                                  <wp:effectExtent l="0" t="0" r="0" b="762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6510" cy="1819129"/>
                                          </a:xfrm>
                                          <a:prstGeom prst="rect">
                                            <a:avLst/>
                                          </a:prstGeom>
                                          <a:noFill/>
                                          <a:ln>
                                            <a:noFill/>
                                          </a:ln>
                                        </pic:spPr>
                                      </pic:pic>
                                    </a:graphicData>
                                  </a:graphic>
                                </wp:inline>
                              </w:drawing>
                            </w:r>
                            <w:r w:rsidRPr="00885CAA">
                              <w:rPr>
                                <w:noProof/>
                                <w:lang w:eastAsia="ru-RU"/>
                              </w:rPr>
                              <w:t xml:space="preserve"> </w:t>
                            </w:r>
                            <w:r>
                              <w:rPr>
                                <w:noProof/>
                                <w:lang w:eastAsia="ru-RU"/>
                              </w:rPr>
                              <w:drawing>
                                <wp:inline distT="0" distB="0" distL="0" distR="0">
                                  <wp:extent cx="2971800" cy="1836420"/>
                                  <wp:effectExtent l="0" t="0" r="0" b="0"/>
                                  <wp:docPr id="395" name="Диаграмма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C2C64" w:rsidRDefault="000C2C64" w:rsidP="002222C6">
                            <w:r w:rsidRPr="00A548CA">
                              <w:rPr>
                                <w:b/>
                                <w:noProof/>
                                <w:lang w:eastAsia="ru-RU"/>
                              </w:rPr>
                              <w:drawing>
                                <wp:inline distT="0" distB="0" distL="0" distR="0">
                                  <wp:extent cx="3101340" cy="1821180"/>
                                  <wp:effectExtent l="0" t="0" r="3810" b="762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1340" cy="1821180"/>
                                          </a:xfrm>
                                          <a:prstGeom prst="rect">
                                            <a:avLst/>
                                          </a:prstGeom>
                                          <a:noFill/>
                                          <a:ln>
                                            <a:noFill/>
                                          </a:ln>
                                        </pic:spPr>
                                      </pic:pic>
                                    </a:graphicData>
                                  </a:graphic>
                                </wp:inline>
                              </w:drawing>
                            </w:r>
                            <w:r w:rsidRPr="00A548CA">
                              <w:t xml:space="preserve"> </w:t>
                            </w:r>
                            <w:r>
                              <w:rPr>
                                <w:noProof/>
                                <w:lang w:eastAsia="ru-RU"/>
                              </w:rPr>
                              <w:drawing>
                                <wp:inline distT="0" distB="0" distL="0" distR="0">
                                  <wp:extent cx="2941320" cy="1821180"/>
                                  <wp:effectExtent l="0" t="0" r="0" b="762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1320" cy="1821180"/>
                                          </a:xfrm>
                                          <a:prstGeom prst="rect">
                                            <a:avLst/>
                                          </a:prstGeom>
                                          <a:noFill/>
                                          <a:ln>
                                            <a:noFill/>
                                          </a:ln>
                                        </pic:spPr>
                                      </pic:pic>
                                    </a:graphicData>
                                  </a:graphic>
                                </wp:inline>
                              </w:drawing>
                            </w:r>
                          </w:p>
                          <w:p w:rsidR="000C2C64" w:rsidRDefault="000C2C64" w:rsidP="002222C6">
                            <w:r>
                              <w:rPr>
                                <w:noProof/>
                                <w:lang w:eastAsia="ru-RU"/>
                              </w:rPr>
                              <w:drawing>
                                <wp:inline distT="0" distB="0" distL="0" distR="0">
                                  <wp:extent cx="3078480" cy="1767840"/>
                                  <wp:effectExtent l="0" t="0" r="7620" b="381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8480" cy="1767840"/>
                                          </a:xfrm>
                                          <a:prstGeom prst="rect">
                                            <a:avLst/>
                                          </a:prstGeom>
                                          <a:noFill/>
                                          <a:ln>
                                            <a:noFill/>
                                          </a:ln>
                                        </pic:spPr>
                                      </pic:pic>
                                    </a:graphicData>
                                  </a:graphic>
                                </wp:inline>
                              </w:drawing>
                            </w:r>
                            <w:r>
                              <w:t xml:space="preserve">   </w:t>
                            </w:r>
                            <w:r w:rsidRPr="00A548CA">
                              <w:t xml:space="preserve"> </w:t>
                            </w:r>
                            <w:r>
                              <w:rPr>
                                <w:noProof/>
                                <w:lang w:eastAsia="ru-RU"/>
                              </w:rPr>
                              <w:drawing>
                                <wp:inline distT="0" distB="0" distL="0" distR="0">
                                  <wp:extent cx="2926080" cy="1691640"/>
                                  <wp:effectExtent l="0" t="0" r="7620" b="381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1691640"/>
                                          </a:xfrm>
                                          <a:prstGeom prst="rect">
                                            <a:avLst/>
                                          </a:prstGeom>
                                          <a:noFill/>
                                          <a:ln>
                                            <a:noFill/>
                                          </a:ln>
                                        </pic:spPr>
                                      </pic:pic>
                                    </a:graphicData>
                                  </a:graphic>
                                </wp:inline>
                              </w:drawing>
                            </w:r>
                          </w:p>
                          <w:p w:rsidR="000C2C64" w:rsidRDefault="000C2C64" w:rsidP="002222C6">
                            <w:r>
                              <w:rPr>
                                <w:noProof/>
                                <w:lang w:eastAsia="ru-RU"/>
                              </w:rPr>
                              <w:drawing>
                                <wp:inline distT="0" distB="0" distL="0" distR="0">
                                  <wp:extent cx="3139440" cy="2255520"/>
                                  <wp:effectExtent l="0" t="0" r="381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39440" cy="2255520"/>
                                          </a:xfrm>
                                          <a:prstGeom prst="rect">
                                            <a:avLst/>
                                          </a:prstGeom>
                                          <a:noFill/>
                                          <a:ln>
                                            <a:noFill/>
                                          </a:ln>
                                        </pic:spPr>
                                      </pic:pic>
                                    </a:graphicData>
                                  </a:graphic>
                                </wp:inline>
                              </w:drawing>
                            </w:r>
                            <w:r w:rsidRPr="00A548CA">
                              <w:t xml:space="preserve"> </w:t>
                            </w:r>
                            <w:r>
                              <w:rPr>
                                <w:noProof/>
                                <w:lang w:eastAsia="ru-RU"/>
                              </w:rPr>
                              <w:drawing>
                                <wp:inline distT="0" distB="0" distL="0" distR="0">
                                  <wp:extent cx="3009900" cy="22479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7.4pt;margin-top:-1.65pt;width:510pt;height:649.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" stroked="f">
                <v:textbox>
                  <w:txbxContent>
                    <w:p w:rsidR="000C2C64" w:rsidRDefault="000C2C64" w:rsidP="002222C6">
                      <w:pPr>
                        <w:rPr>
                          <w:noProof/>
                          <w:lang w:eastAsia="ru-RU"/>
                        </w:rPr>
                      </w:pPr>
                      <w:r>
                        <w:rPr>
                          <w:noProof/>
                          <w:lang w:eastAsia="ru-RU"/>
                        </w:rPr>
                        <w:drawing>
                          <wp:inline distT="0" distB="0" distL="0" distR="0">
                            <wp:extent cx="3009900" cy="1821180"/>
                            <wp:effectExtent l="0" t="0" r="0" b="762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06510" cy="1819129"/>
                                    </a:xfrm>
                                    <a:prstGeom prst="rect">
                                      <a:avLst/>
                                    </a:prstGeom>
                                    <a:noFill/>
                                    <a:ln>
                                      <a:noFill/>
                                    </a:ln>
                                  </pic:spPr>
                                </pic:pic>
                              </a:graphicData>
                            </a:graphic>
                          </wp:inline>
                        </w:drawing>
                      </w:r>
                      <w:r w:rsidRPr="00885CAA">
                        <w:rPr>
                          <w:noProof/>
                          <w:lang w:eastAsia="ru-RU"/>
                        </w:rPr>
                        <w:t xml:space="preserve"> </w:t>
                      </w:r>
                      <w:r>
                        <w:rPr>
                          <w:noProof/>
                          <w:lang w:eastAsia="ru-RU"/>
                        </w:rPr>
                        <w:drawing>
                          <wp:inline distT="0" distB="0" distL="0" distR="0">
                            <wp:extent cx="2971800" cy="1836420"/>
                            <wp:effectExtent l="0" t="0" r="0" b="0"/>
                            <wp:docPr id="395" name="Диаграмма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C2C64" w:rsidRDefault="000C2C64" w:rsidP="002222C6">
                      <w:r w:rsidRPr="00A548CA">
                        <w:rPr>
                          <w:b/>
                          <w:noProof/>
                          <w:lang w:eastAsia="ru-RU"/>
                        </w:rPr>
                        <w:drawing>
                          <wp:inline distT="0" distB="0" distL="0" distR="0">
                            <wp:extent cx="3101340" cy="1821180"/>
                            <wp:effectExtent l="0" t="0" r="3810" b="762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1340" cy="1821180"/>
                                    </a:xfrm>
                                    <a:prstGeom prst="rect">
                                      <a:avLst/>
                                    </a:prstGeom>
                                    <a:noFill/>
                                    <a:ln>
                                      <a:noFill/>
                                    </a:ln>
                                  </pic:spPr>
                                </pic:pic>
                              </a:graphicData>
                            </a:graphic>
                          </wp:inline>
                        </w:drawing>
                      </w:r>
                      <w:r w:rsidRPr="00A548CA">
                        <w:t xml:space="preserve"> </w:t>
                      </w:r>
                      <w:r>
                        <w:rPr>
                          <w:noProof/>
                          <w:lang w:eastAsia="ru-RU"/>
                        </w:rPr>
                        <w:drawing>
                          <wp:inline distT="0" distB="0" distL="0" distR="0">
                            <wp:extent cx="2941320" cy="1821180"/>
                            <wp:effectExtent l="0" t="0" r="0" b="762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41320" cy="1821180"/>
                                    </a:xfrm>
                                    <a:prstGeom prst="rect">
                                      <a:avLst/>
                                    </a:prstGeom>
                                    <a:noFill/>
                                    <a:ln>
                                      <a:noFill/>
                                    </a:ln>
                                  </pic:spPr>
                                </pic:pic>
                              </a:graphicData>
                            </a:graphic>
                          </wp:inline>
                        </w:drawing>
                      </w:r>
                    </w:p>
                    <w:p w:rsidR="000C2C64" w:rsidRDefault="000C2C64" w:rsidP="002222C6">
                      <w:r>
                        <w:rPr>
                          <w:noProof/>
                          <w:lang w:eastAsia="ru-RU"/>
                        </w:rPr>
                        <w:drawing>
                          <wp:inline distT="0" distB="0" distL="0" distR="0">
                            <wp:extent cx="3078480" cy="1767840"/>
                            <wp:effectExtent l="0" t="0" r="7620" b="381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78480" cy="1767840"/>
                                    </a:xfrm>
                                    <a:prstGeom prst="rect">
                                      <a:avLst/>
                                    </a:prstGeom>
                                    <a:noFill/>
                                    <a:ln>
                                      <a:noFill/>
                                    </a:ln>
                                  </pic:spPr>
                                </pic:pic>
                              </a:graphicData>
                            </a:graphic>
                          </wp:inline>
                        </w:drawing>
                      </w:r>
                      <w:r>
                        <w:t xml:space="preserve">   </w:t>
                      </w:r>
                      <w:r w:rsidRPr="00A548CA">
                        <w:t xml:space="preserve"> </w:t>
                      </w:r>
                      <w:r>
                        <w:rPr>
                          <w:noProof/>
                          <w:lang w:eastAsia="ru-RU"/>
                        </w:rPr>
                        <w:drawing>
                          <wp:inline distT="0" distB="0" distL="0" distR="0">
                            <wp:extent cx="2926080" cy="1691640"/>
                            <wp:effectExtent l="0" t="0" r="7620" b="381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1691640"/>
                                    </a:xfrm>
                                    <a:prstGeom prst="rect">
                                      <a:avLst/>
                                    </a:prstGeom>
                                    <a:noFill/>
                                    <a:ln>
                                      <a:noFill/>
                                    </a:ln>
                                  </pic:spPr>
                                </pic:pic>
                              </a:graphicData>
                            </a:graphic>
                          </wp:inline>
                        </w:drawing>
                      </w:r>
                    </w:p>
                    <w:p w:rsidR="000C2C64" w:rsidRDefault="000C2C64" w:rsidP="002222C6">
                      <w:r>
                        <w:rPr>
                          <w:noProof/>
                          <w:lang w:eastAsia="ru-RU"/>
                        </w:rPr>
                        <w:drawing>
                          <wp:inline distT="0" distB="0" distL="0" distR="0">
                            <wp:extent cx="3139440" cy="2255520"/>
                            <wp:effectExtent l="0" t="0" r="381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39440" cy="2255520"/>
                                    </a:xfrm>
                                    <a:prstGeom prst="rect">
                                      <a:avLst/>
                                    </a:prstGeom>
                                    <a:noFill/>
                                    <a:ln>
                                      <a:noFill/>
                                    </a:ln>
                                  </pic:spPr>
                                </pic:pic>
                              </a:graphicData>
                            </a:graphic>
                          </wp:inline>
                        </w:drawing>
                      </w:r>
                      <w:r w:rsidRPr="00A548CA">
                        <w:t xml:space="preserve"> </w:t>
                      </w:r>
                      <w:r>
                        <w:rPr>
                          <w:noProof/>
                          <w:lang w:eastAsia="ru-RU"/>
                        </w:rPr>
                        <w:drawing>
                          <wp:inline distT="0" distB="0" distL="0" distR="0">
                            <wp:extent cx="3009900" cy="22479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inline>
                        </w:drawing>
                      </w:r>
                    </w:p>
                  </w:txbxContent>
                </v:textbox>
                <w10:wrap type="topAndBottom"/>
              </v:shape>
            </w:pict>
          </mc:Fallback>
        </mc:AlternateContent>
      </w:r>
      <w:r w:rsidR="002222C6" w:rsidRPr="00802D35">
        <w:rPr>
          <w:rFonts w:ascii="Times New Roman" w:hAnsi="Times New Roman" w:cs="Times New Roman"/>
          <w:sz w:val="28"/>
          <w:szCs w:val="28"/>
        </w:rPr>
        <w:t>Рисунок 25 - Диаграммы разброса по факторам моделей (наиболее значимые для соответствующего фактора)</w:t>
      </w:r>
    </w:p>
    <w:p w:rsidR="002222C6" w:rsidRPr="00802D35" w:rsidRDefault="002222C6" w:rsidP="002222C6">
      <w:pPr>
        <w:spacing w:after="0" w:line="240" w:lineRule="auto"/>
        <w:ind w:firstLine="567"/>
        <w:jc w:val="both"/>
        <w:rPr>
          <w:rFonts w:ascii="Times New Roman" w:hAnsi="Times New Roman" w:cs="Times New Roman"/>
          <w:sz w:val="24"/>
          <w:szCs w:val="24"/>
        </w:rPr>
      </w:pPr>
    </w:p>
    <w:p w:rsidR="002222C6" w:rsidRPr="00802D35" w:rsidRDefault="002222C6" w:rsidP="002222C6">
      <w:pPr>
        <w:widowControl w:val="0"/>
        <w:spacing w:after="0" w:line="240" w:lineRule="auto"/>
        <w:ind w:firstLine="567"/>
        <w:jc w:val="both"/>
        <w:rPr>
          <w:rStyle w:val="af"/>
          <w:rFonts w:ascii="Times New Roman" w:hAnsi="Times New Roman" w:cs="Times New Roman"/>
          <w:b w:val="0"/>
          <w:noProof/>
          <w:sz w:val="28"/>
          <w:szCs w:val="28"/>
          <w:lang w:eastAsia="ru-RU"/>
        </w:rPr>
      </w:pPr>
      <w:r w:rsidRPr="00802D35">
        <w:rPr>
          <w:rFonts w:ascii="Times New Roman" w:hAnsi="Times New Roman" w:cs="Times New Roman"/>
          <w:sz w:val="24"/>
          <w:szCs w:val="24"/>
        </w:rPr>
        <w:t>Примечание - составлено автором на основании расчетов</w:t>
      </w:r>
      <w:r w:rsidRPr="00802D35">
        <w:rPr>
          <w:rStyle w:val="af"/>
          <w:rFonts w:ascii="Times New Roman" w:hAnsi="Times New Roman" w:cs="Times New Roman"/>
          <w:b w:val="0"/>
          <w:noProof/>
          <w:sz w:val="28"/>
          <w:szCs w:val="28"/>
          <w:lang w:eastAsia="ru-RU"/>
        </w:rPr>
        <w:t xml:space="preserve"> </w:t>
      </w:r>
    </w:p>
    <w:p w:rsidR="0076281C" w:rsidRPr="00802D35" w:rsidRDefault="0076281C" w:rsidP="0076281C">
      <w:pPr>
        <w:spacing w:after="0" w:line="240" w:lineRule="auto"/>
        <w:ind w:firstLine="567"/>
        <w:jc w:val="both"/>
        <w:rPr>
          <w:rStyle w:val="af"/>
          <w:rFonts w:ascii="Times New Roman" w:hAnsi="Times New Roman" w:cs="Times New Roman"/>
          <w:b w:val="0"/>
          <w:sz w:val="28"/>
          <w:szCs w:val="28"/>
        </w:rPr>
      </w:pPr>
      <w:r w:rsidRPr="00802D35">
        <w:rPr>
          <w:rStyle w:val="af"/>
          <w:rFonts w:ascii="Times New Roman" w:hAnsi="Times New Roman" w:cs="Times New Roman"/>
          <w:b w:val="0"/>
          <w:sz w:val="28"/>
          <w:szCs w:val="28"/>
        </w:rPr>
        <w:lastRenderedPageBreak/>
        <w:t xml:space="preserve">Жирным выделены значения среднеквадратичной ошибки, являющиеся наименьшими из представленных трех вариантов моделей. Можно сказать, что модели, отражающие наименьшие значения </w:t>
      </w:r>
      <w:r w:rsidRPr="00802D35">
        <w:rPr>
          <w:rFonts w:ascii="Times New Roman" w:hAnsi="Times New Roman" w:cs="Times New Roman"/>
          <w:sz w:val="28"/>
          <w:szCs w:val="28"/>
        </w:rPr>
        <w:t>RMSE наиболее точно описывают зависимость рассматриваемых факторов.</w:t>
      </w:r>
      <w:r w:rsidRPr="00802D35">
        <w:rPr>
          <w:rStyle w:val="af"/>
          <w:rFonts w:ascii="Times New Roman" w:hAnsi="Times New Roman" w:cs="Times New Roman"/>
          <w:b w:val="0"/>
          <w:sz w:val="28"/>
          <w:szCs w:val="28"/>
        </w:rPr>
        <w:t xml:space="preserve"> </w:t>
      </w:r>
    </w:p>
    <w:p w:rsidR="0076281C" w:rsidRPr="00802D35" w:rsidRDefault="0076281C" w:rsidP="0076281C">
      <w:pPr>
        <w:spacing w:after="0" w:line="240" w:lineRule="auto"/>
        <w:ind w:firstLine="567"/>
        <w:jc w:val="both"/>
        <w:rPr>
          <w:rFonts w:ascii="Times New Roman" w:hAnsi="Times New Roman" w:cs="Times New Roman"/>
          <w:sz w:val="28"/>
          <w:szCs w:val="28"/>
        </w:rPr>
      </w:pPr>
      <w:r w:rsidRPr="00802D35">
        <w:rPr>
          <w:rStyle w:val="af"/>
          <w:rFonts w:ascii="Times New Roman" w:hAnsi="Times New Roman" w:cs="Times New Roman"/>
          <w:b w:val="0"/>
          <w:sz w:val="28"/>
          <w:szCs w:val="28"/>
        </w:rPr>
        <w:t xml:space="preserve">Согласно полученным данным 5 из 8 факторов наиболее точно описываются моделью полиномиальной регрессии: </w:t>
      </w:r>
      <w:r w:rsidRPr="00802D35">
        <w:rPr>
          <w:rFonts w:ascii="Times New Roman" w:hAnsi="Times New Roman" w:cs="Times New Roman"/>
          <w:sz w:val="28"/>
          <w:szCs w:val="28"/>
        </w:rPr>
        <w:t>межбанковские вклады, займы полученные, вклады клиентов, выпущенные в обращение ценные бумаги и нераспределенная прибыль. При этом, ориентируясь на коэффициенты эластичности, можно отметить, что существенное влияние на экономический рост оказывают следующие инструменты банковского фондирования: займы, вклады, уставный и резервный капитал. Анализ показателей моделей регрессии позволил установить следующее:</w:t>
      </w:r>
    </w:p>
    <w:p w:rsidR="0076281C" w:rsidRPr="00802D35" w:rsidRDefault="0076281C" w:rsidP="00203A4B">
      <w:pPr>
        <w:pStyle w:val="a3"/>
        <w:numPr>
          <w:ilvl w:val="0"/>
          <w:numId w:val="13"/>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при увеличении займов, приобретаемых банками, на 1% ВВП способен уменьшиться менее, чем на 1%;</w:t>
      </w:r>
    </w:p>
    <w:p w:rsidR="0076281C" w:rsidRPr="00802D35" w:rsidRDefault="0076281C" w:rsidP="00203A4B">
      <w:pPr>
        <w:pStyle w:val="a3"/>
        <w:numPr>
          <w:ilvl w:val="0"/>
          <w:numId w:val="13"/>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при увеличении вкладов в БВУ на 1% ВВП способен увеличиться примерно в том же соотношении, то есть почти на 1%;</w:t>
      </w:r>
    </w:p>
    <w:p w:rsidR="0076281C" w:rsidRPr="00802D35" w:rsidRDefault="0076281C" w:rsidP="00203A4B">
      <w:pPr>
        <w:pStyle w:val="a3"/>
        <w:numPr>
          <w:ilvl w:val="0"/>
          <w:numId w:val="13"/>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при увеличении уставного капитала БВУ на 1% ВВП способен увеличиться более, чем на 1%;</w:t>
      </w:r>
    </w:p>
    <w:p w:rsidR="0076281C" w:rsidRPr="00802D35" w:rsidRDefault="0076281C" w:rsidP="00203A4B">
      <w:pPr>
        <w:pStyle w:val="a3"/>
        <w:numPr>
          <w:ilvl w:val="0"/>
          <w:numId w:val="13"/>
        </w:numPr>
        <w:tabs>
          <w:tab w:val="left" w:pos="851"/>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при увеличении резервного капитала БВУ на 1% ВВП способен увеличиться более, чем на 1%.</w:t>
      </w:r>
    </w:p>
    <w:p w:rsidR="0076281C" w:rsidRPr="00802D35" w:rsidRDefault="0076281C" w:rsidP="0076281C">
      <w:pPr>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rPr>
        <w:t xml:space="preserve">Если обратить внимание на показатели эластичности, то получается, что наиболее значим вклад уставного и резервного капиталов в модель. Однако, при рассмотрении показателя GQ можно отметить следующее. Критическое значение показателя GQ равно </w:t>
      </w:r>
      <w:r w:rsidRPr="00802D35">
        <w:rPr>
          <w:rFonts w:ascii="Times New Roman" w:hAnsi="Times New Roman" w:cs="Times New Roman"/>
          <w:sz w:val="28"/>
          <w:szCs w:val="28"/>
          <w:shd w:val="clear" w:color="auto" w:fill="FFFFFF"/>
        </w:rPr>
        <w:t xml:space="preserve">Fkp = 7,71. В результате расчетов </w:t>
      </w:r>
      <w:r w:rsidRPr="00802D35">
        <w:rPr>
          <w:rFonts w:ascii="Times New Roman" w:hAnsi="Times New Roman" w:cs="Times New Roman"/>
          <w:sz w:val="28"/>
          <w:szCs w:val="28"/>
        </w:rPr>
        <w:t>GQ по факторам модели были получены следующие результаты:</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F1 = 108946296,11/52067872,95 = 2,09. Поскольку F1&lt;F</w:t>
      </w:r>
      <w:r w:rsidRPr="00802D35">
        <w:rPr>
          <w:rFonts w:ascii="Times New Roman" w:hAnsi="Times New Roman" w:cs="Times New Roman"/>
          <w:sz w:val="28"/>
          <w:szCs w:val="28"/>
          <w:shd w:val="clear" w:color="auto" w:fill="FFFFFF"/>
          <w:vertAlign w:val="subscript"/>
        </w:rPr>
        <w:t>kp</w:t>
      </w:r>
      <w:r w:rsidRPr="00802D35">
        <w:rPr>
          <w:rFonts w:ascii="Times New Roman" w:hAnsi="Times New Roman" w:cs="Times New Roman"/>
          <w:sz w:val="28"/>
          <w:szCs w:val="28"/>
          <w:shd w:val="clear" w:color="auto" w:fill="FFFFFF"/>
        </w:rPr>
        <w:t> = 7,71, то гетероскедастичность отсутствует</w:t>
      </w:r>
      <w:r w:rsidRPr="00802D35">
        <w:rPr>
          <w:rFonts w:ascii="Times New Roman" w:hAnsi="Times New Roman" w:cs="Times New Roman"/>
          <w:b/>
          <w:bCs/>
          <w:sz w:val="28"/>
          <w:szCs w:val="28"/>
          <w:shd w:val="clear" w:color="auto" w:fill="FFFFFF"/>
        </w:rPr>
        <w:t>.</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F2 = 114033193,96/62793156,46 = 1,82. Поскольку F2&lt;F</w:t>
      </w:r>
      <w:r w:rsidRPr="00802D35">
        <w:rPr>
          <w:rFonts w:ascii="Times New Roman" w:hAnsi="Times New Roman" w:cs="Times New Roman"/>
          <w:sz w:val="28"/>
          <w:szCs w:val="28"/>
          <w:shd w:val="clear" w:color="auto" w:fill="FFFFFF"/>
          <w:vertAlign w:val="subscript"/>
        </w:rPr>
        <w:t>kp</w:t>
      </w:r>
      <w:r w:rsidRPr="00802D35">
        <w:rPr>
          <w:rFonts w:ascii="Times New Roman" w:hAnsi="Times New Roman" w:cs="Times New Roman"/>
          <w:sz w:val="28"/>
          <w:szCs w:val="28"/>
          <w:shd w:val="clear" w:color="auto" w:fill="FFFFFF"/>
        </w:rPr>
        <w:t> = 7,71, то гетероскедастичность отсутствует</w:t>
      </w:r>
      <w:r w:rsidRPr="00802D35">
        <w:rPr>
          <w:rFonts w:ascii="Times New Roman" w:hAnsi="Times New Roman" w:cs="Times New Roman"/>
          <w:b/>
          <w:bCs/>
          <w:sz w:val="28"/>
          <w:szCs w:val="28"/>
          <w:shd w:val="clear" w:color="auto" w:fill="FFFFFF"/>
        </w:rPr>
        <w:t>.</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F3 = 83285407,49/26375972,33 = 3,16. Поскольку F3&lt;F</w:t>
      </w:r>
      <w:r w:rsidRPr="00802D35">
        <w:rPr>
          <w:rFonts w:ascii="Times New Roman" w:hAnsi="Times New Roman" w:cs="Times New Roman"/>
          <w:sz w:val="28"/>
          <w:szCs w:val="28"/>
          <w:shd w:val="clear" w:color="auto" w:fill="FFFFFF"/>
          <w:vertAlign w:val="subscript"/>
        </w:rPr>
        <w:t>kp</w:t>
      </w:r>
      <w:r w:rsidRPr="00802D35">
        <w:rPr>
          <w:rFonts w:ascii="Times New Roman" w:hAnsi="Times New Roman" w:cs="Times New Roman"/>
          <w:sz w:val="28"/>
          <w:szCs w:val="28"/>
          <w:shd w:val="clear" w:color="auto" w:fill="FFFFFF"/>
        </w:rPr>
        <w:t> = 7,71, то гетероскедастичность отсутствует</w:t>
      </w:r>
      <w:r w:rsidRPr="00802D35">
        <w:rPr>
          <w:rFonts w:ascii="Times New Roman" w:hAnsi="Times New Roman" w:cs="Times New Roman"/>
          <w:b/>
          <w:bCs/>
          <w:sz w:val="28"/>
          <w:szCs w:val="28"/>
          <w:shd w:val="clear" w:color="auto" w:fill="FFFFFF"/>
        </w:rPr>
        <w:t>.</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F4 = 74896052,74/66061191,18 = 1,13. Поскольку F4&lt;F</w:t>
      </w:r>
      <w:r w:rsidRPr="00802D35">
        <w:rPr>
          <w:rFonts w:ascii="Times New Roman" w:hAnsi="Times New Roman" w:cs="Times New Roman"/>
          <w:sz w:val="28"/>
          <w:szCs w:val="28"/>
          <w:shd w:val="clear" w:color="auto" w:fill="FFFFFF"/>
          <w:vertAlign w:val="subscript"/>
        </w:rPr>
        <w:t>kp</w:t>
      </w:r>
      <w:r w:rsidRPr="00802D35">
        <w:rPr>
          <w:rFonts w:ascii="Times New Roman" w:hAnsi="Times New Roman" w:cs="Times New Roman"/>
          <w:sz w:val="28"/>
          <w:szCs w:val="28"/>
          <w:shd w:val="clear" w:color="auto" w:fill="FFFFFF"/>
        </w:rPr>
        <w:t> = 7,71, то гетероскедастичность отсутствует</w:t>
      </w:r>
      <w:r w:rsidRPr="00802D35">
        <w:rPr>
          <w:rFonts w:ascii="Times New Roman" w:hAnsi="Times New Roman" w:cs="Times New Roman"/>
          <w:b/>
          <w:bCs/>
          <w:sz w:val="28"/>
          <w:szCs w:val="28"/>
          <w:shd w:val="clear" w:color="auto" w:fill="FFFFFF"/>
        </w:rPr>
        <w:t>.</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F5 = 101880409,28/4050580,7 = 25,15. Поскольку F5&gt;F</w:t>
      </w:r>
      <w:r w:rsidRPr="00802D35">
        <w:rPr>
          <w:rFonts w:ascii="Times New Roman" w:hAnsi="Times New Roman" w:cs="Times New Roman"/>
          <w:sz w:val="28"/>
          <w:szCs w:val="28"/>
          <w:shd w:val="clear" w:color="auto" w:fill="FFFFFF"/>
          <w:vertAlign w:val="subscript"/>
        </w:rPr>
        <w:t>kp</w:t>
      </w:r>
      <w:r w:rsidRPr="00802D35">
        <w:rPr>
          <w:rFonts w:ascii="Times New Roman" w:hAnsi="Times New Roman" w:cs="Times New Roman"/>
          <w:sz w:val="28"/>
          <w:szCs w:val="28"/>
          <w:shd w:val="clear" w:color="auto" w:fill="FFFFFF"/>
        </w:rPr>
        <w:t> = 7,71, то гетероскедастичность присутствует</w:t>
      </w:r>
      <w:r w:rsidRPr="00802D35">
        <w:rPr>
          <w:rFonts w:ascii="Times New Roman" w:hAnsi="Times New Roman" w:cs="Times New Roman"/>
          <w:b/>
          <w:bCs/>
          <w:sz w:val="28"/>
          <w:szCs w:val="28"/>
          <w:shd w:val="clear" w:color="auto" w:fill="FFFFFF"/>
        </w:rPr>
        <w:t>.</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F6 = 114920505,95/2790331,17 = 41,19. Поскольку F6&gt;F</w:t>
      </w:r>
      <w:r w:rsidRPr="00802D35">
        <w:rPr>
          <w:rFonts w:ascii="Times New Roman" w:hAnsi="Times New Roman" w:cs="Times New Roman"/>
          <w:sz w:val="28"/>
          <w:szCs w:val="28"/>
          <w:shd w:val="clear" w:color="auto" w:fill="FFFFFF"/>
          <w:vertAlign w:val="subscript"/>
        </w:rPr>
        <w:t>kp</w:t>
      </w:r>
      <w:r w:rsidRPr="00802D35">
        <w:rPr>
          <w:rFonts w:ascii="Times New Roman" w:hAnsi="Times New Roman" w:cs="Times New Roman"/>
          <w:sz w:val="28"/>
          <w:szCs w:val="28"/>
          <w:shd w:val="clear" w:color="auto" w:fill="FFFFFF"/>
        </w:rPr>
        <w:t> = 7,71, то гетероскедастичность присутствует</w:t>
      </w:r>
      <w:r w:rsidRPr="00802D35">
        <w:rPr>
          <w:rFonts w:ascii="Times New Roman" w:hAnsi="Times New Roman" w:cs="Times New Roman"/>
          <w:b/>
          <w:bCs/>
          <w:sz w:val="28"/>
          <w:szCs w:val="28"/>
          <w:shd w:val="clear" w:color="auto" w:fill="FFFFFF"/>
        </w:rPr>
        <w:t>.</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F7 = 47418843,06/11573392,52 = 4,1. Поскольку F7&lt;F</w:t>
      </w:r>
      <w:r w:rsidRPr="00802D35">
        <w:rPr>
          <w:rFonts w:ascii="Times New Roman" w:hAnsi="Times New Roman" w:cs="Times New Roman"/>
          <w:sz w:val="28"/>
          <w:szCs w:val="28"/>
          <w:shd w:val="clear" w:color="auto" w:fill="FFFFFF"/>
          <w:vertAlign w:val="subscript"/>
        </w:rPr>
        <w:t>kp</w:t>
      </w:r>
      <w:r w:rsidRPr="00802D35">
        <w:rPr>
          <w:rFonts w:ascii="Times New Roman" w:hAnsi="Times New Roman" w:cs="Times New Roman"/>
          <w:sz w:val="28"/>
          <w:szCs w:val="28"/>
          <w:shd w:val="clear" w:color="auto" w:fill="FFFFFF"/>
        </w:rPr>
        <w:t> = 7,71, то гетероскедастичность отсутствует</w:t>
      </w:r>
      <w:r w:rsidRPr="00802D35">
        <w:rPr>
          <w:rFonts w:ascii="Times New Roman" w:hAnsi="Times New Roman" w:cs="Times New Roman"/>
          <w:b/>
          <w:bCs/>
          <w:sz w:val="28"/>
          <w:szCs w:val="28"/>
          <w:shd w:val="clear" w:color="auto" w:fill="FFFFFF"/>
        </w:rPr>
        <w:t>.</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F8 = 64171139,69/22270258,71 = 2,88. Поскольку F8&lt;F</w:t>
      </w:r>
      <w:r w:rsidRPr="00802D35">
        <w:rPr>
          <w:rFonts w:ascii="Times New Roman" w:hAnsi="Times New Roman" w:cs="Times New Roman"/>
          <w:sz w:val="28"/>
          <w:szCs w:val="28"/>
          <w:shd w:val="clear" w:color="auto" w:fill="FFFFFF"/>
          <w:vertAlign w:val="subscript"/>
        </w:rPr>
        <w:t>kp</w:t>
      </w:r>
      <w:r w:rsidRPr="00802D35">
        <w:rPr>
          <w:rFonts w:ascii="Times New Roman" w:hAnsi="Times New Roman" w:cs="Times New Roman"/>
          <w:sz w:val="28"/>
          <w:szCs w:val="28"/>
          <w:shd w:val="clear" w:color="auto" w:fill="FFFFFF"/>
        </w:rPr>
        <w:t> = 7,71, то гетероскедастичность отсутствует</w:t>
      </w:r>
      <w:r w:rsidRPr="00802D35">
        <w:rPr>
          <w:rFonts w:ascii="Times New Roman" w:hAnsi="Times New Roman" w:cs="Times New Roman"/>
          <w:b/>
          <w:bCs/>
          <w:sz w:val="28"/>
          <w:szCs w:val="28"/>
          <w:shd w:val="clear" w:color="auto" w:fill="FFFFFF"/>
        </w:rPr>
        <w:t>.</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 xml:space="preserve">Наличие гетероскедастичности по факторам 5 и 6 свидетельствует о наличии непостоянной вариации (дисперсии) случайной ошибки модели регрессии, что снижает эффективность полученных оценок. Следовательно, </w:t>
      </w:r>
      <w:r w:rsidRPr="00802D35">
        <w:rPr>
          <w:rFonts w:ascii="Times New Roman" w:hAnsi="Times New Roman" w:cs="Times New Roman"/>
          <w:sz w:val="28"/>
          <w:szCs w:val="28"/>
          <w:shd w:val="clear" w:color="auto" w:fill="FFFFFF"/>
        </w:rPr>
        <w:lastRenderedPageBreak/>
        <w:t>можно отметить, что уставный и резервный капитал не оказывают настолько серьезного влияния на экономический рост государства, как это показали коэффициенты эластичности и результаты регрессионных моделей. Следовательно, с учетом ошибок выявленная взаимосвязь может быть ошибочной.</w:t>
      </w:r>
    </w:p>
    <w:p w:rsidR="0076281C" w:rsidRPr="00802D35" w:rsidRDefault="0076281C" w:rsidP="0076281C">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 xml:space="preserve">При нахождении показателя </w:t>
      </w:r>
      <w:r w:rsidRPr="00802D35">
        <w:rPr>
          <w:rFonts w:ascii="Times New Roman" w:hAnsi="Times New Roman" w:cs="Times New Roman"/>
          <w:sz w:val="28"/>
          <w:szCs w:val="28"/>
        </w:rPr>
        <w:t xml:space="preserve">BG в указанных пределах </w:t>
      </w:r>
      <w:r w:rsidRPr="00802D35">
        <w:rPr>
          <w:rFonts w:ascii="Times New Roman" w:hAnsi="Times New Roman" w:cs="Times New Roman"/>
          <w:sz w:val="28"/>
          <w:szCs w:val="28"/>
          <w:shd w:val="clear" w:color="auto" w:fill="FFFFFF"/>
        </w:rPr>
        <w:t xml:space="preserve">1,5 &lt; </w:t>
      </w:r>
      <w:r w:rsidRPr="00802D35">
        <w:rPr>
          <w:rFonts w:ascii="Times New Roman" w:hAnsi="Times New Roman" w:cs="Times New Roman"/>
          <w:sz w:val="28"/>
          <w:szCs w:val="28"/>
        </w:rPr>
        <w:t>BG</w:t>
      </w:r>
      <w:r w:rsidRPr="00802D35">
        <w:rPr>
          <w:rFonts w:ascii="Times New Roman" w:hAnsi="Times New Roman" w:cs="Times New Roman"/>
          <w:sz w:val="28"/>
          <w:szCs w:val="28"/>
          <w:shd w:val="clear" w:color="auto" w:fill="FFFFFF"/>
        </w:rPr>
        <w:t xml:space="preserve"> &lt; 2,5, автокорреляция остатков отсутствует. Поскольку в наших моделях все значения </w:t>
      </w:r>
      <w:r w:rsidRPr="00802D35">
        <w:rPr>
          <w:rFonts w:ascii="Times New Roman" w:hAnsi="Times New Roman" w:cs="Times New Roman"/>
          <w:sz w:val="28"/>
          <w:szCs w:val="28"/>
        </w:rPr>
        <w:t>BG</w:t>
      </w:r>
      <w:r w:rsidRPr="00802D35">
        <w:rPr>
          <w:rFonts w:ascii="Times New Roman" w:hAnsi="Times New Roman" w:cs="Times New Roman"/>
          <w:sz w:val="28"/>
          <w:szCs w:val="28"/>
          <w:shd w:val="clear" w:color="auto" w:fill="FFFFFF"/>
        </w:rPr>
        <w:t xml:space="preserve"> находятся в данных пределах, то можно свидетельствовать об отсутствии автокорреляции остатков.</w:t>
      </w:r>
    </w:p>
    <w:p w:rsidR="0076281C" w:rsidRPr="00802D35" w:rsidRDefault="0076281C" w:rsidP="0076281C">
      <w:pPr>
        <w:widowControl w:val="0"/>
        <w:spacing w:after="0" w:line="240" w:lineRule="auto"/>
        <w:ind w:firstLine="567"/>
        <w:jc w:val="both"/>
        <w:rPr>
          <w:rFonts w:ascii="Times New Roman" w:hAnsi="Times New Roman" w:cs="Times New Roman"/>
          <w:b/>
          <w:bCs/>
          <w:sz w:val="28"/>
          <w:szCs w:val="28"/>
          <w:shd w:val="clear" w:color="auto" w:fill="FFFFFF"/>
        </w:rPr>
      </w:pPr>
      <w:r w:rsidRPr="00802D35">
        <w:rPr>
          <w:rFonts w:ascii="Times New Roman" w:hAnsi="Times New Roman" w:cs="Times New Roman"/>
          <w:bCs/>
          <w:sz w:val="28"/>
          <w:szCs w:val="28"/>
          <w:shd w:val="clear" w:color="auto" w:fill="FFFFFF"/>
        </w:rPr>
        <w:t>С целью оценки влияния эффекта посредством модели</w:t>
      </w:r>
      <w:r w:rsidRPr="00802D35">
        <w:rPr>
          <w:rFonts w:ascii="Times New Roman" w:hAnsi="Times New Roman" w:cs="Times New Roman"/>
          <w:b/>
          <w:bCs/>
          <w:sz w:val="28"/>
          <w:szCs w:val="28"/>
          <w:shd w:val="clear" w:color="auto" w:fill="FFFFFF"/>
        </w:rPr>
        <w:t xml:space="preserve"> </w:t>
      </w:r>
      <w:r w:rsidRPr="00802D35">
        <w:rPr>
          <w:rFonts w:ascii="Times New Roman" w:hAnsi="Times New Roman" w:cs="Times New Roman"/>
          <w:sz w:val="28"/>
          <w:szCs w:val="28"/>
        </w:rPr>
        <w:t xml:space="preserve">MANOVA все вышеуказанные инструменты фондирования были сгруппированы в следующие группы инструментов фондирования: вклады (депозиты клиентов и межбанковские вклады), займы (полученные кредиты и выпущенные ценные бумаги), собственные ресурсы (уставный и резервный капитал, нераспределенная прибыль) и прочие инструменты фондирования (таблица 3). </w:t>
      </w:r>
    </w:p>
    <w:p w:rsidR="0076281C" w:rsidRPr="00802D35" w:rsidRDefault="0076281C" w:rsidP="0076281C">
      <w:pPr>
        <w:widowControl w:val="0"/>
        <w:spacing w:after="0" w:line="240" w:lineRule="auto"/>
        <w:jc w:val="both"/>
        <w:rPr>
          <w:rFonts w:ascii="Times New Roman" w:hAnsi="Times New Roman" w:cs="Times New Roman"/>
          <w:sz w:val="28"/>
          <w:szCs w:val="28"/>
        </w:rPr>
      </w:pPr>
    </w:p>
    <w:p w:rsidR="0076281C" w:rsidRPr="00802D35" w:rsidRDefault="0076281C" w:rsidP="0076281C">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Таблица 3 - Результаты модели MANOVA</w:t>
      </w:r>
    </w:p>
    <w:p w:rsidR="0076281C" w:rsidRPr="00802D35" w:rsidRDefault="0076281C" w:rsidP="0076281C">
      <w:pPr>
        <w:widowControl w:val="0"/>
        <w:spacing w:after="0" w:line="240" w:lineRule="auto"/>
        <w:jc w:val="both"/>
        <w:rPr>
          <w:rFonts w:ascii="Times New Roman" w:hAnsi="Times New Roman" w:cs="Times New Roman"/>
          <w:sz w:val="28"/>
          <w:szCs w:val="28"/>
        </w:rPr>
      </w:pPr>
    </w:p>
    <w:tbl>
      <w:tblPr>
        <w:tblStyle w:val="af1"/>
        <w:tblW w:w="9833" w:type="dxa"/>
        <w:tblLayout w:type="fixed"/>
        <w:tblLook w:val="04A0" w:firstRow="1" w:lastRow="0" w:firstColumn="1" w:lastColumn="0" w:noHBand="0" w:noVBand="1"/>
      </w:tblPr>
      <w:tblGrid>
        <w:gridCol w:w="2943"/>
        <w:gridCol w:w="851"/>
        <w:gridCol w:w="992"/>
        <w:gridCol w:w="792"/>
        <w:gridCol w:w="851"/>
        <w:gridCol w:w="767"/>
        <w:gridCol w:w="874"/>
        <w:gridCol w:w="883"/>
        <w:gridCol w:w="880"/>
      </w:tblGrid>
      <w:tr w:rsidR="0076281C" w:rsidRPr="00802D35" w:rsidTr="000306C6">
        <w:tc>
          <w:tcPr>
            <w:tcW w:w="2943" w:type="dxa"/>
          </w:tcPr>
          <w:p w:rsidR="0076281C" w:rsidRPr="00802D35" w:rsidRDefault="0076281C" w:rsidP="000306C6">
            <w:pPr>
              <w:widowControl w:val="0"/>
              <w:jc w:val="center"/>
              <w:rPr>
                <w:rFonts w:ascii="Times New Roman" w:hAnsi="Times New Roman" w:cs="Times New Roman"/>
              </w:rPr>
            </w:pPr>
            <w:r w:rsidRPr="00802D35">
              <w:rPr>
                <w:rFonts w:ascii="Times New Roman" w:hAnsi="Times New Roman" w:cs="Times New Roman"/>
              </w:rPr>
              <w:t>Инструмент фондирования</w:t>
            </w:r>
          </w:p>
        </w:tc>
        <w:tc>
          <w:tcPr>
            <w:tcW w:w="851" w:type="dxa"/>
          </w:tcPr>
          <w:p w:rsidR="0076281C" w:rsidRPr="00802D35" w:rsidRDefault="0076281C" w:rsidP="000306C6">
            <w:pPr>
              <w:widowControl w:val="0"/>
              <w:jc w:val="center"/>
              <w:rPr>
                <w:rFonts w:ascii="Times New Roman" w:hAnsi="Times New Roman" w:cs="Times New Roman"/>
                <w:b/>
                <w:vertAlign w:val="subscript"/>
              </w:rPr>
            </w:pPr>
            <w:r w:rsidRPr="00802D35">
              <w:rPr>
                <w:rStyle w:val="af"/>
                <w:rFonts w:ascii="Times New Roman" w:hAnsi="Times New Roman" w:cs="Times New Roman"/>
                <w:b w:val="0"/>
                <w:i/>
                <w:iCs/>
              </w:rPr>
              <w:t>MS</w:t>
            </w:r>
            <w:r w:rsidRPr="00802D35">
              <w:rPr>
                <w:rStyle w:val="af"/>
                <w:rFonts w:ascii="Times New Roman" w:hAnsi="Times New Roman" w:cs="Times New Roman"/>
                <w:b w:val="0"/>
                <w:i/>
                <w:iCs/>
                <w:vertAlign w:val="subscript"/>
              </w:rPr>
              <w:t>E</w:t>
            </w:r>
          </w:p>
        </w:tc>
        <w:tc>
          <w:tcPr>
            <w:tcW w:w="992" w:type="dxa"/>
          </w:tcPr>
          <w:p w:rsidR="0076281C" w:rsidRPr="00802D35" w:rsidRDefault="0076281C" w:rsidP="000306C6">
            <w:pPr>
              <w:widowControl w:val="0"/>
              <w:jc w:val="center"/>
              <w:rPr>
                <w:rFonts w:ascii="Times New Roman" w:hAnsi="Times New Roman" w:cs="Times New Roman"/>
                <w:b/>
              </w:rPr>
            </w:pPr>
            <w:r w:rsidRPr="00802D35">
              <w:rPr>
                <w:rStyle w:val="af"/>
                <w:rFonts w:ascii="Times New Roman" w:hAnsi="Times New Roman" w:cs="Times New Roman"/>
                <w:b w:val="0"/>
                <w:i/>
                <w:iCs/>
              </w:rPr>
              <w:t>Std</w:t>
            </w:r>
          </w:p>
        </w:tc>
        <w:tc>
          <w:tcPr>
            <w:tcW w:w="792" w:type="dxa"/>
          </w:tcPr>
          <w:p w:rsidR="0076281C" w:rsidRPr="00802D35" w:rsidRDefault="0076281C" w:rsidP="000306C6">
            <w:pPr>
              <w:widowControl w:val="0"/>
              <w:jc w:val="center"/>
              <w:rPr>
                <w:rFonts w:ascii="Times New Roman" w:hAnsi="Times New Roman" w:cs="Times New Roman"/>
              </w:rPr>
            </w:pPr>
            <w:r w:rsidRPr="00802D35">
              <w:rPr>
                <w:rFonts w:ascii="Times New Roman" w:hAnsi="Times New Roman" w:cs="Times New Roman"/>
                <w:i/>
              </w:rPr>
              <w:t>F</w:t>
            </w:r>
            <w:r w:rsidRPr="00802D35">
              <w:rPr>
                <w:rFonts w:ascii="Times New Roman" w:hAnsi="Times New Roman" w:cs="Times New Roman"/>
              </w:rPr>
              <w:t>-ratio</w:t>
            </w:r>
          </w:p>
        </w:tc>
        <w:tc>
          <w:tcPr>
            <w:tcW w:w="851"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i/>
              </w:rPr>
              <w:t>p</w:t>
            </w:r>
            <w:r w:rsidRPr="00802D35">
              <w:rPr>
                <w:rFonts w:ascii="Times New Roman" w:hAnsi="Times New Roman" w:cs="Times New Roman"/>
              </w:rPr>
              <w:t>-value</w:t>
            </w:r>
          </w:p>
        </w:tc>
        <w:tc>
          <w:tcPr>
            <w:tcW w:w="767" w:type="dxa"/>
          </w:tcPr>
          <w:p w:rsidR="0076281C" w:rsidRPr="00802D35" w:rsidRDefault="0076281C" w:rsidP="000306C6">
            <w:pPr>
              <w:widowControl w:val="0"/>
              <w:jc w:val="center"/>
              <w:rPr>
                <w:rFonts w:ascii="Times New Roman" w:hAnsi="Times New Roman" w:cs="Times New Roman"/>
              </w:rPr>
            </w:pPr>
            <w:r w:rsidRPr="00802D35">
              <w:rPr>
                <w:rFonts w:ascii="Times New Roman" w:hAnsi="Times New Roman" w:cs="Times New Roman"/>
              </w:rPr>
              <w:t>Pillai</w:t>
            </w:r>
          </w:p>
        </w:tc>
        <w:tc>
          <w:tcPr>
            <w:tcW w:w="874" w:type="dxa"/>
          </w:tcPr>
          <w:p w:rsidR="0076281C" w:rsidRPr="00802D35" w:rsidRDefault="0076281C" w:rsidP="000306C6">
            <w:pPr>
              <w:widowControl w:val="0"/>
              <w:jc w:val="center"/>
              <w:rPr>
                <w:rFonts w:ascii="Times New Roman" w:hAnsi="Times New Roman" w:cs="Times New Roman"/>
              </w:rPr>
            </w:pPr>
            <w:r w:rsidRPr="00802D35">
              <w:rPr>
                <w:rFonts w:ascii="Times New Roman" w:hAnsi="Times New Roman" w:cs="Times New Roman"/>
              </w:rPr>
              <w:t>Wilks</w:t>
            </w:r>
          </w:p>
        </w:tc>
        <w:tc>
          <w:tcPr>
            <w:tcW w:w="883" w:type="dxa"/>
          </w:tcPr>
          <w:p w:rsidR="0076281C" w:rsidRPr="00802D35" w:rsidRDefault="0076281C" w:rsidP="000306C6">
            <w:pPr>
              <w:widowControl w:val="0"/>
              <w:jc w:val="center"/>
              <w:rPr>
                <w:rFonts w:ascii="Times New Roman" w:hAnsi="Times New Roman" w:cs="Times New Roman"/>
              </w:rPr>
            </w:pPr>
            <w:r w:rsidRPr="00802D35">
              <w:rPr>
                <w:rFonts w:ascii="Times New Roman" w:hAnsi="Times New Roman" w:cs="Times New Roman"/>
              </w:rPr>
              <w:t>Hotelling</w:t>
            </w:r>
          </w:p>
        </w:tc>
        <w:tc>
          <w:tcPr>
            <w:tcW w:w="880" w:type="dxa"/>
          </w:tcPr>
          <w:p w:rsidR="0076281C" w:rsidRPr="00802D35" w:rsidRDefault="0076281C" w:rsidP="000306C6">
            <w:pPr>
              <w:widowControl w:val="0"/>
              <w:jc w:val="center"/>
              <w:rPr>
                <w:rFonts w:ascii="Times New Roman" w:hAnsi="Times New Roman" w:cs="Times New Roman"/>
                <w:vertAlign w:val="superscript"/>
              </w:rPr>
            </w:pPr>
            <w:r w:rsidRPr="00802D35">
              <w:rPr>
                <w:rFonts w:ascii="Times New Roman" w:hAnsi="Times New Roman" w:cs="Times New Roman"/>
              </w:rPr>
              <w:t>Roy</w:t>
            </w:r>
          </w:p>
        </w:tc>
      </w:tr>
      <w:tr w:rsidR="0076281C" w:rsidRPr="00802D35" w:rsidTr="000306C6">
        <w:tc>
          <w:tcPr>
            <w:tcW w:w="2943" w:type="dxa"/>
            <w:vAlign w:val="center"/>
          </w:tcPr>
          <w:p w:rsidR="0076281C" w:rsidRPr="00802D35" w:rsidRDefault="0076281C" w:rsidP="000306C6">
            <w:pPr>
              <w:jc w:val="both"/>
              <w:rPr>
                <w:rFonts w:ascii="Times New Roman" w:hAnsi="Times New Roman" w:cs="Times New Roman"/>
              </w:rPr>
            </w:pPr>
            <w:r w:rsidRPr="00802D35">
              <w:rPr>
                <w:rFonts w:ascii="Times New Roman" w:hAnsi="Times New Roman" w:cs="Times New Roman"/>
              </w:rPr>
              <w:t xml:space="preserve">Вклады </w:t>
            </w:r>
          </w:p>
        </w:tc>
        <w:tc>
          <w:tcPr>
            <w:tcW w:w="851"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2,87</w:t>
            </w:r>
          </w:p>
        </w:tc>
        <w:tc>
          <w:tcPr>
            <w:tcW w:w="992"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400,13</w:t>
            </w:r>
          </w:p>
        </w:tc>
        <w:tc>
          <w:tcPr>
            <w:tcW w:w="792"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0,599</w:t>
            </w:r>
          </w:p>
        </w:tc>
        <w:tc>
          <w:tcPr>
            <w:tcW w:w="851" w:type="dxa"/>
            <w:vAlign w:val="bottom"/>
          </w:tcPr>
          <w:p w:rsidR="0076281C" w:rsidRPr="00802D35" w:rsidRDefault="0076281C" w:rsidP="000306C6">
            <w:pPr>
              <w:jc w:val="center"/>
              <w:rPr>
                <w:rFonts w:ascii="Times New Roman" w:hAnsi="Times New Roman" w:cs="Times New Roman"/>
                <w:i/>
              </w:rPr>
            </w:pPr>
            <w:r w:rsidRPr="00802D35">
              <w:rPr>
                <w:rFonts w:ascii="Times New Roman" w:hAnsi="Times New Roman" w:cs="Times New Roman"/>
                <w:i/>
              </w:rPr>
              <w:t>0,029</w:t>
            </w:r>
          </w:p>
        </w:tc>
        <w:tc>
          <w:tcPr>
            <w:tcW w:w="767"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0,862</w:t>
            </w:r>
          </w:p>
        </w:tc>
        <w:tc>
          <w:tcPr>
            <w:tcW w:w="874"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0,038</w:t>
            </w:r>
          </w:p>
        </w:tc>
        <w:tc>
          <w:tcPr>
            <w:tcW w:w="883"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0,867</w:t>
            </w:r>
          </w:p>
        </w:tc>
        <w:tc>
          <w:tcPr>
            <w:tcW w:w="880"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0,833</w:t>
            </w:r>
          </w:p>
        </w:tc>
      </w:tr>
      <w:tr w:rsidR="0076281C" w:rsidRPr="00802D35" w:rsidTr="000306C6">
        <w:tc>
          <w:tcPr>
            <w:tcW w:w="2943" w:type="dxa"/>
            <w:vAlign w:val="center"/>
          </w:tcPr>
          <w:p w:rsidR="0076281C" w:rsidRPr="00802D35" w:rsidRDefault="0076281C" w:rsidP="000306C6">
            <w:pPr>
              <w:rPr>
                <w:rFonts w:ascii="Times New Roman" w:hAnsi="Times New Roman" w:cs="Times New Roman"/>
              </w:rPr>
            </w:pPr>
            <w:r w:rsidRPr="00802D35">
              <w:rPr>
                <w:rFonts w:ascii="Times New Roman" w:hAnsi="Times New Roman" w:cs="Times New Roman"/>
              </w:rPr>
              <w:t xml:space="preserve">Займы </w:t>
            </w:r>
          </w:p>
        </w:tc>
        <w:tc>
          <w:tcPr>
            <w:tcW w:w="851"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34,66</w:t>
            </w:r>
          </w:p>
        </w:tc>
        <w:tc>
          <w:tcPr>
            <w:tcW w:w="992"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76005,1</w:t>
            </w:r>
          </w:p>
        </w:tc>
        <w:tc>
          <w:tcPr>
            <w:tcW w:w="792"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0,025</w:t>
            </w:r>
          </w:p>
        </w:tc>
        <w:tc>
          <w:tcPr>
            <w:tcW w:w="851"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0,877</w:t>
            </w:r>
          </w:p>
        </w:tc>
        <w:tc>
          <w:tcPr>
            <w:tcW w:w="767"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0,003</w:t>
            </w:r>
          </w:p>
        </w:tc>
        <w:tc>
          <w:tcPr>
            <w:tcW w:w="874"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0,997</w:t>
            </w:r>
          </w:p>
        </w:tc>
        <w:tc>
          <w:tcPr>
            <w:tcW w:w="883"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0,003</w:t>
            </w:r>
          </w:p>
        </w:tc>
        <w:tc>
          <w:tcPr>
            <w:tcW w:w="880"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0,003</w:t>
            </w:r>
          </w:p>
        </w:tc>
      </w:tr>
      <w:tr w:rsidR="0076281C" w:rsidRPr="00802D35" w:rsidTr="000306C6">
        <w:tc>
          <w:tcPr>
            <w:tcW w:w="2943" w:type="dxa"/>
            <w:vAlign w:val="center"/>
          </w:tcPr>
          <w:p w:rsidR="0076281C" w:rsidRPr="00802D35" w:rsidRDefault="0076281C" w:rsidP="000306C6">
            <w:pPr>
              <w:rPr>
                <w:rFonts w:ascii="Times New Roman" w:hAnsi="Times New Roman" w:cs="Times New Roman"/>
              </w:rPr>
            </w:pPr>
            <w:r w:rsidRPr="00802D35">
              <w:rPr>
                <w:rFonts w:ascii="Times New Roman" w:hAnsi="Times New Roman" w:cs="Times New Roman"/>
              </w:rPr>
              <w:t>Собственные ресурсы</w:t>
            </w:r>
          </w:p>
        </w:tc>
        <w:tc>
          <w:tcPr>
            <w:tcW w:w="851"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3,91</w:t>
            </w:r>
          </w:p>
        </w:tc>
        <w:tc>
          <w:tcPr>
            <w:tcW w:w="992"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1034,31</w:t>
            </w:r>
          </w:p>
        </w:tc>
        <w:tc>
          <w:tcPr>
            <w:tcW w:w="792"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1,216</w:t>
            </w:r>
          </w:p>
        </w:tc>
        <w:tc>
          <w:tcPr>
            <w:tcW w:w="851" w:type="dxa"/>
            <w:vAlign w:val="bottom"/>
          </w:tcPr>
          <w:p w:rsidR="0076281C" w:rsidRPr="00802D35" w:rsidRDefault="0076281C" w:rsidP="000306C6">
            <w:pPr>
              <w:jc w:val="center"/>
              <w:rPr>
                <w:rFonts w:ascii="Times New Roman" w:hAnsi="Times New Roman" w:cs="Times New Roman"/>
                <w:i/>
              </w:rPr>
            </w:pPr>
            <w:r w:rsidRPr="00802D35">
              <w:rPr>
                <w:rFonts w:ascii="Times New Roman" w:hAnsi="Times New Roman" w:cs="Times New Roman"/>
                <w:i/>
              </w:rPr>
              <w:t>0,149</w:t>
            </w:r>
          </w:p>
        </w:tc>
        <w:tc>
          <w:tcPr>
            <w:tcW w:w="767"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0,719</w:t>
            </w:r>
          </w:p>
        </w:tc>
        <w:tc>
          <w:tcPr>
            <w:tcW w:w="874"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0,181</w:t>
            </w:r>
          </w:p>
        </w:tc>
        <w:tc>
          <w:tcPr>
            <w:tcW w:w="883"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0,735</w:t>
            </w:r>
          </w:p>
        </w:tc>
        <w:tc>
          <w:tcPr>
            <w:tcW w:w="880"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0,724</w:t>
            </w:r>
          </w:p>
        </w:tc>
      </w:tr>
      <w:tr w:rsidR="0076281C" w:rsidRPr="00802D35" w:rsidTr="000306C6">
        <w:tc>
          <w:tcPr>
            <w:tcW w:w="2943" w:type="dxa"/>
            <w:vAlign w:val="center"/>
          </w:tcPr>
          <w:p w:rsidR="0076281C" w:rsidRPr="00802D35" w:rsidRDefault="0076281C" w:rsidP="000306C6">
            <w:pPr>
              <w:rPr>
                <w:rFonts w:ascii="Times New Roman" w:hAnsi="Times New Roman" w:cs="Times New Roman"/>
              </w:rPr>
            </w:pPr>
            <w:r w:rsidRPr="00802D35">
              <w:rPr>
                <w:rFonts w:ascii="Times New Roman" w:hAnsi="Times New Roman" w:cs="Times New Roman"/>
              </w:rPr>
              <w:t xml:space="preserve">Прочие </w:t>
            </w:r>
          </w:p>
        </w:tc>
        <w:tc>
          <w:tcPr>
            <w:tcW w:w="851" w:type="dxa"/>
          </w:tcPr>
          <w:p w:rsidR="0076281C" w:rsidRPr="00802D35" w:rsidRDefault="0076281C" w:rsidP="000306C6">
            <w:pPr>
              <w:widowControl w:val="0"/>
              <w:jc w:val="center"/>
              <w:rPr>
                <w:rFonts w:ascii="Times New Roman" w:hAnsi="Times New Roman" w:cs="Times New Roman"/>
              </w:rPr>
            </w:pPr>
            <w:r w:rsidRPr="00802D35">
              <w:rPr>
                <w:rFonts w:ascii="Times New Roman" w:hAnsi="Times New Roman" w:cs="Times New Roman"/>
              </w:rPr>
              <w:t>27,73</w:t>
            </w:r>
          </w:p>
        </w:tc>
        <w:tc>
          <w:tcPr>
            <w:tcW w:w="992" w:type="dxa"/>
          </w:tcPr>
          <w:p w:rsidR="0076281C" w:rsidRPr="00802D35" w:rsidRDefault="0076281C" w:rsidP="000306C6">
            <w:pPr>
              <w:widowControl w:val="0"/>
              <w:jc w:val="center"/>
              <w:rPr>
                <w:rFonts w:ascii="Times New Roman" w:hAnsi="Times New Roman" w:cs="Times New Roman"/>
              </w:rPr>
            </w:pPr>
            <w:r w:rsidRPr="00802D35">
              <w:rPr>
                <w:rFonts w:ascii="Times New Roman" w:hAnsi="Times New Roman" w:cs="Times New Roman"/>
              </w:rPr>
              <w:t>24501,1</w:t>
            </w:r>
          </w:p>
        </w:tc>
        <w:tc>
          <w:tcPr>
            <w:tcW w:w="792"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0,061</w:t>
            </w:r>
          </w:p>
        </w:tc>
        <w:tc>
          <w:tcPr>
            <w:tcW w:w="851" w:type="dxa"/>
          </w:tcPr>
          <w:p w:rsidR="0076281C" w:rsidRPr="00802D35" w:rsidRDefault="0076281C" w:rsidP="000306C6">
            <w:pPr>
              <w:widowControl w:val="0"/>
              <w:jc w:val="center"/>
              <w:rPr>
                <w:rFonts w:ascii="Times New Roman" w:hAnsi="Times New Roman" w:cs="Times New Roman"/>
              </w:rPr>
            </w:pPr>
            <w:r w:rsidRPr="00802D35">
              <w:rPr>
                <w:rFonts w:ascii="Times New Roman" w:hAnsi="Times New Roman" w:cs="Times New Roman"/>
              </w:rPr>
              <w:t>0,8107</w:t>
            </w:r>
          </w:p>
        </w:tc>
        <w:tc>
          <w:tcPr>
            <w:tcW w:w="767"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0,007</w:t>
            </w:r>
          </w:p>
        </w:tc>
        <w:tc>
          <w:tcPr>
            <w:tcW w:w="874"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0,993</w:t>
            </w:r>
          </w:p>
        </w:tc>
        <w:tc>
          <w:tcPr>
            <w:tcW w:w="883"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0,007</w:t>
            </w:r>
          </w:p>
        </w:tc>
        <w:tc>
          <w:tcPr>
            <w:tcW w:w="880" w:type="dxa"/>
            <w:vAlign w:val="bottom"/>
          </w:tcPr>
          <w:p w:rsidR="0076281C" w:rsidRPr="00802D35" w:rsidRDefault="0076281C" w:rsidP="000306C6">
            <w:pPr>
              <w:jc w:val="center"/>
              <w:rPr>
                <w:rFonts w:ascii="Times New Roman" w:hAnsi="Times New Roman" w:cs="Times New Roman"/>
              </w:rPr>
            </w:pPr>
            <w:r w:rsidRPr="00802D35">
              <w:rPr>
                <w:rFonts w:ascii="Times New Roman" w:hAnsi="Times New Roman" w:cs="Times New Roman"/>
              </w:rPr>
              <w:t>0,007</w:t>
            </w:r>
          </w:p>
        </w:tc>
      </w:tr>
      <w:tr w:rsidR="0076281C" w:rsidRPr="00802D35" w:rsidTr="000306C6">
        <w:tc>
          <w:tcPr>
            <w:tcW w:w="9833" w:type="dxa"/>
            <w:gridSpan w:val="9"/>
            <w:vAlign w:val="center"/>
          </w:tcPr>
          <w:p w:rsidR="0076281C" w:rsidRPr="00802D35" w:rsidRDefault="0076281C" w:rsidP="000306C6">
            <w:pPr>
              <w:jc w:val="both"/>
              <w:rPr>
                <w:rFonts w:ascii="Times New Roman" w:hAnsi="Times New Roman" w:cs="Times New Roman"/>
              </w:rPr>
            </w:pPr>
            <w:r w:rsidRPr="00802D35">
              <w:rPr>
                <w:rFonts w:ascii="Times New Roman" w:hAnsi="Times New Roman" w:cs="Times New Roman"/>
              </w:rPr>
              <w:t>Примечание – составлено на основании расчетов автора</w:t>
            </w:r>
          </w:p>
        </w:tc>
      </w:tr>
    </w:tbl>
    <w:p w:rsidR="0076281C" w:rsidRPr="00802D35" w:rsidRDefault="0076281C" w:rsidP="002222C6">
      <w:pPr>
        <w:widowControl w:val="0"/>
        <w:spacing w:after="0" w:line="240" w:lineRule="auto"/>
        <w:ind w:firstLine="567"/>
        <w:jc w:val="both"/>
        <w:rPr>
          <w:rFonts w:ascii="Times New Roman" w:hAnsi="Times New Roman" w:cs="Times New Roman"/>
          <w:sz w:val="28"/>
          <w:szCs w:val="28"/>
        </w:rPr>
      </w:pP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Полученные результаты модели показывают, что лишь по группе вкладов значение </w:t>
      </w:r>
      <w:r w:rsidRPr="00802D35">
        <w:rPr>
          <w:rFonts w:ascii="Times New Roman" w:hAnsi="Times New Roman" w:cs="Times New Roman"/>
          <w:i/>
          <w:sz w:val="28"/>
          <w:szCs w:val="28"/>
        </w:rPr>
        <w:t>p</w:t>
      </w:r>
      <w:r w:rsidRPr="00802D35">
        <w:rPr>
          <w:rFonts w:ascii="Times New Roman" w:hAnsi="Times New Roman" w:cs="Times New Roman"/>
          <w:sz w:val="28"/>
          <w:szCs w:val="28"/>
        </w:rPr>
        <w:t>-value оказалось ниже уровня значимости альфа = 0,05, что позволяет по данной группе отвергнуть нулевую гипотезу. Иными словами, вклады оказывают значимое влияние на ВВП Казахстана. Экономическая интерпретация этого означает, что чем больше БВУ способны привлечь вклады клиентов, тем больше возникает эффект экономического роста. Действительно, рост вкладов позволяет банкам получать сравнительно доступные и дешевые источники фондирования. Это, в свою очередь, обеспечивает повышение возможностей банков предоставлять кредиты и осуществлять инвестирование и финансирование проектов. Кредиты банков, как правило, направляются на создание и расширение производств различных секторов экономики государства, что способствует росту ВВП. Соответственно, возможности банков инвестировать и финансировать инвестиционные проекты оказывают аналогичное влияние на экономический рост Казахстана.</w:t>
      </w: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Следует отметить, что сравнительное небольшое отклонение по </w:t>
      </w:r>
      <w:r w:rsidRPr="00802D35">
        <w:rPr>
          <w:rFonts w:ascii="Times New Roman" w:hAnsi="Times New Roman" w:cs="Times New Roman"/>
          <w:i/>
          <w:sz w:val="28"/>
          <w:szCs w:val="28"/>
        </w:rPr>
        <w:t>p</w:t>
      </w:r>
      <w:r w:rsidRPr="00802D35">
        <w:rPr>
          <w:rFonts w:ascii="Times New Roman" w:hAnsi="Times New Roman" w:cs="Times New Roman"/>
          <w:sz w:val="28"/>
          <w:szCs w:val="28"/>
        </w:rPr>
        <w:t>-value можно заметить по группе собственные ресурсы банка. Здесь, хотя значение и выше уровня значимости альфа, тем не менее, риск составляет 14,9%, что в сравнении с другими группами не существенно. Таким образом, можно сказать, что собственные ресурсы оказывают влияние на экономический рост, но с определенной долей риска.</w:t>
      </w: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Коэффициенты Пилаи, Хоттелинга, Уилкса и Роя подтверждают значимость факторов групп. По группам «вклады» и «собственные ресурсы» лямбды Уилкса сравнительно низки, а остальные, наоборот, высоки. При этом, ламбды Роя ниже, чем лямбды Хоттелинга. Такое положение дел позволяет говорить о значимости соответствующей группы факторов в модели.</w:t>
      </w: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проведя анализ по регрессионным полиномиальным, экспоненциальным и асимптотическим моделям, а также модели MANOVA, логично вывести общие выводы относительно факторов банковского фондирования, оказывающих влияние на экономический рост Казахстана.</w:t>
      </w: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Все модели указывают на наличие высокого влияния вкладов клиентов БВУ на ВВП страны. Регрессионные модели также отметили наличие влияния уставного и резервного капитала БВУ на ВВП, однако, с указанием возможных ошибок в значимости моделей. Аналогичным образом, оценка по MANOVA показала, что имеется определенная степень влияния собственных средств банков на экономический рост Казахстана, но при риске 14,9%. Исходя из этого, можно сказать, что все же значительное и непосредственное влияние на экономический рост страны оказывают такие источники фондирования деятельности банков как вклады клиентов. Собственные ресурсы имеют значение и влияние, но оно не ярко выражено и имеет определенные риски ошибок.</w:t>
      </w:r>
    </w:p>
    <w:p w:rsidR="00BF65B9" w:rsidRPr="00802D35" w:rsidRDefault="00BF65B9" w:rsidP="000F120C">
      <w:pPr>
        <w:widowControl w:val="0"/>
        <w:spacing w:after="0" w:line="240" w:lineRule="auto"/>
        <w:ind w:firstLine="567"/>
        <w:jc w:val="both"/>
        <w:rPr>
          <w:rFonts w:ascii="Times New Roman" w:hAnsi="Times New Roman" w:cs="Times New Roman"/>
          <w:sz w:val="28"/>
          <w:szCs w:val="28"/>
        </w:rPr>
      </w:pPr>
    </w:p>
    <w:p w:rsidR="000F120C" w:rsidRPr="00802D35" w:rsidRDefault="000F120C" w:rsidP="000F120C">
      <w:pPr>
        <w:widowControl w:val="0"/>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b/>
          <w:sz w:val="28"/>
          <w:szCs w:val="28"/>
        </w:rPr>
        <w:t>2.3 Оценка влияния эндогенных и экзогенных факторов на фондирование банков второго уровня</w:t>
      </w: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Выдвигаемая нами гипотеза предполагала как наличие влияния фондирования банков на экономический рост страны, так и влияния макроэкономики на источники фондирования банковской деятельности. Первая часть гипотезы нами уже проверена и сделаны соответствующие выводы. В отношении второй части гипотезы полагаем, что поскольку оценка первой части позволила еще раз подчеркнуть значимость вкладов в БВУ как основного источника фондирования, то имеет смысл проанализировать влияние факторов на вклады. </w:t>
      </w: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 экономической литературе имеются различные исследования, подтверждающие наличие влияния макроэкономических факторов на портфель фондирования банков. </w:t>
      </w: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Анализ структуры фондирования показывает, что более 70% портфеля составляют вклады различных видов. Например, за 2018 год депозиты в тенге в массовом сегменте выросли на 16,4%, за 2020 г. – депозиты в БВУ Казахстана выросли на 16,1%. При этом, основной рост характерен вкладам в национальной валюте.</w:t>
      </w:r>
    </w:p>
    <w:p w:rsidR="000F120C" w:rsidRPr="00802D35" w:rsidRDefault="000F120C" w:rsidP="000F120C">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Своевременное принятие решения НБРК по базовой ставке в начале вспышки пандемии COVID-19 способствовали снижению угрозы падения тенговых активов, в результате чего долларизация упала до 37,3% (уровень 2013 г.) [</w:t>
      </w:r>
      <w:r w:rsidR="000B0564" w:rsidRPr="00802D35">
        <w:rPr>
          <w:rFonts w:ascii="Times New Roman" w:hAnsi="Times New Roman" w:cs="Times New Roman"/>
          <w:sz w:val="28"/>
          <w:szCs w:val="28"/>
        </w:rPr>
        <w:t>96</w:t>
      </w:r>
      <w:r w:rsidRPr="00802D35">
        <w:rPr>
          <w:rFonts w:ascii="Times New Roman" w:hAnsi="Times New Roman" w:cs="Times New Roman"/>
          <w:sz w:val="28"/>
          <w:szCs w:val="28"/>
        </w:rPr>
        <w:t>].</w:t>
      </w:r>
    </w:p>
    <w:p w:rsidR="000F120C" w:rsidRPr="00802D35" w:rsidRDefault="000F120C" w:rsidP="000F120C">
      <w:pPr>
        <w:pStyle w:val="1"/>
        <w:shd w:val="clear" w:color="auto" w:fill="FFFFFF"/>
        <w:spacing w:before="0" w:line="240" w:lineRule="auto"/>
        <w:ind w:firstLine="567"/>
        <w:jc w:val="both"/>
        <w:rPr>
          <w:rFonts w:ascii="Times New Roman" w:hAnsi="Times New Roman" w:cs="Times New Roman"/>
          <w:b w:val="0"/>
          <w:color w:val="auto"/>
          <w:shd w:val="clear" w:color="auto" w:fill="FFFFFF"/>
        </w:rPr>
      </w:pPr>
      <w:r w:rsidRPr="00802D35">
        <w:rPr>
          <w:rFonts w:ascii="Times New Roman" w:hAnsi="Times New Roman" w:cs="Times New Roman"/>
          <w:b w:val="0"/>
          <w:color w:val="auto"/>
        </w:rPr>
        <w:lastRenderedPageBreak/>
        <w:t xml:space="preserve">Прежде всего, проанализируем структуру фондирования в трех рассматриваемых нами БВУ Казахстана: </w:t>
      </w:r>
      <w:r w:rsidRPr="00802D35">
        <w:rPr>
          <w:rStyle w:val="HTML"/>
          <w:rFonts w:ascii="Times New Roman" w:hAnsi="Times New Roman" w:cs="Times New Roman"/>
          <w:b w:val="0"/>
          <w:i w:val="0"/>
          <w:color w:val="auto"/>
          <w:shd w:val="clear" w:color="auto" w:fill="FFFFFF"/>
        </w:rPr>
        <w:t xml:space="preserve">АО Halyk Bank, АО АТФБанк, АО </w:t>
      </w:r>
      <w:r w:rsidRPr="00802D35">
        <w:rPr>
          <w:rFonts w:ascii="Times New Roman" w:hAnsi="Times New Roman" w:cs="Times New Roman"/>
          <w:b w:val="0"/>
          <w:color w:val="auto"/>
          <w:shd w:val="clear" w:color="auto" w:fill="FFFFFF"/>
        </w:rPr>
        <w:t xml:space="preserve">Kaspi bank. Общая структура фондирования по рассматриваемым банкам представлена в Приложении </w:t>
      </w:r>
      <w:r w:rsidR="000B0564" w:rsidRPr="00802D35">
        <w:rPr>
          <w:rFonts w:ascii="Times New Roman" w:hAnsi="Times New Roman" w:cs="Times New Roman"/>
          <w:b w:val="0"/>
          <w:color w:val="auto"/>
          <w:shd w:val="clear" w:color="auto" w:fill="FFFFFF"/>
        </w:rPr>
        <w:t>В</w:t>
      </w:r>
      <w:r w:rsidRPr="00802D35">
        <w:rPr>
          <w:rFonts w:ascii="Times New Roman" w:hAnsi="Times New Roman" w:cs="Times New Roman"/>
          <w:b w:val="0"/>
          <w:color w:val="auto"/>
          <w:shd w:val="clear" w:color="auto" w:fill="FFFFFF"/>
        </w:rPr>
        <w:t>.</w:t>
      </w:r>
    </w:p>
    <w:p w:rsidR="0076281C" w:rsidRPr="00802D35" w:rsidRDefault="000F120C" w:rsidP="000F120C">
      <w:pPr>
        <w:widowControl w:val="0"/>
        <w:spacing w:after="0" w:line="240" w:lineRule="auto"/>
        <w:ind w:firstLine="567"/>
        <w:jc w:val="both"/>
        <w:rPr>
          <w:rStyle w:val="HTML"/>
          <w:rFonts w:ascii="Times New Roman" w:hAnsi="Times New Roman" w:cs="Times New Roman"/>
          <w:i w:val="0"/>
          <w:sz w:val="28"/>
          <w:szCs w:val="28"/>
          <w:shd w:val="clear" w:color="auto" w:fill="FFFFFF"/>
        </w:rPr>
      </w:pPr>
      <w:r w:rsidRPr="00802D35">
        <w:rPr>
          <w:rFonts w:ascii="Times New Roman" w:hAnsi="Times New Roman" w:cs="Times New Roman"/>
          <w:sz w:val="28"/>
          <w:szCs w:val="28"/>
          <w:shd w:val="clear" w:color="auto" w:fill="FFFFFF"/>
        </w:rPr>
        <w:t xml:space="preserve">В портфеле фондирования </w:t>
      </w:r>
      <w:r w:rsidRPr="00802D35">
        <w:rPr>
          <w:rStyle w:val="HTML"/>
          <w:rFonts w:ascii="Times New Roman" w:hAnsi="Times New Roman" w:cs="Times New Roman"/>
          <w:i w:val="0"/>
          <w:sz w:val="28"/>
          <w:szCs w:val="28"/>
          <w:shd w:val="clear" w:color="auto" w:fill="FFFFFF"/>
        </w:rPr>
        <w:t>АО Halyk Bank основную массу занимают вклады различных категорий клиентов (рисунок 26).</w:t>
      </w:r>
    </w:p>
    <w:p w:rsidR="00066AE8" w:rsidRPr="00802D35" w:rsidRDefault="00066AE8" w:rsidP="00066AE8">
      <w:pPr>
        <w:pStyle w:val="1"/>
        <w:shd w:val="clear" w:color="auto" w:fill="FFFFFF"/>
        <w:spacing w:before="0"/>
        <w:ind w:firstLine="567"/>
        <w:jc w:val="both"/>
        <w:rPr>
          <w:rStyle w:val="HTML"/>
          <w:b w:val="0"/>
          <w:i w:val="0"/>
          <w:shd w:val="clear" w:color="auto" w:fill="FFFFFF"/>
        </w:rPr>
      </w:pPr>
    </w:p>
    <w:p w:rsidR="00066AE8" w:rsidRPr="00802D35" w:rsidRDefault="00066AE8" w:rsidP="00066AE8">
      <w:pPr>
        <w:pStyle w:val="1"/>
        <w:shd w:val="clear" w:color="auto" w:fill="FFFFFF"/>
        <w:spacing w:before="0"/>
        <w:jc w:val="both"/>
        <w:rPr>
          <w:b w:val="0"/>
        </w:rPr>
      </w:pPr>
      <w:r w:rsidRPr="00802D35">
        <w:rPr>
          <w:noProof/>
          <w:lang w:eastAsia="ru-RU"/>
        </w:rPr>
        <w:drawing>
          <wp:inline distT="0" distB="0" distL="0" distR="0">
            <wp:extent cx="6103620" cy="2560320"/>
            <wp:effectExtent l="0" t="0" r="0" b="0"/>
            <wp:docPr id="403" name="Диаграмма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66AE8" w:rsidRPr="00802D35" w:rsidRDefault="00066AE8" w:rsidP="00066AE8">
      <w:pPr>
        <w:pStyle w:val="1"/>
        <w:shd w:val="clear" w:color="auto" w:fill="FFFFFF"/>
        <w:spacing w:before="0" w:line="240" w:lineRule="auto"/>
        <w:ind w:firstLine="567"/>
        <w:jc w:val="both"/>
        <w:rPr>
          <w:rFonts w:ascii="Times New Roman" w:hAnsi="Times New Roman" w:cs="Times New Roman"/>
          <w:b w:val="0"/>
          <w:color w:val="auto"/>
        </w:rPr>
      </w:pPr>
    </w:p>
    <w:p w:rsidR="00066AE8" w:rsidRPr="00802D35" w:rsidRDefault="00066AE8" w:rsidP="00066AE8">
      <w:pPr>
        <w:pStyle w:val="1"/>
        <w:shd w:val="clear" w:color="auto" w:fill="FFFFFF"/>
        <w:spacing w:before="0" w:line="240" w:lineRule="auto"/>
        <w:ind w:firstLine="567"/>
        <w:jc w:val="center"/>
        <w:rPr>
          <w:rStyle w:val="HTML"/>
          <w:rFonts w:ascii="Times New Roman" w:hAnsi="Times New Roman" w:cs="Times New Roman"/>
          <w:b w:val="0"/>
          <w:i w:val="0"/>
          <w:color w:val="auto"/>
          <w:shd w:val="clear" w:color="auto" w:fill="FFFFFF"/>
        </w:rPr>
      </w:pPr>
      <w:r w:rsidRPr="00802D35">
        <w:rPr>
          <w:rFonts w:ascii="Times New Roman" w:hAnsi="Times New Roman" w:cs="Times New Roman"/>
          <w:b w:val="0"/>
          <w:color w:val="auto"/>
        </w:rPr>
        <w:t xml:space="preserve">Рисунок 26 - Структура фондирования в </w:t>
      </w:r>
      <w:r w:rsidRPr="00802D35">
        <w:rPr>
          <w:rStyle w:val="HTML"/>
          <w:rFonts w:ascii="Times New Roman" w:hAnsi="Times New Roman" w:cs="Times New Roman"/>
          <w:b w:val="0"/>
          <w:i w:val="0"/>
          <w:color w:val="auto"/>
          <w:shd w:val="clear" w:color="auto" w:fill="FFFFFF"/>
        </w:rPr>
        <w:t>АО Halyk Bank, млрд тенге</w:t>
      </w:r>
    </w:p>
    <w:p w:rsidR="00066AE8" w:rsidRPr="00802D35" w:rsidRDefault="00066AE8" w:rsidP="00066AE8">
      <w:pPr>
        <w:pStyle w:val="1"/>
        <w:shd w:val="clear" w:color="auto" w:fill="FFFFFF"/>
        <w:spacing w:before="0" w:line="240" w:lineRule="auto"/>
        <w:ind w:firstLine="567"/>
        <w:jc w:val="both"/>
        <w:rPr>
          <w:rStyle w:val="HTML"/>
          <w:rFonts w:ascii="Times New Roman" w:hAnsi="Times New Roman" w:cs="Times New Roman"/>
          <w:b w:val="0"/>
          <w:i w:val="0"/>
          <w:color w:val="auto"/>
          <w:shd w:val="clear" w:color="auto" w:fill="FFFFFF"/>
        </w:rPr>
      </w:pPr>
    </w:p>
    <w:p w:rsidR="00767987" w:rsidRPr="00802D35" w:rsidRDefault="00066AE8" w:rsidP="00767987">
      <w:pPr>
        <w:pStyle w:val="2"/>
        <w:shd w:val="clear" w:color="auto" w:fill="FFFFFF"/>
        <w:spacing w:before="0" w:beforeAutospacing="0" w:after="0" w:afterAutospacing="0"/>
        <w:ind w:firstLine="567"/>
        <w:jc w:val="both"/>
        <w:rPr>
          <w:b w:val="0"/>
          <w:sz w:val="24"/>
          <w:szCs w:val="24"/>
        </w:rPr>
      </w:pPr>
      <w:r w:rsidRPr="00802D35">
        <w:rPr>
          <w:b w:val="0"/>
          <w:sz w:val="24"/>
          <w:szCs w:val="24"/>
        </w:rPr>
        <w:t>Примечание - составлено на основании источников [</w:t>
      </w:r>
      <w:r w:rsidR="000B0564" w:rsidRPr="00802D35">
        <w:rPr>
          <w:b w:val="0"/>
          <w:sz w:val="24"/>
          <w:szCs w:val="24"/>
        </w:rPr>
        <w:t>97</w:t>
      </w:r>
      <w:r w:rsidRPr="00802D35">
        <w:rPr>
          <w:b w:val="0"/>
          <w:sz w:val="24"/>
          <w:szCs w:val="24"/>
        </w:rPr>
        <w:t>], [</w:t>
      </w:r>
      <w:r w:rsidR="000B0564" w:rsidRPr="00802D35">
        <w:rPr>
          <w:b w:val="0"/>
          <w:sz w:val="24"/>
          <w:szCs w:val="24"/>
        </w:rPr>
        <w:t>98</w:t>
      </w:r>
      <w:r w:rsidRPr="00802D35">
        <w:rPr>
          <w:b w:val="0"/>
          <w:sz w:val="24"/>
          <w:szCs w:val="24"/>
        </w:rPr>
        <w:t>],[</w:t>
      </w:r>
      <w:r w:rsidR="000B0564" w:rsidRPr="00802D35">
        <w:rPr>
          <w:b w:val="0"/>
          <w:sz w:val="24"/>
          <w:szCs w:val="24"/>
        </w:rPr>
        <w:t>99</w:t>
      </w:r>
      <w:r w:rsidRPr="00802D35">
        <w:rPr>
          <w:b w:val="0"/>
          <w:sz w:val="24"/>
          <w:szCs w:val="24"/>
        </w:rPr>
        <w:t>],[</w:t>
      </w:r>
      <w:r w:rsidR="000B0564" w:rsidRPr="00802D35">
        <w:rPr>
          <w:b w:val="0"/>
          <w:sz w:val="24"/>
          <w:szCs w:val="24"/>
        </w:rPr>
        <w:t>100</w:t>
      </w:r>
      <w:r w:rsidRPr="00802D35">
        <w:rPr>
          <w:b w:val="0"/>
          <w:sz w:val="24"/>
          <w:szCs w:val="24"/>
        </w:rPr>
        <w:t>].</w:t>
      </w:r>
    </w:p>
    <w:p w:rsidR="00767987" w:rsidRPr="00802D35" w:rsidRDefault="00767987" w:rsidP="00767987">
      <w:pPr>
        <w:pStyle w:val="2"/>
        <w:shd w:val="clear" w:color="auto" w:fill="FFFFFF"/>
        <w:spacing w:before="0" w:beforeAutospacing="0" w:after="0" w:afterAutospacing="0"/>
        <w:ind w:firstLine="567"/>
        <w:jc w:val="both"/>
        <w:rPr>
          <w:b w:val="0"/>
          <w:sz w:val="24"/>
          <w:szCs w:val="24"/>
        </w:rPr>
      </w:pPr>
    </w:p>
    <w:p w:rsidR="00767987" w:rsidRPr="00802D35" w:rsidRDefault="00066AE8" w:rsidP="00767987">
      <w:pPr>
        <w:pStyle w:val="2"/>
        <w:shd w:val="clear" w:color="auto" w:fill="FFFFFF"/>
        <w:spacing w:before="0" w:beforeAutospacing="0" w:after="0" w:afterAutospacing="0"/>
        <w:ind w:firstLine="567"/>
        <w:jc w:val="both"/>
        <w:rPr>
          <w:b w:val="0"/>
          <w:bCs w:val="0"/>
          <w:sz w:val="28"/>
          <w:szCs w:val="28"/>
        </w:rPr>
      </w:pPr>
      <w:r w:rsidRPr="00802D35">
        <w:rPr>
          <w:b w:val="0"/>
          <w:sz w:val="28"/>
          <w:szCs w:val="28"/>
        </w:rPr>
        <w:t xml:space="preserve">Анализируя инструменты фондирования в </w:t>
      </w:r>
      <w:r w:rsidRPr="00802D35">
        <w:rPr>
          <w:rStyle w:val="HTML"/>
          <w:b w:val="0"/>
          <w:i w:val="0"/>
          <w:sz w:val="28"/>
          <w:szCs w:val="28"/>
          <w:shd w:val="clear" w:color="auto" w:fill="FFFFFF"/>
        </w:rPr>
        <w:t xml:space="preserve">АО Halyk Bank, можно отметить, что срочные вклады занимают основную долю. Вплоть до 2017 г. их доля превышала 50% портфеля. Однако, начиная с 2018 г. их доля сокращается и уже составляет </w:t>
      </w:r>
      <w:r w:rsidRPr="00802D35">
        <w:rPr>
          <w:b w:val="0"/>
          <w:bCs w:val="0"/>
          <w:sz w:val="28"/>
          <w:szCs w:val="28"/>
        </w:rPr>
        <w:t>47,19%, 46,66% и</w:t>
      </w:r>
      <w:r w:rsidRPr="00802D35">
        <w:rPr>
          <w:b w:val="0"/>
          <w:bCs w:val="0"/>
          <w:sz w:val="28"/>
          <w:szCs w:val="28"/>
        </w:rPr>
        <w:tab/>
        <w:t xml:space="preserve">49,89% соответственно. Текущие счета клиентов занимают второе место после срочных вкладов и на протяжении всего рассматриваемого периода имеют положительную тенденцию, за исключением 2019 г., когда их доля сократилась на 3,44%. На третьем месте по доле фондирования занимает нераспределенная прибыль банка, которая в среднем составляет 10-14% в портфеле фондирования и имеет положительную тенденцию. Так, нераспределенная прибыль банка выросла в 2018 г. на 7,8%, в 2019 г. – на 26,9%, а в 2020 г. – еще на 4,97%. </w:t>
      </w:r>
    </w:p>
    <w:p w:rsidR="00767987" w:rsidRPr="00802D35" w:rsidRDefault="00066AE8" w:rsidP="00767987">
      <w:pPr>
        <w:pStyle w:val="2"/>
        <w:shd w:val="clear" w:color="auto" w:fill="FFFFFF"/>
        <w:spacing w:before="0" w:beforeAutospacing="0" w:after="0" w:afterAutospacing="0"/>
        <w:ind w:firstLine="567"/>
        <w:jc w:val="both"/>
        <w:rPr>
          <w:b w:val="0"/>
          <w:bCs w:val="0"/>
          <w:sz w:val="28"/>
          <w:szCs w:val="28"/>
        </w:rPr>
      </w:pPr>
      <w:r w:rsidRPr="00802D35">
        <w:rPr>
          <w:b w:val="0"/>
          <w:bCs w:val="0"/>
          <w:sz w:val="28"/>
          <w:szCs w:val="28"/>
        </w:rPr>
        <w:t xml:space="preserve">В 2018 г. и 2019 г. десятка самых крупных клиентов банка составляла 27%, на начало 20201 г. их доля сократилась до 23%. Таким образом, концентрация фондирования невысокая (рисунок 27). </w:t>
      </w:r>
    </w:p>
    <w:p w:rsidR="00767987" w:rsidRPr="00802D35" w:rsidRDefault="00767987" w:rsidP="00767987">
      <w:pPr>
        <w:pStyle w:val="2"/>
        <w:shd w:val="clear" w:color="auto" w:fill="FFFFFF"/>
        <w:spacing w:before="0" w:beforeAutospacing="0" w:after="0" w:afterAutospacing="0"/>
        <w:ind w:firstLine="567"/>
        <w:jc w:val="both"/>
        <w:rPr>
          <w:b w:val="0"/>
          <w:bCs w:val="0"/>
          <w:sz w:val="20"/>
          <w:szCs w:val="20"/>
        </w:rPr>
      </w:pPr>
      <w:r w:rsidRPr="00802D35">
        <w:rPr>
          <w:b w:val="0"/>
          <w:bCs w:val="0"/>
          <w:sz w:val="28"/>
          <w:szCs w:val="28"/>
        </w:rPr>
        <w:t>Из диаграммы видно, что в структуре фондирования превалируют розничные срочные вклады и корпоративные текущие счета. При этом, с 2017 г. по 2019 г. темп роста срочных вкладов как физических, так и юридических лиц снижается, более того, в 2019 г. по вкладам физических лиц наблюдается снижение объемов.</w:t>
      </w:r>
    </w:p>
    <w:p w:rsidR="00767987" w:rsidRPr="00802D35" w:rsidRDefault="00767987" w:rsidP="00767987">
      <w:pPr>
        <w:pStyle w:val="1"/>
        <w:shd w:val="clear" w:color="auto" w:fill="FFFFFF"/>
        <w:spacing w:before="0"/>
        <w:jc w:val="both"/>
        <w:rPr>
          <w:b w:val="0"/>
          <w:bCs w:val="0"/>
        </w:rPr>
      </w:pPr>
      <w:r w:rsidRPr="00802D35">
        <w:rPr>
          <w:noProof/>
          <w:lang w:eastAsia="ru-RU"/>
        </w:rPr>
        <w:lastRenderedPageBreak/>
        <w:drawing>
          <wp:inline distT="0" distB="0" distL="0" distR="0">
            <wp:extent cx="6073140" cy="2087880"/>
            <wp:effectExtent l="0" t="0" r="3810" b="7620"/>
            <wp:docPr id="404" name="Диаграмма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67987" w:rsidRPr="00802D35" w:rsidRDefault="00767987" w:rsidP="00767987">
      <w:pPr>
        <w:pStyle w:val="1"/>
        <w:shd w:val="clear" w:color="auto" w:fill="FFFFFF"/>
        <w:spacing w:before="0" w:line="240" w:lineRule="auto"/>
        <w:ind w:firstLine="567"/>
        <w:jc w:val="both"/>
        <w:rPr>
          <w:rFonts w:ascii="Times New Roman" w:hAnsi="Times New Roman" w:cs="Times New Roman"/>
          <w:b w:val="0"/>
          <w:bCs w:val="0"/>
          <w:color w:val="auto"/>
        </w:rPr>
      </w:pPr>
      <w:r w:rsidRPr="00802D35">
        <w:rPr>
          <w:rFonts w:ascii="Times New Roman" w:hAnsi="Times New Roman" w:cs="Times New Roman"/>
          <w:b w:val="0"/>
          <w:bCs w:val="0"/>
          <w:color w:val="auto"/>
        </w:rPr>
        <w:t xml:space="preserve"> </w:t>
      </w:r>
    </w:p>
    <w:p w:rsidR="00767987" w:rsidRPr="00802D35" w:rsidRDefault="00767987" w:rsidP="00767987">
      <w:pPr>
        <w:pStyle w:val="1"/>
        <w:shd w:val="clear" w:color="auto" w:fill="FFFFFF"/>
        <w:spacing w:before="0" w:line="240" w:lineRule="auto"/>
        <w:ind w:firstLine="567"/>
        <w:jc w:val="center"/>
        <w:rPr>
          <w:rStyle w:val="HTML"/>
          <w:rFonts w:ascii="Times New Roman" w:hAnsi="Times New Roman" w:cs="Times New Roman"/>
          <w:b w:val="0"/>
          <w:i w:val="0"/>
          <w:color w:val="auto"/>
          <w:shd w:val="clear" w:color="auto" w:fill="FFFFFF"/>
        </w:rPr>
      </w:pPr>
      <w:r w:rsidRPr="00802D35">
        <w:rPr>
          <w:rFonts w:ascii="Times New Roman" w:hAnsi="Times New Roman" w:cs="Times New Roman"/>
          <w:b w:val="0"/>
          <w:bCs w:val="0"/>
          <w:color w:val="auto"/>
        </w:rPr>
        <w:t xml:space="preserve">Рисунок 27 - Структура вкладов </w:t>
      </w:r>
      <w:r w:rsidRPr="00802D35">
        <w:rPr>
          <w:rStyle w:val="HTML"/>
          <w:rFonts w:ascii="Times New Roman" w:hAnsi="Times New Roman" w:cs="Times New Roman"/>
          <w:b w:val="0"/>
          <w:i w:val="0"/>
          <w:color w:val="auto"/>
          <w:shd w:val="clear" w:color="auto" w:fill="FFFFFF"/>
        </w:rPr>
        <w:t>АО Halyk Bank по видам клиентов, млрд тенге</w:t>
      </w:r>
    </w:p>
    <w:p w:rsidR="00767987" w:rsidRPr="00802D35" w:rsidRDefault="00767987" w:rsidP="00767987">
      <w:pPr>
        <w:pStyle w:val="1"/>
        <w:shd w:val="clear" w:color="auto" w:fill="FFFFFF"/>
        <w:spacing w:before="0" w:line="240" w:lineRule="auto"/>
        <w:ind w:firstLine="567"/>
        <w:jc w:val="both"/>
        <w:rPr>
          <w:rStyle w:val="HTML"/>
          <w:rFonts w:ascii="Times New Roman" w:hAnsi="Times New Roman" w:cs="Times New Roman"/>
          <w:b w:val="0"/>
          <w:i w:val="0"/>
          <w:color w:val="auto"/>
          <w:shd w:val="clear" w:color="auto" w:fill="FFFFFF"/>
        </w:rPr>
      </w:pPr>
    </w:p>
    <w:p w:rsidR="00767987" w:rsidRPr="00802D35" w:rsidRDefault="00767987" w:rsidP="00767987">
      <w:pPr>
        <w:pStyle w:val="2"/>
        <w:shd w:val="clear" w:color="auto" w:fill="FFFFFF"/>
        <w:spacing w:before="0" w:beforeAutospacing="0" w:after="0" w:afterAutospacing="0"/>
        <w:ind w:firstLine="567"/>
        <w:jc w:val="both"/>
        <w:rPr>
          <w:b w:val="0"/>
          <w:sz w:val="24"/>
          <w:szCs w:val="24"/>
        </w:rPr>
      </w:pPr>
      <w:r w:rsidRPr="00802D35">
        <w:rPr>
          <w:b w:val="0"/>
          <w:sz w:val="24"/>
          <w:szCs w:val="24"/>
        </w:rPr>
        <w:t>Примечание - составлено на основании источников [</w:t>
      </w:r>
      <w:r w:rsidR="000B0564" w:rsidRPr="00802D35">
        <w:rPr>
          <w:b w:val="0"/>
          <w:sz w:val="24"/>
          <w:szCs w:val="24"/>
        </w:rPr>
        <w:t>97</w:t>
      </w:r>
      <w:r w:rsidRPr="00802D35">
        <w:rPr>
          <w:b w:val="0"/>
          <w:sz w:val="24"/>
          <w:szCs w:val="24"/>
        </w:rPr>
        <w:t>], [</w:t>
      </w:r>
      <w:r w:rsidR="000B0564" w:rsidRPr="00802D35">
        <w:rPr>
          <w:b w:val="0"/>
          <w:sz w:val="24"/>
          <w:szCs w:val="24"/>
        </w:rPr>
        <w:t>98</w:t>
      </w:r>
      <w:r w:rsidRPr="00802D35">
        <w:rPr>
          <w:b w:val="0"/>
          <w:sz w:val="24"/>
          <w:szCs w:val="24"/>
        </w:rPr>
        <w:t>],[</w:t>
      </w:r>
      <w:r w:rsidR="000B0564" w:rsidRPr="00802D35">
        <w:rPr>
          <w:b w:val="0"/>
          <w:sz w:val="24"/>
          <w:szCs w:val="24"/>
        </w:rPr>
        <w:t>99</w:t>
      </w:r>
      <w:r w:rsidRPr="00802D35">
        <w:rPr>
          <w:b w:val="0"/>
          <w:sz w:val="24"/>
          <w:szCs w:val="24"/>
        </w:rPr>
        <w:t>],[</w:t>
      </w:r>
      <w:r w:rsidR="000B0564" w:rsidRPr="00802D35">
        <w:rPr>
          <w:b w:val="0"/>
          <w:sz w:val="24"/>
          <w:szCs w:val="24"/>
        </w:rPr>
        <w:t>100</w:t>
      </w:r>
      <w:r w:rsidRPr="00802D35">
        <w:rPr>
          <w:b w:val="0"/>
          <w:sz w:val="24"/>
          <w:szCs w:val="24"/>
        </w:rPr>
        <w:t>].</w:t>
      </w:r>
    </w:p>
    <w:p w:rsidR="00767987" w:rsidRPr="00802D35" w:rsidRDefault="00767987" w:rsidP="00767987">
      <w:pPr>
        <w:pStyle w:val="2"/>
        <w:shd w:val="clear" w:color="auto" w:fill="FFFFFF"/>
        <w:spacing w:before="0" w:beforeAutospacing="0" w:after="0" w:afterAutospacing="0"/>
        <w:ind w:firstLine="567"/>
        <w:jc w:val="both"/>
        <w:rPr>
          <w:b w:val="0"/>
          <w:sz w:val="24"/>
          <w:szCs w:val="24"/>
        </w:rPr>
      </w:pPr>
    </w:p>
    <w:p w:rsidR="00767987" w:rsidRPr="00802D35" w:rsidRDefault="00767987" w:rsidP="00767987">
      <w:pPr>
        <w:pStyle w:val="2"/>
        <w:shd w:val="clear" w:color="auto" w:fill="FFFFFF"/>
        <w:spacing w:before="0" w:beforeAutospacing="0" w:after="0" w:afterAutospacing="0"/>
        <w:ind w:firstLine="567"/>
        <w:jc w:val="both"/>
        <w:rPr>
          <w:b w:val="0"/>
          <w:bCs w:val="0"/>
          <w:sz w:val="28"/>
          <w:szCs w:val="28"/>
        </w:rPr>
      </w:pPr>
      <w:r w:rsidRPr="00802D35">
        <w:rPr>
          <w:b w:val="0"/>
          <w:bCs w:val="0"/>
          <w:sz w:val="28"/>
          <w:szCs w:val="28"/>
        </w:rPr>
        <w:t>Так, срочные вклады розничных клиентов в 2019 г. снизились на 6%, корпоративных клиентов – выросли на 4,9%, что в совокупности привело к сокращению объемов срочных вкладов в целом.</w:t>
      </w:r>
    </w:p>
    <w:p w:rsidR="00767987" w:rsidRPr="00802D35" w:rsidRDefault="00767987" w:rsidP="00767987">
      <w:pPr>
        <w:pStyle w:val="2"/>
        <w:shd w:val="clear" w:color="auto" w:fill="FFFFFF"/>
        <w:spacing w:before="0" w:beforeAutospacing="0" w:after="0" w:afterAutospacing="0"/>
        <w:ind w:firstLine="567"/>
        <w:jc w:val="both"/>
        <w:rPr>
          <w:rStyle w:val="HTML"/>
          <w:b w:val="0"/>
          <w:i w:val="0"/>
          <w:sz w:val="28"/>
          <w:szCs w:val="28"/>
          <w:shd w:val="clear" w:color="auto" w:fill="FFFFFF"/>
        </w:rPr>
      </w:pPr>
      <w:r w:rsidRPr="00802D35">
        <w:rPr>
          <w:b w:val="0"/>
          <w:bCs w:val="0"/>
          <w:sz w:val="28"/>
          <w:szCs w:val="28"/>
        </w:rPr>
        <w:t xml:space="preserve">Выпущенные долговые ценные бумаги имеют тенденцию снижения и занимают четвертое место в структуре фондирования деятельности </w:t>
      </w:r>
      <w:r w:rsidRPr="00802D35">
        <w:rPr>
          <w:rStyle w:val="HTML"/>
          <w:b w:val="0"/>
          <w:i w:val="0"/>
          <w:sz w:val="28"/>
          <w:szCs w:val="28"/>
          <w:shd w:val="clear" w:color="auto" w:fill="FFFFFF"/>
        </w:rPr>
        <w:t>АО Halyk Bank. В частности, их доля составляла в 2-17 г. 11,55%, в 2018 г. – 9,9%, в 2019 г. – 9,3% и в 2020 г. – 7,92%. Следует отметить, что структура фондирования банка достаточно логичная и устойчивая, что обеспечивает первые позиции в рейтинге БВУ Казахстана.</w:t>
      </w:r>
    </w:p>
    <w:p w:rsidR="00526C3E" w:rsidRPr="00802D35" w:rsidRDefault="00526C3E" w:rsidP="00526C3E">
      <w:pPr>
        <w:pStyle w:val="af3"/>
        <w:ind w:right="-1" w:firstLine="567"/>
        <w:jc w:val="both"/>
        <w:rPr>
          <w:rStyle w:val="HTML"/>
          <w:rFonts w:ascii="Times New Roman" w:hAnsi="Times New Roman"/>
          <w:i w:val="0"/>
          <w:szCs w:val="28"/>
          <w:shd w:val="clear" w:color="auto" w:fill="FFFFFF"/>
        </w:rPr>
      </w:pPr>
      <w:r w:rsidRPr="00802D35">
        <w:rPr>
          <w:rFonts w:ascii="Times New Roman" w:hAnsi="Times New Roman"/>
          <w:bCs/>
          <w:szCs w:val="28"/>
        </w:rPr>
        <w:t xml:space="preserve">Займы </w:t>
      </w:r>
      <w:r w:rsidRPr="00802D35">
        <w:rPr>
          <w:rStyle w:val="HTML"/>
          <w:rFonts w:ascii="Times New Roman" w:hAnsi="Times New Roman"/>
          <w:i w:val="0"/>
          <w:szCs w:val="28"/>
          <w:shd w:val="clear" w:color="auto" w:fill="FFFFFF"/>
        </w:rPr>
        <w:t xml:space="preserve">АО Halyk Bank сравнительно низки и составляют незначительную долю, не превышающую 3,5% (таблица 4). </w:t>
      </w:r>
    </w:p>
    <w:p w:rsidR="00526C3E" w:rsidRPr="00802D35" w:rsidRDefault="00526C3E" w:rsidP="00526C3E">
      <w:pPr>
        <w:pStyle w:val="af3"/>
        <w:ind w:right="-1"/>
        <w:jc w:val="both"/>
        <w:rPr>
          <w:rStyle w:val="HTML"/>
          <w:rFonts w:ascii="Times New Roman" w:hAnsi="Times New Roman"/>
          <w:i w:val="0"/>
          <w:szCs w:val="28"/>
          <w:shd w:val="clear" w:color="auto" w:fill="FFFFFF"/>
        </w:rPr>
      </w:pPr>
    </w:p>
    <w:p w:rsidR="00526C3E" w:rsidRPr="00802D35" w:rsidRDefault="00526C3E" w:rsidP="00526C3E">
      <w:pPr>
        <w:pStyle w:val="af3"/>
        <w:ind w:right="-1"/>
        <w:jc w:val="both"/>
        <w:rPr>
          <w:rStyle w:val="HTML"/>
          <w:rFonts w:ascii="Times New Roman" w:hAnsi="Times New Roman"/>
          <w:i w:val="0"/>
          <w:szCs w:val="28"/>
          <w:shd w:val="clear" w:color="auto" w:fill="FFFFFF"/>
        </w:rPr>
      </w:pPr>
      <w:r w:rsidRPr="00802D35">
        <w:rPr>
          <w:rStyle w:val="HTML"/>
          <w:rFonts w:ascii="Times New Roman" w:hAnsi="Times New Roman"/>
          <w:i w:val="0"/>
          <w:szCs w:val="28"/>
          <w:shd w:val="clear" w:color="auto" w:fill="FFFFFF"/>
        </w:rPr>
        <w:t>Таблица 4 - Структура и стоимость фондирования по займам АО Halyk Bank</w:t>
      </w:r>
    </w:p>
    <w:p w:rsidR="00526C3E" w:rsidRPr="00802D35" w:rsidRDefault="00526C3E" w:rsidP="00526C3E">
      <w:pPr>
        <w:pStyle w:val="af3"/>
        <w:ind w:right="-1"/>
        <w:jc w:val="both"/>
        <w:rPr>
          <w:rStyle w:val="HTML"/>
          <w:rFonts w:ascii="Times New Roman" w:hAnsi="Times New Roman"/>
          <w:i w:val="0"/>
          <w:szCs w:val="28"/>
          <w:shd w:val="clear" w:color="auto" w:fill="FFFFFF"/>
        </w:rPr>
      </w:pPr>
    </w:p>
    <w:tbl>
      <w:tblPr>
        <w:tblStyle w:val="TableNormal"/>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708"/>
        <w:gridCol w:w="709"/>
        <w:gridCol w:w="709"/>
        <w:gridCol w:w="709"/>
        <w:gridCol w:w="708"/>
        <w:gridCol w:w="709"/>
        <w:gridCol w:w="709"/>
        <w:gridCol w:w="709"/>
        <w:gridCol w:w="708"/>
        <w:gridCol w:w="709"/>
      </w:tblGrid>
      <w:tr w:rsidR="00526C3E" w:rsidRPr="00802D35" w:rsidTr="000306C6">
        <w:trPr>
          <w:trHeight w:val="194"/>
        </w:trPr>
        <w:tc>
          <w:tcPr>
            <w:tcW w:w="2694" w:type="dxa"/>
            <w:vMerge w:val="restart"/>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Виды займов</w:t>
            </w:r>
          </w:p>
        </w:tc>
        <w:tc>
          <w:tcPr>
            <w:tcW w:w="1417" w:type="dxa"/>
            <w:gridSpan w:val="2"/>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2016</w:t>
            </w:r>
            <w:r w:rsidRPr="00802D35">
              <w:rPr>
                <w:rFonts w:ascii="Times New Roman" w:hAnsi="Times New Roman" w:cs="Times New Roman"/>
                <w:spacing w:val="-2"/>
                <w:lang w:val="ru-RU"/>
              </w:rPr>
              <w:t xml:space="preserve"> </w:t>
            </w:r>
            <w:r w:rsidRPr="00802D35">
              <w:rPr>
                <w:rFonts w:ascii="Times New Roman" w:hAnsi="Times New Roman" w:cs="Times New Roman"/>
                <w:lang w:val="ru-RU"/>
              </w:rPr>
              <w:t>г.</w:t>
            </w:r>
          </w:p>
        </w:tc>
        <w:tc>
          <w:tcPr>
            <w:tcW w:w="1418" w:type="dxa"/>
            <w:gridSpan w:val="2"/>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2017</w:t>
            </w:r>
            <w:r w:rsidRPr="00802D35">
              <w:rPr>
                <w:rFonts w:ascii="Times New Roman" w:hAnsi="Times New Roman" w:cs="Times New Roman"/>
                <w:spacing w:val="-2"/>
                <w:lang w:val="ru-RU"/>
              </w:rPr>
              <w:t xml:space="preserve"> </w:t>
            </w:r>
            <w:r w:rsidRPr="00802D35">
              <w:rPr>
                <w:rFonts w:ascii="Times New Roman" w:hAnsi="Times New Roman" w:cs="Times New Roman"/>
                <w:lang w:val="ru-RU"/>
              </w:rPr>
              <w:t>г</w:t>
            </w:r>
          </w:p>
        </w:tc>
        <w:tc>
          <w:tcPr>
            <w:tcW w:w="1417" w:type="dxa"/>
            <w:gridSpan w:val="2"/>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2018 г.</w:t>
            </w:r>
          </w:p>
        </w:tc>
        <w:tc>
          <w:tcPr>
            <w:tcW w:w="1418" w:type="dxa"/>
            <w:gridSpan w:val="2"/>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2019 г.</w:t>
            </w:r>
          </w:p>
        </w:tc>
        <w:tc>
          <w:tcPr>
            <w:tcW w:w="1417" w:type="dxa"/>
            <w:gridSpan w:val="2"/>
          </w:tcPr>
          <w:p w:rsidR="00526C3E" w:rsidRPr="00802D35" w:rsidRDefault="00526C3E" w:rsidP="000306C6">
            <w:pPr>
              <w:pStyle w:val="TableParagraph"/>
              <w:ind w:left="601"/>
              <w:jc w:val="center"/>
              <w:rPr>
                <w:rFonts w:ascii="Times New Roman" w:hAnsi="Times New Roman" w:cs="Times New Roman"/>
                <w:lang w:val="ru-RU"/>
              </w:rPr>
            </w:pPr>
            <w:r w:rsidRPr="00802D35">
              <w:rPr>
                <w:rFonts w:ascii="Times New Roman" w:hAnsi="Times New Roman" w:cs="Times New Roman"/>
                <w:lang w:val="ru-RU"/>
              </w:rPr>
              <w:t>2020 г.</w:t>
            </w:r>
          </w:p>
        </w:tc>
      </w:tr>
      <w:tr w:rsidR="00526C3E" w:rsidRPr="00802D35" w:rsidTr="000306C6">
        <w:trPr>
          <w:trHeight w:val="234"/>
        </w:trPr>
        <w:tc>
          <w:tcPr>
            <w:tcW w:w="2694" w:type="dxa"/>
            <w:vMerge/>
          </w:tcPr>
          <w:p w:rsidR="00526C3E" w:rsidRPr="00802D35" w:rsidRDefault="00526C3E" w:rsidP="000306C6">
            <w:pPr>
              <w:pStyle w:val="TableParagraph"/>
              <w:ind w:right="67"/>
              <w:jc w:val="center"/>
              <w:rPr>
                <w:rFonts w:ascii="Times New Roman" w:hAnsi="Times New Roman" w:cs="Times New Roman"/>
                <w:lang w:val="ru-RU"/>
              </w:rPr>
            </w:pPr>
          </w:p>
        </w:tc>
        <w:tc>
          <w:tcPr>
            <w:tcW w:w="708" w:type="dxa"/>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w:t>
            </w:r>
          </w:p>
        </w:tc>
        <w:tc>
          <w:tcPr>
            <w:tcW w:w="709" w:type="dxa"/>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Срок</w:t>
            </w:r>
          </w:p>
        </w:tc>
        <w:tc>
          <w:tcPr>
            <w:tcW w:w="709" w:type="dxa"/>
          </w:tcPr>
          <w:p w:rsidR="00526C3E" w:rsidRPr="00802D35" w:rsidRDefault="00526C3E" w:rsidP="000306C6">
            <w:pPr>
              <w:pStyle w:val="TableParagraph"/>
              <w:ind w:right="88"/>
              <w:jc w:val="center"/>
              <w:rPr>
                <w:rFonts w:ascii="Times New Roman" w:hAnsi="Times New Roman" w:cs="Times New Roman"/>
                <w:lang w:val="ru-RU"/>
              </w:rPr>
            </w:pPr>
            <w:r w:rsidRPr="00802D35">
              <w:rPr>
                <w:rFonts w:ascii="Times New Roman" w:hAnsi="Times New Roman" w:cs="Times New Roman"/>
                <w:lang w:val="ru-RU"/>
              </w:rPr>
              <w:t>%</w:t>
            </w:r>
          </w:p>
        </w:tc>
        <w:tc>
          <w:tcPr>
            <w:tcW w:w="709" w:type="dxa"/>
          </w:tcPr>
          <w:p w:rsidR="00526C3E" w:rsidRPr="00802D35" w:rsidRDefault="00526C3E" w:rsidP="000306C6">
            <w:pPr>
              <w:pStyle w:val="TableParagraph"/>
              <w:ind w:right="-15"/>
              <w:jc w:val="center"/>
              <w:rPr>
                <w:rFonts w:ascii="Times New Roman" w:hAnsi="Times New Roman" w:cs="Times New Roman"/>
                <w:lang w:val="ru-RU"/>
              </w:rPr>
            </w:pPr>
            <w:r w:rsidRPr="00802D35">
              <w:rPr>
                <w:rFonts w:ascii="Times New Roman" w:hAnsi="Times New Roman" w:cs="Times New Roman"/>
                <w:lang w:val="ru-RU"/>
              </w:rPr>
              <w:t>Срок</w:t>
            </w:r>
          </w:p>
        </w:tc>
        <w:tc>
          <w:tcPr>
            <w:tcW w:w="708" w:type="dxa"/>
          </w:tcPr>
          <w:p w:rsidR="00526C3E" w:rsidRPr="00802D35" w:rsidRDefault="00526C3E" w:rsidP="000306C6">
            <w:pPr>
              <w:pStyle w:val="TableParagraph"/>
              <w:ind w:right="83"/>
              <w:jc w:val="center"/>
              <w:rPr>
                <w:rFonts w:ascii="Times New Roman" w:hAnsi="Times New Roman" w:cs="Times New Roman"/>
                <w:lang w:val="ru-RU"/>
              </w:rPr>
            </w:pPr>
            <w:r w:rsidRPr="00802D35">
              <w:rPr>
                <w:rFonts w:ascii="Times New Roman" w:hAnsi="Times New Roman" w:cs="Times New Roman"/>
                <w:lang w:val="ru-RU"/>
              </w:rPr>
              <w:t>%</w:t>
            </w:r>
          </w:p>
        </w:tc>
        <w:tc>
          <w:tcPr>
            <w:tcW w:w="709" w:type="dxa"/>
          </w:tcPr>
          <w:p w:rsidR="00526C3E" w:rsidRPr="00802D35" w:rsidRDefault="00526C3E" w:rsidP="000306C6">
            <w:pPr>
              <w:pStyle w:val="TableParagraph"/>
              <w:ind w:right="110"/>
              <w:jc w:val="center"/>
              <w:rPr>
                <w:rFonts w:ascii="Times New Roman" w:hAnsi="Times New Roman" w:cs="Times New Roman"/>
                <w:lang w:val="ru-RU"/>
              </w:rPr>
            </w:pPr>
            <w:r w:rsidRPr="00802D35">
              <w:rPr>
                <w:rFonts w:ascii="Times New Roman" w:hAnsi="Times New Roman" w:cs="Times New Roman"/>
                <w:lang w:val="ru-RU"/>
              </w:rPr>
              <w:t>Срок</w:t>
            </w:r>
          </w:p>
        </w:tc>
        <w:tc>
          <w:tcPr>
            <w:tcW w:w="709" w:type="dxa"/>
          </w:tcPr>
          <w:p w:rsidR="00526C3E" w:rsidRPr="00802D35" w:rsidRDefault="00526C3E" w:rsidP="000306C6">
            <w:pPr>
              <w:pStyle w:val="TableParagraph"/>
              <w:ind w:right="82"/>
              <w:jc w:val="center"/>
              <w:rPr>
                <w:rFonts w:ascii="Times New Roman" w:hAnsi="Times New Roman" w:cs="Times New Roman"/>
                <w:lang w:val="ru-RU"/>
              </w:rPr>
            </w:pPr>
            <w:r w:rsidRPr="00802D35">
              <w:rPr>
                <w:rFonts w:ascii="Times New Roman" w:hAnsi="Times New Roman" w:cs="Times New Roman"/>
                <w:lang w:val="ru-RU"/>
              </w:rPr>
              <w:t>%</w:t>
            </w:r>
          </w:p>
        </w:tc>
        <w:tc>
          <w:tcPr>
            <w:tcW w:w="709" w:type="dxa"/>
          </w:tcPr>
          <w:p w:rsidR="00526C3E" w:rsidRPr="00802D35" w:rsidRDefault="00526C3E" w:rsidP="000306C6">
            <w:pPr>
              <w:pStyle w:val="TableParagraph"/>
              <w:ind w:right="136"/>
              <w:jc w:val="center"/>
              <w:rPr>
                <w:rFonts w:ascii="Times New Roman" w:hAnsi="Times New Roman" w:cs="Times New Roman"/>
                <w:lang w:val="ru-RU"/>
              </w:rPr>
            </w:pPr>
            <w:r w:rsidRPr="00802D35">
              <w:rPr>
                <w:rFonts w:ascii="Times New Roman" w:hAnsi="Times New Roman" w:cs="Times New Roman"/>
                <w:lang w:val="ru-RU"/>
              </w:rPr>
              <w:t>Срок</w:t>
            </w:r>
          </w:p>
        </w:tc>
        <w:tc>
          <w:tcPr>
            <w:tcW w:w="708" w:type="dxa"/>
          </w:tcPr>
          <w:p w:rsidR="00526C3E" w:rsidRPr="00802D35" w:rsidRDefault="00526C3E" w:rsidP="000306C6">
            <w:pPr>
              <w:pStyle w:val="TableParagraph"/>
              <w:ind w:right="65"/>
              <w:jc w:val="center"/>
              <w:rPr>
                <w:rFonts w:ascii="Times New Roman" w:hAnsi="Times New Roman" w:cs="Times New Roman"/>
                <w:lang w:val="ru-RU"/>
              </w:rPr>
            </w:pPr>
            <w:r w:rsidRPr="00802D35">
              <w:rPr>
                <w:rFonts w:ascii="Times New Roman" w:hAnsi="Times New Roman" w:cs="Times New Roman"/>
                <w:lang w:val="ru-RU"/>
              </w:rPr>
              <w:t>%</w:t>
            </w:r>
          </w:p>
        </w:tc>
        <w:tc>
          <w:tcPr>
            <w:tcW w:w="709" w:type="dxa"/>
          </w:tcPr>
          <w:p w:rsidR="00526C3E" w:rsidRPr="00802D35" w:rsidRDefault="00526C3E" w:rsidP="000306C6">
            <w:pPr>
              <w:pStyle w:val="TableParagraph"/>
              <w:ind w:right="31"/>
              <w:jc w:val="center"/>
              <w:rPr>
                <w:rFonts w:ascii="Times New Roman" w:hAnsi="Times New Roman" w:cs="Times New Roman"/>
                <w:lang w:val="ru-RU"/>
              </w:rPr>
            </w:pPr>
            <w:r w:rsidRPr="00802D35">
              <w:rPr>
                <w:rFonts w:ascii="Times New Roman" w:hAnsi="Times New Roman" w:cs="Times New Roman"/>
                <w:lang w:val="ru-RU"/>
              </w:rPr>
              <w:t>Срок</w:t>
            </w:r>
          </w:p>
        </w:tc>
      </w:tr>
      <w:tr w:rsidR="00526C3E" w:rsidRPr="00802D35" w:rsidTr="000306C6">
        <w:trPr>
          <w:trHeight w:val="777"/>
        </w:trPr>
        <w:tc>
          <w:tcPr>
            <w:tcW w:w="2694" w:type="dxa"/>
          </w:tcPr>
          <w:p w:rsidR="00526C3E" w:rsidRPr="00802D35" w:rsidRDefault="00526C3E" w:rsidP="000306C6">
            <w:pPr>
              <w:pStyle w:val="TableParagraph"/>
              <w:ind w:right="130"/>
              <w:rPr>
                <w:rFonts w:ascii="Times New Roman" w:hAnsi="Times New Roman" w:cs="Times New Roman"/>
                <w:lang w:val="ru-RU"/>
              </w:rPr>
            </w:pPr>
            <w:r w:rsidRPr="00802D35">
              <w:rPr>
                <w:rFonts w:ascii="Times New Roman" w:hAnsi="Times New Roman" w:cs="Times New Roman"/>
                <w:lang w:val="ru-RU"/>
              </w:rPr>
              <w:t>Займы и вклады</w:t>
            </w:r>
            <w:r w:rsidRPr="00802D35">
              <w:rPr>
                <w:rFonts w:ascii="Times New Roman" w:hAnsi="Times New Roman" w:cs="Times New Roman"/>
                <w:spacing w:val="1"/>
                <w:lang w:val="ru-RU"/>
              </w:rPr>
              <w:t xml:space="preserve"> </w:t>
            </w:r>
            <w:r w:rsidRPr="00802D35">
              <w:rPr>
                <w:rFonts w:ascii="Times New Roman" w:hAnsi="Times New Roman" w:cs="Times New Roman"/>
                <w:lang w:val="ru-RU"/>
              </w:rPr>
              <w:t>казахстанских банков</w:t>
            </w:r>
            <w:r w:rsidRPr="00802D35">
              <w:rPr>
                <w:rFonts w:ascii="Times New Roman" w:hAnsi="Times New Roman" w:cs="Times New Roman"/>
                <w:spacing w:val="-54"/>
                <w:lang w:val="ru-RU"/>
              </w:rPr>
              <w:t xml:space="preserve"> </w:t>
            </w:r>
            <w:r w:rsidRPr="00802D35">
              <w:rPr>
                <w:rFonts w:ascii="Times New Roman" w:hAnsi="Times New Roman" w:cs="Times New Roman"/>
                <w:lang w:val="ru-RU"/>
              </w:rPr>
              <w:t>(вкл. РЕПО)</w:t>
            </w:r>
          </w:p>
        </w:tc>
        <w:tc>
          <w:tcPr>
            <w:tcW w:w="708"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8,8-11,1</w:t>
            </w:r>
          </w:p>
        </w:tc>
        <w:tc>
          <w:tcPr>
            <w:tcW w:w="709"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2017</w:t>
            </w:r>
          </w:p>
        </w:tc>
        <w:tc>
          <w:tcPr>
            <w:tcW w:w="709" w:type="dxa"/>
            <w:vAlign w:val="center"/>
          </w:tcPr>
          <w:p w:rsidR="00526C3E" w:rsidRPr="00802D35" w:rsidRDefault="00526C3E" w:rsidP="000306C6">
            <w:pPr>
              <w:pStyle w:val="TableParagraph"/>
              <w:ind w:right="143"/>
              <w:jc w:val="center"/>
              <w:rPr>
                <w:rFonts w:ascii="Times New Roman" w:hAnsi="Times New Roman" w:cs="Times New Roman"/>
                <w:lang w:val="ru-RU"/>
              </w:rPr>
            </w:pPr>
            <w:r w:rsidRPr="00802D35">
              <w:rPr>
                <w:rFonts w:ascii="Times New Roman" w:hAnsi="Times New Roman" w:cs="Times New Roman"/>
                <w:lang w:val="ru-RU"/>
              </w:rPr>
              <w:t>8,0-9,0</w:t>
            </w:r>
          </w:p>
        </w:tc>
        <w:tc>
          <w:tcPr>
            <w:tcW w:w="709" w:type="dxa"/>
            <w:vAlign w:val="center"/>
          </w:tcPr>
          <w:p w:rsidR="00526C3E" w:rsidRPr="00802D35" w:rsidRDefault="00526C3E" w:rsidP="000306C6">
            <w:pPr>
              <w:pStyle w:val="TableParagraph"/>
              <w:ind w:right="54"/>
              <w:jc w:val="center"/>
              <w:rPr>
                <w:rFonts w:ascii="Times New Roman" w:hAnsi="Times New Roman" w:cs="Times New Roman"/>
                <w:lang w:val="ru-RU"/>
              </w:rPr>
            </w:pPr>
            <w:r w:rsidRPr="00802D35">
              <w:rPr>
                <w:rFonts w:ascii="Times New Roman" w:hAnsi="Times New Roman" w:cs="Times New Roman"/>
                <w:lang w:val="ru-RU"/>
              </w:rPr>
              <w:t>2019</w:t>
            </w:r>
          </w:p>
        </w:tc>
        <w:tc>
          <w:tcPr>
            <w:tcW w:w="708" w:type="dxa"/>
            <w:vAlign w:val="center"/>
          </w:tcPr>
          <w:p w:rsidR="00526C3E" w:rsidRPr="00802D35" w:rsidRDefault="00526C3E" w:rsidP="000306C6">
            <w:pPr>
              <w:pStyle w:val="TableParagraph"/>
              <w:ind w:right="138"/>
              <w:jc w:val="center"/>
              <w:rPr>
                <w:rFonts w:ascii="Times New Roman" w:hAnsi="Times New Roman" w:cs="Times New Roman"/>
                <w:lang w:val="ru-RU"/>
              </w:rPr>
            </w:pPr>
            <w:r w:rsidRPr="00802D35">
              <w:rPr>
                <w:rFonts w:ascii="Times New Roman" w:hAnsi="Times New Roman" w:cs="Times New Roman"/>
                <w:lang w:val="ru-RU"/>
              </w:rPr>
              <w:t>9,0-10,0</w:t>
            </w:r>
          </w:p>
        </w:tc>
        <w:tc>
          <w:tcPr>
            <w:tcW w:w="709" w:type="dxa"/>
            <w:vAlign w:val="center"/>
          </w:tcPr>
          <w:p w:rsidR="00526C3E" w:rsidRPr="00802D35" w:rsidRDefault="00526C3E" w:rsidP="000306C6">
            <w:pPr>
              <w:pStyle w:val="TableParagraph"/>
              <w:ind w:right="168"/>
              <w:jc w:val="center"/>
              <w:rPr>
                <w:rFonts w:ascii="Times New Roman" w:hAnsi="Times New Roman" w:cs="Times New Roman"/>
                <w:lang w:val="ru-RU"/>
              </w:rPr>
            </w:pPr>
            <w:r w:rsidRPr="00802D35">
              <w:rPr>
                <w:rFonts w:ascii="Times New Roman" w:hAnsi="Times New Roman" w:cs="Times New Roman"/>
                <w:lang w:val="ru-RU"/>
              </w:rPr>
              <w:t>2020</w:t>
            </w:r>
          </w:p>
        </w:tc>
        <w:tc>
          <w:tcPr>
            <w:tcW w:w="709" w:type="dxa"/>
            <w:vAlign w:val="center"/>
          </w:tcPr>
          <w:p w:rsidR="00526C3E" w:rsidRPr="00802D35" w:rsidRDefault="00526C3E" w:rsidP="000306C6">
            <w:pPr>
              <w:pStyle w:val="TableParagraph"/>
              <w:ind w:right="135"/>
              <w:jc w:val="center"/>
              <w:rPr>
                <w:rFonts w:ascii="Times New Roman" w:hAnsi="Times New Roman" w:cs="Times New Roman"/>
                <w:lang w:val="ru-RU"/>
              </w:rPr>
            </w:pPr>
            <w:r w:rsidRPr="00802D35">
              <w:rPr>
                <w:rFonts w:ascii="Times New Roman" w:hAnsi="Times New Roman" w:cs="Times New Roman"/>
                <w:lang w:val="ru-RU"/>
              </w:rPr>
              <w:t>8,0-10,4</w:t>
            </w:r>
          </w:p>
        </w:tc>
        <w:tc>
          <w:tcPr>
            <w:tcW w:w="709" w:type="dxa"/>
            <w:vAlign w:val="center"/>
          </w:tcPr>
          <w:p w:rsidR="00526C3E" w:rsidRPr="00802D35" w:rsidRDefault="00526C3E" w:rsidP="000306C6">
            <w:pPr>
              <w:pStyle w:val="TableParagraph"/>
              <w:ind w:right="180"/>
              <w:jc w:val="center"/>
              <w:rPr>
                <w:rFonts w:ascii="Times New Roman" w:hAnsi="Times New Roman" w:cs="Times New Roman"/>
                <w:lang w:val="ru-RU"/>
              </w:rPr>
            </w:pPr>
            <w:r w:rsidRPr="00802D35">
              <w:rPr>
                <w:rFonts w:ascii="Times New Roman" w:hAnsi="Times New Roman" w:cs="Times New Roman"/>
                <w:lang w:val="ru-RU"/>
              </w:rPr>
              <w:t>2021</w:t>
            </w:r>
          </w:p>
        </w:tc>
        <w:tc>
          <w:tcPr>
            <w:tcW w:w="708" w:type="dxa"/>
            <w:vAlign w:val="center"/>
          </w:tcPr>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1,0-9,5</w:t>
            </w:r>
          </w:p>
        </w:tc>
        <w:tc>
          <w:tcPr>
            <w:tcW w:w="709" w:type="dxa"/>
            <w:vAlign w:val="center"/>
          </w:tcPr>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2018</w:t>
            </w:r>
          </w:p>
        </w:tc>
      </w:tr>
      <w:tr w:rsidR="00526C3E" w:rsidRPr="00802D35" w:rsidTr="000306C6">
        <w:trPr>
          <w:trHeight w:val="428"/>
        </w:trPr>
        <w:tc>
          <w:tcPr>
            <w:tcW w:w="2694" w:type="dxa"/>
          </w:tcPr>
          <w:p w:rsidR="00526C3E" w:rsidRPr="00802D35" w:rsidRDefault="00526C3E" w:rsidP="000306C6">
            <w:pPr>
              <w:pStyle w:val="TableParagraph"/>
              <w:ind w:right="142"/>
              <w:rPr>
                <w:rFonts w:ascii="Times New Roman" w:hAnsi="Times New Roman" w:cs="Times New Roman"/>
                <w:lang w:val="ru-RU"/>
              </w:rPr>
            </w:pPr>
            <w:r w:rsidRPr="00802D35">
              <w:rPr>
                <w:rFonts w:ascii="Times New Roman" w:hAnsi="Times New Roman" w:cs="Times New Roman"/>
                <w:lang w:val="ru-RU"/>
              </w:rPr>
              <w:t>Займы от АО «Фонд</w:t>
            </w:r>
            <w:r w:rsidRPr="00802D35">
              <w:rPr>
                <w:rFonts w:ascii="Times New Roman" w:hAnsi="Times New Roman" w:cs="Times New Roman"/>
                <w:spacing w:val="1"/>
                <w:lang w:val="ru-RU"/>
              </w:rPr>
              <w:t xml:space="preserve"> </w:t>
            </w:r>
            <w:r w:rsidRPr="00802D35">
              <w:rPr>
                <w:rFonts w:ascii="Times New Roman" w:hAnsi="Times New Roman" w:cs="Times New Roman"/>
                <w:lang w:val="ru-RU"/>
              </w:rPr>
              <w:t>«Даму»</w:t>
            </w:r>
          </w:p>
        </w:tc>
        <w:tc>
          <w:tcPr>
            <w:tcW w:w="708"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w:t>
            </w:r>
          </w:p>
        </w:tc>
        <w:tc>
          <w:tcPr>
            <w:tcW w:w="709"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2017-2035</w:t>
            </w:r>
          </w:p>
        </w:tc>
        <w:tc>
          <w:tcPr>
            <w:tcW w:w="709" w:type="dxa"/>
            <w:vAlign w:val="center"/>
          </w:tcPr>
          <w:p w:rsidR="00526C3E" w:rsidRPr="00802D35" w:rsidRDefault="00526C3E" w:rsidP="000306C6">
            <w:pPr>
              <w:pStyle w:val="TableParagraph"/>
              <w:ind w:right="143"/>
              <w:jc w:val="center"/>
              <w:rPr>
                <w:rFonts w:ascii="Times New Roman" w:hAnsi="Times New Roman" w:cs="Times New Roman"/>
                <w:lang w:val="ru-RU"/>
              </w:rPr>
            </w:pPr>
            <w:r w:rsidRPr="00802D35">
              <w:rPr>
                <w:rFonts w:ascii="Times New Roman" w:hAnsi="Times New Roman" w:cs="Times New Roman"/>
                <w:lang w:val="ru-RU"/>
              </w:rPr>
              <w:t>1,0-5,5</w:t>
            </w:r>
          </w:p>
        </w:tc>
        <w:tc>
          <w:tcPr>
            <w:tcW w:w="709" w:type="dxa"/>
            <w:vAlign w:val="center"/>
          </w:tcPr>
          <w:p w:rsidR="00526C3E" w:rsidRPr="00802D35" w:rsidRDefault="00526C3E" w:rsidP="000306C6">
            <w:pPr>
              <w:pStyle w:val="TableParagraph"/>
              <w:ind w:right="54"/>
              <w:jc w:val="center"/>
              <w:rPr>
                <w:rFonts w:ascii="Times New Roman" w:hAnsi="Times New Roman" w:cs="Times New Roman"/>
                <w:lang w:val="ru-RU"/>
              </w:rPr>
            </w:pPr>
            <w:r w:rsidRPr="00802D35">
              <w:rPr>
                <w:rFonts w:ascii="Times New Roman" w:hAnsi="Times New Roman" w:cs="Times New Roman"/>
                <w:lang w:val="ru-RU"/>
              </w:rPr>
              <w:t>2019-2035</w:t>
            </w:r>
          </w:p>
        </w:tc>
        <w:tc>
          <w:tcPr>
            <w:tcW w:w="708" w:type="dxa"/>
            <w:vAlign w:val="center"/>
          </w:tcPr>
          <w:p w:rsidR="00526C3E" w:rsidRPr="00802D35" w:rsidRDefault="00526C3E" w:rsidP="000306C6">
            <w:pPr>
              <w:pStyle w:val="TableParagraph"/>
              <w:ind w:right="138"/>
              <w:jc w:val="center"/>
              <w:rPr>
                <w:rFonts w:ascii="Times New Roman" w:hAnsi="Times New Roman" w:cs="Times New Roman"/>
                <w:lang w:val="ru-RU"/>
              </w:rPr>
            </w:pPr>
            <w:r w:rsidRPr="00802D35">
              <w:rPr>
                <w:rFonts w:ascii="Times New Roman" w:hAnsi="Times New Roman" w:cs="Times New Roman"/>
                <w:lang w:val="ru-RU"/>
              </w:rPr>
              <w:t>1,0-4,5</w:t>
            </w:r>
          </w:p>
        </w:tc>
        <w:tc>
          <w:tcPr>
            <w:tcW w:w="709" w:type="dxa"/>
            <w:vAlign w:val="center"/>
          </w:tcPr>
          <w:p w:rsidR="00526C3E" w:rsidRPr="00802D35" w:rsidRDefault="00526C3E" w:rsidP="000306C6">
            <w:pPr>
              <w:pStyle w:val="TableParagraph"/>
              <w:ind w:right="168"/>
              <w:jc w:val="center"/>
              <w:rPr>
                <w:rFonts w:ascii="Times New Roman" w:hAnsi="Times New Roman" w:cs="Times New Roman"/>
                <w:lang w:val="ru-RU"/>
              </w:rPr>
            </w:pPr>
            <w:r w:rsidRPr="00802D35">
              <w:rPr>
                <w:rFonts w:ascii="Times New Roman" w:hAnsi="Times New Roman" w:cs="Times New Roman"/>
                <w:lang w:val="ru-RU"/>
              </w:rPr>
              <w:t>2021-2035</w:t>
            </w:r>
          </w:p>
        </w:tc>
        <w:tc>
          <w:tcPr>
            <w:tcW w:w="709" w:type="dxa"/>
            <w:vAlign w:val="center"/>
          </w:tcPr>
          <w:p w:rsidR="00526C3E" w:rsidRPr="00802D35" w:rsidRDefault="00526C3E" w:rsidP="000306C6">
            <w:pPr>
              <w:pStyle w:val="TableParagraph"/>
              <w:ind w:right="135"/>
              <w:jc w:val="center"/>
              <w:rPr>
                <w:rFonts w:ascii="Times New Roman" w:hAnsi="Times New Roman" w:cs="Times New Roman"/>
                <w:lang w:val="ru-RU"/>
              </w:rPr>
            </w:pPr>
            <w:r w:rsidRPr="00802D35">
              <w:rPr>
                <w:rFonts w:ascii="Times New Roman" w:hAnsi="Times New Roman" w:cs="Times New Roman"/>
                <w:lang w:val="ru-RU"/>
              </w:rPr>
              <w:t>1,0-4,5</w:t>
            </w:r>
          </w:p>
        </w:tc>
        <w:tc>
          <w:tcPr>
            <w:tcW w:w="709" w:type="dxa"/>
            <w:vAlign w:val="center"/>
          </w:tcPr>
          <w:p w:rsidR="00526C3E" w:rsidRPr="00802D35" w:rsidRDefault="00526C3E" w:rsidP="000306C6">
            <w:pPr>
              <w:pStyle w:val="TableParagraph"/>
              <w:ind w:right="180"/>
              <w:jc w:val="center"/>
              <w:rPr>
                <w:rFonts w:ascii="Times New Roman" w:hAnsi="Times New Roman" w:cs="Times New Roman"/>
                <w:lang w:val="ru-RU"/>
              </w:rPr>
            </w:pPr>
            <w:r w:rsidRPr="00802D35">
              <w:rPr>
                <w:rFonts w:ascii="Times New Roman" w:hAnsi="Times New Roman" w:cs="Times New Roman"/>
                <w:lang w:val="ru-RU"/>
              </w:rPr>
              <w:t>2021-2035</w:t>
            </w:r>
          </w:p>
        </w:tc>
        <w:tc>
          <w:tcPr>
            <w:tcW w:w="708" w:type="dxa"/>
            <w:vAlign w:val="center"/>
          </w:tcPr>
          <w:p w:rsidR="00526C3E" w:rsidRPr="00802D35" w:rsidRDefault="00526C3E" w:rsidP="000306C6">
            <w:pPr>
              <w:pStyle w:val="TableParagraph"/>
              <w:jc w:val="center"/>
              <w:rPr>
                <w:rFonts w:ascii="Times New Roman" w:hAnsi="Times New Roman" w:cs="Times New Roman"/>
                <w:lang w:val="ru-RU"/>
              </w:rPr>
            </w:pPr>
          </w:p>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1,0-4,5</w:t>
            </w:r>
          </w:p>
        </w:tc>
        <w:tc>
          <w:tcPr>
            <w:tcW w:w="709" w:type="dxa"/>
            <w:vAlign w:val="center"/>
          </w:tcPr>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2018-2035</w:t>
            </w:r>
          </w:p>
        </w:tc>
      </w:tr>
      <w:tr w:rsidR="00526C3E" w:rsidRPr="00802D35" w:rsidTr="000306C6">
        <w:trPr>
          <w:trHeight w:val="388"/>
        </w:trPr>
        <w:tc>
          <w:tcPr>
            <w:tcW w:w="2694" w:type="dxa"/>
          </w:tcPr>
          <w:p w:rsidR="00526C3E" w:rsidRPr="00802D35" w:rsidRDefault="00526C3E" w:rsidP="000306C6">
            <w:pPr>
              <w:pStyle w:val="TableParagraph"/>
              <w:ind w:right="131"/>
              <w:rPr>
                <w:rFonts w:ascii="Times New Roman" w:hAnsi="Times New Roman" w:cs="Times New Roman"/>
                <w:lang w:val="ru-RU"/>
              </w:rPr>
            </w:pPr>
            <w:r w:rsidRPr="00802D35">
              <w:rPr>
                <w:rFonts w:ascii="Times New Roman" w:hAnsi="Times New Roman" w:cs="Times New Roman"/>
                <w:lang w:val="ru-RU"/>
              </w:rPr>
              <w:t>Займы от АО «Банк</w:t>
            </w:r>
            <w:r w:rsidRPr="00802D35">
              <w:rPr>
                <w:rFonts w:ascii="Times New Roman" w:hAnsi="Times New Roman" w:cs="Times New Roman"/>
                <w:spacing w:val="1"/>
                <w:lang w:val="ru-RU"/>
              </w:rPr>
              <w:t xml:space="preserve"> </w:t>
            </w:r>
            <w:r w:rsidRPr="00802D35">
              <w:rPr>
                <w:rFonts w:ascii="Times New Roman" w:hAnsi="Times New Roman" w:cs="Times New Roman"/>
                <w:lang w:val="ru-RU"/>
              </w:rPr>
              <w:t>Развития</w:t>
            </w:r>
            <w:r w:rsidRPr="00802D35">
              <w:rPr>
                <w:rFonts w:ascii="Times New Roman" w:hAnsi="Times New Roman" w:cs="Times New Roman"/>
                <w:spacing w:val="-7"/>
                <w:lang w:val="ru-RU"/>
              </w:rPr>
              <w:t xml:space="preserve"> </w:t>
            </w:r>
            <w:r w:rsidRPr="00802D35">
              <w:rPr>
                <w:rFonts w:ascii="Times New Roman" w:hAnsi="Times New Roman" w:cs="Times New Roman"/>
                <w:lang w:val="ru-RU"/>
              </w:rPr>
              <w:t>Казахстана»</w:t>
            </w:r>
          </w:p>
        </w:tc>
        <w:tc>
          <w:tcPr>
            <w:tcW w:w="708"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1,0-2,0</w:t>
            </w:r>
          </w:p>
        </w:tc>
        <w:tc>
          <w:tcPr>
            <w:tcW w:w="709"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2034-2035</w:t>
            </w:r>
          </w:p>
        </w:tc>
        <w:tc>
          <w:tcPr>
            <w:tcW w:w="709" w:type="dxa"/>
            <w:vAlign w:val="center"/>
          </w:tcPr>
          <w:p w:rsidR="00526C3E" w:rsidRPr="00802D35" w:rsidRDefault="00526C3E" w:rsidP="000306C6">
            <w:pPr>
              <w:pStyle w:val="TableParagraph"/>
              <w:ind w:right="143"/>
              <w:jc w:val="center"/>
              <w:rPr>
                <w:rFonts w:ascii="Times New Roman" w:hAnsi="Times New Roman" w:cs="Times New Roman"/>
                <w:lang w:val="ru-RU"/>
              </w:rPr>
            </w:pPr>
            <w:r w:rsidRPr="00802D35">
              <w:rPr>
                <w:rFonts w:ascii="Times New Roman" w:hAnsi="Times New Roman" w:cs="Times New Roman"/>
                <w:lang w:val="ru-RU"/>
              </w:rPr>
              <w:t>1,0-7,9</w:t>
            </w:r>
          </w:p>
        </w:tc>
        <w:tc>
          <w:tcPr>
            <w:tcW w:w="709" w:type="dxa"/>
            <w:vAlign w:val="center"/>
          </w:tcPr>
          <w:p w:rsidR="00526C3E" w:rsidRPr="00802D35" w:rsidRDefault="00526C3E" w:rsidP="000306C6">
            <w:pPr>
              <w:pStyle w:val="TableParagraph"/>
              <w:ind w:right="54"/>
              <w:jc w:val="center"/>
              <w:rPr>
                <w:rFonts w:ascii="Times New Roman" w:hAnsi="Times New Roman" w:cs="Times New Roman"/>
                <w:lang w:val="ru-RU"/>
              </w:rPr>
            </w:pPr>
            <w:r w:rsidRPr="00802D35">
              <w:rPr>
                <w:rFonts w:ascii="Times New Roman" w:hAnsi="Times New Roman" w:cs="Times New Roman"/>
                <w:lang w:val="ru-RU"/>
              </w:rPr>
              <w:t>2019-2037</w:t>
            </w:r>
          </w:p>
        </w:tc>
        <w:tc>
          <w:tcPr>
            <w:tcW w:w="708" w:type="dxa"/>
            <w:vAlign w:val="center"/>
          </w:tcPr>
          <w:p w:rsidR="00526C3E" w:rsidRPr="00802D35" w:rsidRDefault="00526C3E" w:rsidP="000306C6">
            <w:pPr>
              <w:pStyle w:val="TableParagraph"/>
              <w:ind w:right="138"/>
              <w:jc w:val="center"/>
              <w:rPr>
                <w:rFonts w:ascii="Times New Roman" w:hAnsi="Times New Roman" w:cs="Times New Roman"/>
                <w:lang w:val="ru-RU"/>
              </w:rPr>
            </w:pPr>
            <w:r w:rsidRPr="00802D35">
              <w:rPr>
                <w:rFonts w:ascii="Times New Roman" w:hAnsi="Times New Roman" w:cs="Times New Roman"/>
                <w:lang w:val="ru-RU"/>
              </w:rPr>
              <w:t>1,0-2,0</w:t>
            </w:r>
          </w:p>
        </w:tc>
        <w:tc>
          <w:tcPr>
            <w:tcW w:w="709" w:type="dxa"/>
            <w:vAlign w:val="center"/>
          </w:tcPr>
          <w:p w:rsidR="00526C3E" w:rsidRPr="00802D35" w:rsidRDefault="00526C3E" w:rsidP="000306C6">
            <w:pPr>
              <w:pStyle w:val="TableParagraph"/>
              <w:ind w:right="168"/>
              <w:jc w:val="center"/>
              <w:rPr>
                <w:rFonts w:ascii="Times New Roman" w:hAnsi="Times New Roman" w:cs="Times New Roman"/>
                <w:lang w:val="ru-RU"/>
              </w:rPr>
            </w:pPr>
            <w:r w:rsidRPr="00802D35">
              <w:rPr>
                <w:rFonts w:ascii="Times New Roman" w:hAnsi="Times New Roman" w:cs="Times New Roman"/>
                <w:lang w:val="ru-RU"/>
              </w:rPr>
              <w:t>2029-2037</w:t>
            </w:r>
          </w:p>
        </w:tc>
        <w:tc>
          <w:tcPr>
            <w:tcW w:w="709" w:type="dxa"/>
            <w:vAlign w:val="center"/>
          </w:tcPr>
          <w:p w:rsidR="00526C3E" w:rsidRPr="00802D35" w:rsidRDefault="00526C3E" w:rsidP="000306C6">
            <w:pPr>
              <w:pStyle w:val="TableParagraph"/>
              <w:ind w:right="135"/>
              <w:jc w:val="center"/>
              <w:rPr>
                <w:rFonts w:ascii="Times New Roman" w:hAnsi="Times New Roman" w:cs="Times New Roman"/>
                <w:lang w:val="ru-RU"/>
              </w:rPr>
            </w:pPr>
            <w:r w:rsidRPr="00802D35">
              <w:rPr>
                <w:rFonts w:ascii="Times New Roman" w:hAnsi="Times New Roman" w:cs="Times New Roman"/>
                <w:lang w:val="ru-RU"/>
              </w:rPr>
              <w:t>1,0-2,0</w:t>
            </w:r>
          </w:p>
        </w:tc>
        <w:tc>
          <w:tcPr>
            <w:tcW w:w="709" w:type="dxa"/>
            <w:vAlign w:val="center"/>
          </w:tcPr>
          <w:p w:rsidR="00526C3E" w:rsidRPr="00802D35" w:rsidRDefault="00526C3E" w:rsidP="000306C6">
            <w:pPr>
              <w:pStyle w:val="TableParagraph"/>
              <w:ind w:right="180"/>
              <w:jc w:val="center"/>
              <w:rPr>
                <w:rFonts w:ascii="Times New Roman" w:hAnsi="Times New Roman" w:cs="Times New Roman"/>
                <w:lang w:val="ru-RU"/>
              </w:rPr>
            </w:pPr>
            <w:r w:rsidRPr="00802D35">
              <w:rPr>
                <w:rFonts w:ascii="Times New Roman" w:hAnsi="Times New Roman" w:cs="Times New Roman"/>
                <w:lang w:val="ru-RU"/>
              </w:rPr>
              <w:t>2029-2037</w:t>
            </w:r>
          </w:p>
        </w:tc>
        <w:tc>
          <w:tcPr>
            <w:tcW w:w="708" w:type="dxa"/>
            <w:vAlign w:val="center"/>
          </w:tcPr>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1,0-7,9</w:t>
            </w:r>
          </w:p>
        </w:tc>
        <w:tc>
          <w:tcPr>
            <w:tcW w:w="709" w:type="dxa"/>
            <w:vAlign w:val="center"/>
          </w:tcPr>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2019-2035</w:t>
            </w:r>
          </w:p>
        </w:tc>
      </w:tr>
      <w:tr w:rsidR="00526C3E" w:rsidRPr="00802D35" w:rsidTr="000306C6">
        <w:trPr>
          <w:trHeight w:val="777"/>
        </w:trPr>
        <w:tc>
          <w:tcPr>
            <w:tcW w:w="2694" w:type="dxa"/>
          </w:tcPr>
          <w:p w:rsidR="00526C3E" w:rsidRPr="00802D35" w:rsidRDefault="00526C3E" w:rsidP="000306C6">
            <w:pPr>
              <w:pStyle w:val="TableParagraph"/>
              <w:rPr>
                <w:rFonts w:ascii="Times New Roman" w:hAnsi="Times New Roman" w:cs="Times New Roman"/>
                <w:lang w:val="ru-RU"/>
              </w:rPr>
            </w:pPr>
            <w:r w:rsidRPr="00802D35">
              <w:rPr>
                <w:rFonts w:ascii="Times New Roman" w:hAnsi="Times New Roman" w:cs="Times New Roman"/>
                <w:lang w:val="ru-RU"/>
              </w:rPr>
              <w:t>Займы</w:t>
            </w:r>
            <w:r w:rsidRPr="00802D35">
              <w:rPr>
                <w:rFonts w:ascii="Times New Roman" w:hAnsi="Times New Roman" w:cs="Times New Roman"/>
                <w:spacing w:val="-2"/>
                <w:lang w:val="ru-RU"/>
              </w:rPr>
              <w:t xml:space="preserve"> </w:t>
            </w:r>
            <w:r w:rsidRPr="00802D35">
              <w:rPr>
                <w:rFonts w:ascii="Times New Roman" w:hAnsi="Times New Roman" w:cs="Times New Roman"/>
                <w:lang w:val="ru-RU"/>
              </w:rPr>
              <w:t>от</w:t>
            </w:r>
            <w:r w:rsidRPr="00802D35">
              <w:rPr>
                <w:rFonts w:ascii="Times New Roman" w:hAnsi="Times New Roman" w:cs="Times New Roman"/>
                <w:spacing w:val="-1"/>
                <w:lang w:val="ru-RU"/>
              </w:rPr>
              <w:t xml:space="preserve"> </w:t>
            </w:r>
            <w:r w:rsidRPr="00802D35">
              <w:rPr>
                <w:rFonts w:ascii="Times New Roman" w:hAnsi="Times New Roman" w:cs="Times New Roman"/>
                <w:lang w:val="ru-RU"/>
              </w:rPr>
              <w:t>АО</w:t>
            </w:r>
          </w:p>
          <w:p w:rsidR="00526C3E" w:rsidRPr="00802D35" w:rsidRDefault="00526C3E" w:rsidP="000306C6">
            <w:pPr>
              <w:pStyle w:val="TableParagraph"/>
              <w:rPr>
                <w:rFonts w:ascii="Times New Roman" w:hAnsi="Times New Roman" w:cs="Times New Roman"/>
                <w:lang w:val="ru-RU"/>
              </w:rPr>
            </w:pPr>
            <w:r w:rsidRPr="00802D35">
              <w:rPr>
                <w:rFonts w:ascii="Times New Roman" w:hAnsi="Times New Roman" w:cs="Times New Roman"/>
                <w:lang w:val="ru-RU"/>
              </w:rPr>
              <w:t>«Национальный</w:t>
            </w:r>
          </w:p>
          <w:p w:rsidR="00526C3E" w:rsidRPr="00802D35" w:rsidRDefault="00526C3E" w:rsidP="000306C6">
            <w:pPr>
              <w:pStyle w:val="TableParagraph"/>
              <w:rPr>
                <w:rFonts w:ascii="Times New Roman" w:hAnsi="Times New Roman" w:cs="Times New Roman"/>
                <w:lang w:val="ru-RU"/>
              </w:rPr>
            </w:pPr>
            <w:r w:rsidRPr="00802D35">
              <w:rPr>
                <w:rFonts w:ascii="Times New Roman" w:hAnsi="Times New Roman" w:cs="Times New Roman"/>
                <w:lang w:val="ru-RU"/>
              </w:rPr>
              <w:t>управляющий</w:t>
            </w:r>
            <w:r w:rsidRPr="00802D35">
              <w:rPr>
                <w:rFonts w:ascii="Times New Roman" w:hAnsi="Times New Roman" w:cs="Times New Roman"/>
                <w:spacing w:val="-5"/>
                <w:lang w:val="ru-RU"/>
              </w:rPr>
              <w:t xml:space="preserve"> </w:t>
            </w:r>
            <w:r w:rsidRPr="00802D35">
              <w:rPr>
                <w:rFonts w:ascii="Times New Roman" w:hAnsi="Times New Roman" w:cs="Times New Roman"/>
                <w:lang w:val="ru-RU"/>
              </w:rPr>
              <w:t>холдинг</w:t>
            </w:r>
          </w:p>
          <w:p w:rsidR="00526C3E" w:rsidRPr="00802D35" w:rsidRDefault="00526C3E" w:rsidP="000306C6">
            <w:pPr>
              <w:pStyle w:val="TableParagraph"/>
              <w:rPr>
                <w:rFonts w:ascii="Times New Roman" w:hAnsi="Times New Roman" w:cs="Times New Roman"/>
                <w:lang w:val="ru-RU"/>
              </w:rPr>
            </w:pPr>
            <w:r w:rsidRPr="00802D35">
              <w:rPr>
                <w:rFonts w:ascii="Times New Roman" w:hAnsi="Times New Roman" w:cs="Times New Roman"/>
                <w:lang w:val="ru-RU"/>
              </w:rPr>
              <w:t>«КазАгро»</w:t>
            </w:r>
          </w:p>
        </w:tc>
        <w:tc>
          <w:tcPr>
            <w:tcW w:w="708"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3,0</w:t>
            </w:r>
          </w:p>
        </w:tc>
        <w:tc>
          <w:tcPr>
            <w:tcW w:w="709"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2019-2022</w:t>
            </w:r>
          </w:p>
        </w:tc>
        <w:tc>
          <w:tcPr>
            <w:tcW w:w="709" w:type="dxa"/>
            <w:vAlign w:val="center"/>
          </w:tcPr>
          <w:p w:rsidR="00526C3E" w:rsidRPr="00802D35" w:rsidRDefault="00526C3E" w:rsidP="000306C6">
            <w:pPr>
              <w:pStyle w:val="TableParagraph"/>
              <w:ind w:right="146"/>
              <w:jc w:val="center"/>
              <w:rPr>
                <w:rFonts w:ascii="Times New Roman" w:hAnsi="Times New Roman" w:cs="Times New Roman"/>
                <w:lang w:val="ru-RU"/>
              </w:rPr>
            </w:pPr>
            <w:r w:rsidRPr="00802D35">
              <w:rPr>
                <w:rFonts w:ascii="Times New Roman" w:hAnsi="Times New Roman" w:cs="Times New Roman"/>
                <w:lang w:val="ru-RU"/>
              </w:rPr>
              <w:t>3,0</w:t>
            </w:r>
          </w:p>
        </w:tc>
        <w:tc>
          <w:tcPr>
            <w:tcW w:w="709" w:type="dxa"/>
            <w:vAlign w:val="center"/>
          </w:tcPr>
          <w:p w:rsidR="00526C3E" w:rsidRPr="00802D35" w:rsidRDefault="00526C3E" w:rsidP="000306C6">
            <w:pPr>
              <w:pStyle w:val="TableParagraph"/>
              <w:ind w:right="54"/>
              <w:jc w:val="center"/>
              <w:rPr>
                <w:rFonts w:ascii="Times New Roman" w:hAnsi="Times New Roman" w:cs="Times New Roman"/>
                <w:lang w:val="ru-RU"/>
              </w:rPr>
            </w:pPr>
            <w:r w:rsidRPr="00802D35">
              <w:rPr>
                <w:rFonts w:ascii="Times New Roman" w:hAnsi="Times New Roman" w:cs="Times New Roman"/>
                <w:lang w:val="ru-RU"/>
              </w:rPr>
              <w:t>2022</w:t>
            </w:r>
          </w:p>
        </w:tc>
        <w:tc>
          <w:tcPr>
            <w:tcW w:w="708" w:type="dxa"/>
            <w:vAlign w:val="center"/>
          </w:tcPr>
          <w:p w:rsidR="00526C3E" w:rsidRPr="00802D35" w:rsidRDefault="00526C3E" w:rsidP="000306C6">
            <w:pPr>
              <w:pStyle w:val="TableParagraph"/>
              <w:ind w:right="140"/>
              <w:jc w:val="center"/>
              <w:rPr>
                <w:rFonts w:ascii="Times New Roman" w:hAnsi="Times New Roman" w:cs="Times New Roman"/>
                <w:lang w:val="ru-RU"/>
              </w:rPr>
            </w:pPr>
            <w:r w:rsidRPr="00802D35">
              <w:rPr>
                <w:rFonts w:ascii="Times New Roman" w:hAnsi="Times New Roman" w:cs="Times New Roman"/>
                <w:lang w:val="ru-RU"/>
              </w:rPr>
              <w:t>3,0</w:t>
            </w:r>
          </w:p>
        </w:tc>
        <w:tc>
          <w:tcPr>
            <w:tcW w:w="709" w:type="dxa"/>
            <w:vAlign w:val="center"/>
          </w:tcPr>
          <w:p w:rsidR="00526C3E" w:rsidRPr="00802D35" w:rsidRDefault="00526C3E" w:rsidP="000306C6">
            <w:pPr>
              <w:pStyle w:val="TableParagraph"/>
              <w:ind w:right="168"/>
              <w:jc w:val="center"/>
              <w:rPr>
                <w:rFonts w:ascii="Times New Roman" w:hAnsi="Times New Roman" w:cs="Times New Roman"/>
                <w:lang w:val="ru-RU"/>
              </w:rPr>
            </w:pPr>
            <w:r w:rsidRPr="00802D35">
              <w:rPr>
                <w:rFonts w:ascii="Times New Roman" w:hAnsi="Times New Roman" w:cs="Times New Roman"/>
                <w:lang w:val="ru-RU"/>
              </w:rPr>
              <w:t>2022</w:t>
            </w:r>
          </w:p>
        </w:tc>
        <w:tc>
          <w:tcPr>
            <w:tcW w:w="709" w:type="dxa"/>
            <w:vAlign w:val="center"/>
          </w:tcPr>
          <w:p w:rsidR="00526C3E" w:rsidRPr="00802D35" w:rsidRDefault="00526C3E" w:rsidP="000306C6">
            <w:pPr>
              <w:pStyle w:val="TableParagraph"/>
              <w:ind w:right="138"/>
              <w:jc w:val="center"/>
              <w:rPr>
                <w:rFonts w:ascii="Times New Roman" w:hAnsi="Times New Roman" w:cs="Times New Roman"/>
                <w:lang w:val="ru-RU"/>
              </w:rPr>
            </w:pPr>
            <w:r w:rsidRPr="00802D35">
              <w:rPr>
                <w:rFonts w:ascii="Times New Roman" w:hAnsi="Times New Roman" w:cs="Times New Roman"/>
                <w:lang w:val="ru-RU"/>
              </w:rPr>
              <w:t>3,0</w:t>
            </w:r>
          </w:p>
        </w:tc>
        <w:tc>
          <w:tcPr>
            <w:tcW w:w="709" w:type="dxa"/>
            <w:vAlign w:val="center"/>
          </w:tcPr>
          <w:p w:rsidR="00526C3E" w:rsidRPr="00802D35" w:rsidRDefault="00526C3E" w:rsidP="000306C6">
            <w:pPr>
              <w:pStyle w:val="TableParagraph"/>
              <w:ind w:right="180"/>
              <w:jc w:val="center"/>
              <w:rPr>
                <w:rFonts w:ascii="Times New Roman" w:hAnsi="Times New Roman" w:cs="Times New Roman"/>
                <w:lang w:val="ru-RU"/>
              </w:rPr>
            </w:pPr>
            <w:r w:rsidRPr="00802D35">
              <w:rPr>
                <w:rFonts w:ascii="Times New Roman" w:hAnsi="Times New Roman" w:cs="Times New Roman"/>
                <w:lang w:val="ru-RU"/>
              </w:rPr>
              <w:t>2022</w:t>
            </w:r>
          </w:p>
        </w:tc>
        <w:tc>
          <w:tcPr>
            <w:tcW w:w="708" w:type="dxa"/>
            <w:vAlign w:val="center"/>
          </w:tcPr>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3,0</w:t>
            </w:r>
          </w:p>
        </w:tc>
        <w:tc>
          <w:tcPr>
            <w:tcW w:w="709" w:type="dxa"/>
            <w:vAlign w:val="center"/>
          </w:tcPr>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2022</w:t>
            </w:r>
          </w:p>
        </w:tc>
      </w:tr>
      <w:tr w:rsidR="00526C3E" w:rsidRPr="00802D35" w:rsidTr="000306C6">
        <w:trPr>
          <w:trHeight w:val="583"/>
        </w:trPr>
        <w:tc>
          <w:tcPr>
            <w:tcW w:w="2694" w:type="dxa"/>
          </w:tcPr>
          <w:p w:rsidR="00526C3E" w:rsidRPr="00802D35" w:rsidRDefault="00526C3E" w:rsidP="000306C6">
            <w:pPr>
              <w:pStyle w:val="TableParagraph"/>
              <w:ind w:right="103"/>
              <w:jc w:val="both"/>
              <w:rPr>
                <w:rFonts w:ascii="Times New Roman" w:hAnsi="Times New Roman" w:cs="Times New Roman"/>
                <w:lang w:val="ru-RU"/>
              </w:rPr>
            </w:pPr>
            <w:r w:rsidRPr="00802D35">
              <w:rPr>
                <w:rFonts w:ascii="Times New Roman" w:hAnsi="Times New Roman" w:cs="Times New Roman"/>
                <w:lang w:val="ru-RU"/>
              </w:rPr>
              <w:t xml:space="preserve">Прочие </w:t>
            </w:r>
          </w:p>
        </w:tc>
        <w:tc>
          <w:tcPr>
            <w:tcW w:w="708"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1,0-10,0</w:t>
            </w:r>
          </w:p>
        </w:tc>
        <w:tc>
          <w:tcPr>
            <w:tcW w:w="709" w:type="dxa"/>
            <w:vAlign w:val="center"/>
          </w:tcPr>
          <w:p w:rsidR="00526C3E" w:rsidRPr="00802D35" w:rsidRDefault="00526C3E"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2017-2023</w:t>
            </w:r>
          </w:p>
        </w:tc>
        <w:tc>
          <w:tcPr>
            <w:tcW w:w="709" w:type="dxa"/>
            <w:vAlign w:val="center"/>
          </w:tcPr>
          <w:p w:rsidR="00526C3E" w:rsidRPr="00802D35" w:rsidRDefault="00526C3E" w:rsidP="000306C6">
            <w:pPr>
              <w:pStyle w:val="TableParagraph"/>
              <w:ind w:right="143"/>
              <w:jc w:val="center"/>
              <w:rPr>
                <w:rFonts w:ascii="Times New Roman" w:hAnsi="Times New Roman" w:cs="Times New Roman"/>
                <w:lang w:val="ru-RU"/>
              </w:rPr>
            </w:pPr>
            <w:r w:rsidRPr="00802D35">
              <w:rPr>
                <w:rFonts w:ascii="Times New Roman" w:hAnsi="Times New Roman" w:cs="Times New Roman"/>
                <w:lang w:val="ru-RU"/>
              </w:rPr>
              <w:t>1,0-10,0</w:t>
            </w:r>
          </w:p>
        </w:tc>
        <w:tc>
          <w:tcPr>
            <w:tcW w:w="709" w:type="dxa"/>
            <w:vAlign w:val="center"/>
          </w:tcPr>
          <w:p w:rsidR="00526C3E" w:rsidRPr="00802D35" w:rsidRDefault="00526C3E" w:rsidP="000306C6">
            <w:pPr>
              <w:pStyle w:val="TableParagraph"/>
              <w:ind w:right="54"/>
              <w:jc w:val="center"/>
              <w:rPr>
                <w:rFonts w:ascii="Times New Roman" w:hAnsi="Times New Roman" w:cs="Times New Roman"/>
                <w:lang w:val="ru-RU"/>
              </w:rPr>
            </w:pPr>
            <w:r w:rsidRPr="00802D35">
              <w:rPr>
                <w:rFonts w:ascii="Times New Roman" w:hAnsi="Times New Roman" w:cs="Times New Roman"/>
                <w:lang w:val="ru-RU"/>
              </w:rPr>
              <w:t>2019-2026</w:t>
            </w:r>
          </w:p>
        </w:tc>
        <w:tc>
          <w:tcPr>
            <w:tcW w:w="708" w:type="dxa"/>
            <w:vAlign w:val="center"/>
          </w:tcPr>
          <w:p w:rsidR="00526C3E" w:rsidRPr="00802D35" w:rsidRDefault="00526C3E" w:rsidP="000306C6">
            <w:pPr>
              <w:pStyle w:val="TableParagraph"/>
              <w:ind w:right="138"/>
              <w:jc w:val="center"/>
              <w:rPr>
                <w:rFonts w:ascii="Times New Roman" w:hAnsi="Times New Roman" w:cs="Times New Roman"/>
                <w:lang w:val="ru-RU"/>
              </w:rPr>
            </w:pPr>
            <w:r w:rsidRPr="00802D35">
              <w:rPr>
                <w:rFonts w:ascii="Times New Roman" w:hAnsi="Times New Roman" w:cs="Times New Roman"/>
                <w:lang w:val="ru-RU"/>
              </w:rPr>
              <w:t>1,0-10,0</w:t>
            </w:r>
          </w:p>
        </w:tc>
        <w:tc>
          <w:tcPr>
            <w:tcW w:w="709" w:type="dxa"/>
            <w:vAlign w:val="center"/>
          </w:tcPr>
          <w:p w:rsidR="00526C3E" w:rsidRPr="00802D35" w:rsidRDefault="00526C3E" w:rsidP="000306C6">
            <w:pPr>
              <w:pStyle w:val="TableParagraph"/>
              <w:ind w:right="168"/>
              <w:jc w:val="center"/>
              <w:rPr>
                <w:rFonts w:ascii="Times New Roman" w:hAnsi="Times New Roman" w:cs="Times New Roman"/>
                <w:lang w:val="ru-RU"/>
              </w:rPr>
            </w:pPr>
            <w:r w:rsidRPr="00802D35">
              <w:rPr>
                <w:rFonts w:ascii="Times New Roman" w:hAnsi="Times New Roman" w:cs="Times New Roman"/>
                <w:lang w:val="ru-RU"/>
              </w:rPr>
              <w:t>2020-2026</w:t>
            </w:r>
          </w:p>
        </w:tc>
        <w:tc>
          <w:tcPr>
            <w:tcW w:w="709" w:type="dxa"/>
            <w:vAlign w:val="center"/>
          </w:tcPr>
          <w:p w:rsidR="00526C3E" w:rsidRPr="00802D35" w:rsidRDefault="00526C3E" w:rsidP="000306C6">
            <w:pPr>
              <w:pStyle w:val="TableParagraph"/>
              <w:ind w:right="135"/>
              <w:jc w:val="center"/>
              <w:rPr>
                <w:rFonts w:ascii="Times New Roman" w:hAnsi="Times New Roman" w:cs="Times New Roman"/>
                <w:lang w:val="ru-RU"/>
              </w:rPr>
            </w:pPr>
            <w:r w:rsidRPr="00802D35">
              <w:rPr>
                <w:rFonts w:ascii="Times New Roman" w:hAnsi="Times New Roman" w:cs="Times New Roman"/>
                <w:lang w:val="ru-RU"/>
              </w:rPr>
              <w:t>1,0-16,0</w:t>
            </w:r>
          </w:p>
        </w:tc>
        <w:tc>
          <w:tcPr>
            <w:tcW w:w="709" w:type="dxa"/>
            <w:vAlign w:val="center"/>
          </w:tcPr>
          <w:p w:rsidR="00526C3E" w:rsidRPr="00802D35" w:rsidRDefault="00526C3E" w:rsidP="000306C6">
            <w:pPr>
              <w:pStyle w:val="TableParagraph"/>
              <w:ind w:right="180"/>
              <w:jc w:val="center"/>
              <w:rPr>
                <w:rFonts w:ascii="Times New Roman" w:hAnsi="Times New Roman" w:cs="Times New Roman"/>
                <w:lang w:val="ru-RU"/>
              </w:rPr>
            </w:pPr>
            <w:r w:rsidRPr="00802D35">
              <w:rPr>
                <w:rFonts w:ascii="Times New Roman" w:hAnsi="Times New Roman" w:cs="Times New Roman"/>
                <w:lang w:val="ru-RU"/>
              </w:rPr>
              <w:t>2021-2026</w:t>
            </w:r>
          </w:p>
        </w:tc>
        <w:tc>
          <w:tcPr>
            <w:tcW w:w="708" w:type="dxa"/>
            <w:vAlign w:val="center"/>
          </w:tcPr>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1,0-10,0</w:t>
            </w:r>
          </w:p>
        </w:tc>
        <w:tc>
          <w:tcPr>
            <w:tcW w:w="709" w:type="dxa"/>
            <w:vAlign w:val="center"/>
          </w:tcPr>
          <w:p w:rsidR="00526C3E" w:rsidRPr="00802D35" w:rsidRDefault="00526C3E" w:rsidP="000306C6">
            <w:pPr>
              <w:pStyle w:val="TableParagraph"/>
              <w:ind w:right="34"/>
              <w:jc w:val="center"/>
              <w:rPr>
                <w:rFonts w:ascii="Times New Roman" w:hAnsi="Times New Roman" w:cs="Times New Roman"/>
                <w:lang w:val="ru-RU"/>
              </w:rPr>
            </w:pPr>
            <w:r w:rsidRPr="00802D35">
              <w:rPr>
                <w:rFonts w:ascii="Times New Roman" w:hAnsi="Times New Roman" w:cs="Times New Roman"/>
                <w:lang w:val="ru-RU"/>
              </w:rPr>
              <w:t>2018-2023</w:t>
            </w:r>
          </w:p>
        </w:tc>
      </w:tr>
      <w:tr w:rsidR="00526C3E" w:rsidRPr="00802D35" w:rsidTr="000306C6">
        <w:trPr>
          <w:trHeight w:val="291"/>
        </w:trPr>
        <w:tc>
          <w:tcPr>
            <w:tcW w:w="9781" w:type="dxa"/>
            <w:gridSpan w:val="11"/>
          </w:tcPr>
          <w:p w:rsidR="00526C3E" w:rsidRPr="00802D35" w:rsidRDefault="00526C3E" w:rsidP="0032339D">
            <w:pPr>
              <w:pStyle w:val="2"/>
              <w:shd w:val="clear" w:color="auto" w:fill="FFFFFF"/>
              <w:spacing w:before="0"/>
              <w:jc w:val="both"/>
              <w:outlineLvl w:val="1"/>
              <w:rPr>
                <w:sz w:val="22"/>
                <w:szCs w:val="22"/>
                <w:lang w:val="ru-RU"/>
              </w:rPr>
            </w:pPr>
            <w:r w:rsidRPr="00802D35">
              <w:rPr>
                <w:b w:val="0"/>
                <w:sz w:val="22"/>
                <w:szCs w:val="22"/>
                <w:lang w:val="ru-RU"/>
              </w:rPr>
              <w:t>Примечание - составлено на основании источников [</w:t>
            </w:r>
            <w:r w:rsidR="000B0564" w:rsidRPr="00802D35">
              <w:rPr>
                <w:b w:val="0"/>
                <w:sz w:val="22"/>
                <w:szCs w:val="22"/>
                <w:lang w:val="ru-RU"/>
              </w:rPr>
              <w:t>97</w:t>
            </w:r>
            <w:r w:rsidRPr="00802D35">
              <w:rPr>
                <w:b w:val="0"/>
                <w:sz w:val="22"/>
                <w:szCs w:val="22"/>
                <w:lang w:val="ru-RU"/>
              </w:rPr>
              <w:t>], [</w:t>
            </w:r>
            <w:r w:rsidR="000B0564" w:rsidRPr="00802D35">
              <w:rPr>
                <w:b w:val="0"/>
                <w:sz w:val="22"/>
                <w:szCs w:val="22"/>
                <w:lang w:val="ru-RU"/>
              </w:rPr>
              <w:t>98</w:t>
            </w:r>
            <w:r w:rsidRPr="00802D35">
              <w:rPr>
                <w:b w:val="0"/>
                <w:sz w:val="22"/>
                <w:szCs w:val="22"/>
                <w:lang w:val="ru-RU"/>
              </w:rPr>
              <w:t>],[</w:t>
            </w:r>
            <w:r w:rsidR="000B0564" w:rsidRPr="00802D35">
              <w:rPr>
                <w:b w:val="0"/>
                <w:sz w:val="22"/>
                <w:szCs w:val="22"/>
                <w:lang w:val="ru-RU"/>
              </w:rPr>
              <w:t>99</w:t>
            </w:r>
            <w:r w:rsidRPr="00802D35">
              <w:rPr>
                <w:b w:val="0"/>
                <w:sz w:val="22"/>
                <w:szCs w:val="22"/>
                <w:lang w:val="ru-RU"/>
              </w:rPr>
              <w:t>],[</w:t>
            </w:r>
            <w:r w:rsidR="000B0564" w:rsidRPr="00802D35">
              <w:rPr>
                <w:b w:val="0"/>
                <w:sz w:val="22"/>
                <w:szCs w:val="22"/>
                <w:lang w:val="ru-RU"/>
              </w:rPr>
              <w:t>100</w:t>
            </w:r>
            <w:r w:rsidRPr="00802D35">
              <w:rPr>
                <w:b w:val="0"/>
                <w:sz w:val="22"/>
                <w:szCs w:val="22"/>
                <w:lang w:val="ru-RU"/>
              </w:rPr>
              <w:t>].</w:t>
            </w:r>
          </w:p>
        </w:tc>
      </w:tr>
    </w:tbl>
    <w:p w:rsidR="00526C3E" w:rsidRPr="00802D35" w:rsidRDefault="00526C3E" w:rsidP="00526C3E">
      <w:pPr>
        <w:pStyle w:val="af3"/>
        <w:ind w:right="-1"/>
        <w:jc w:val="both"/>
        <w:rPr>
          <w:rStyle w:val="HTML"/>
          <w:rFonts w:ascii="Times New Roman" w:hAnsi="Times New Roman"/>
          <w:i w:val="0"/>
          <w:szCs w:val="28"/>
          <w:shd w:val="clear" w:color="auto" w:fill="FFFFFF"/>
        </w:rPr>
      </w:pPr>
    </w:p>
    <w:p w:rsidR="00526C3E" w:rsidRPr="00802D35" w:rsidRDefault="00526C3E" w:rsidP="00526C3E">
      <w:pPr>
        <w:pStyle w:val="af3"/>
        <w:ind w:right="-1" w:firstLine="567"/>
        <w:jc w:val="both"/>
        <w:rPr>
          <w:rStyle w:val="HTML"/>
          <w:rFonts w:ascii="Times New Roman" w:hAnsi="Times New Roman"/>
          <w:i w:val="0"/>
          <w:szCs w:val="28"/>
          <w:shd w:val="clear" w:color="auto" w:fill="FFFFFF"/>
        </w:rPr>
      </w:pPr>
      <w:r w:rsidRPr="00802D35">
        <w:rPr>
          <w:rStyle w:val="HTML"/>
          <w:rFonts w:ascii="Times New Roman" w:hAnsi="Times New Roman"/>
          <w:i w:val="0"/>
          <w:szCs w:val="28"/>
          <w:shd w:val="clear" w:color="auto" w:fill="FFFFFF"/>
        </w:rPr>
        <w:lastRenderedPageBreak/>
        <w:t>Необходимо отметить, что займы преимущественно по государственным  программам поддержки предпринимателей. Среди займов банка можно выделить:</w:t>
      </w:r>
    </w:p>
    <w:p w:rsidR="00526C3E" w:rsidRPr="00802D35" w:rsidRDefault="00526C3E" w:rsidP="00203A4B">
      <w:pPr>
        <w:pStyle w:val="af3"/>
        <w:widowControl w:val="0"/>
        <w:numPr>
          <w:ilvl w:val="0"/>
          <w:numId w:val="14"/>
        </w:numPr>
        <w:tabs>
          <w:tab w:val="left" w:pos="709"/>
          <w:tab w:val="left" w:pos="851"/>
        </w:tabs>
        <w:autoSpaceDE w:val="0"/>
        <w:autoSpaceDN w:val="0"/>
        <w:ind w:left="0" w:right="-1" w:firstLine="567"/>
        <w:jc w:val="both"/>
        <w:rPr>
          <w:rFonts w:ascii="Times New Roman" w:hAnsi="Times New Roman"/>
          <w:szCs w:val="28"/>
        </w:rPr>
      </w:pPr>
      <w:r w:rsidRPr="00802D35">
        <w:rPr>
          <w:rFonts w:ascii="Times New Roman" w:hAnsi="Times New Roman"/>
          <w:szCs w:val="28"/>
        </w:rPr>
        <w:t>долгосрочный</w:t>
      </w:r>
      <w:r w:rsidRPr="00802D35">
        <w:rPr>
          <w:rStyle w:val="HTML"/>
          <w:rFonts w:ascii="Times New Roman" w:hAnsi="Times New Roman"/>
          <w:i w:val="0"/>
          <w:szCs w:val="28"/>
          <w:shd w:val="clear" w:color="auto" w:fill="FFFFFF"/>
        </w:rPr>
        <w:t xml:space="preserve"> займ, взятый у </w:t>
      </w:r>
      <w:r w:rsidRPr="00802D35">
        <w:rPr>
          <w:rFonts w:ascii="Times New Roman" w:hAnsi="Times New Roman"/>
          <w:szCs w:val="28"/>
        </w:rPr>
        <w:t>АО «Фонд развития предпринимательства «ДАМУ» на сумму</w:t>
      </w:r>
      <w:r w:rsidRPr="00802D35">
        <w:rPr>
          <w:rFonts w:ascii="Times New Roman" w:hAnsi="Times New Roman"/>
          <w:spacing w:val="3"/>
          <w:szCs w:val="28"/>
        </w:rPr>
        <w:t xml:space="preserve"> </w:t>
      </w:r>
      <w:r w:rsidRPr="00802D35">
        <w:rPr>
          <w:rFonts w:ascii="Times New Roman" w:hAnsi="Times New Roman"/>
          <w:szCs w:val="28"/>
        </w:rPr>
        <w:t>79,57</w:t>
      </w:r>
      <w:r w:rsidRPr="00802D35">
        <w:rPr>
          <w:rFonts w:ascii="Times New Roman" w:hAnsi="Times New Roman"/>
          <w:spacing w:val="1"/>
          <w:szCs w:val="28"/>
        </w:rPr>
        <w:t xml:space="preserve"> </w:t>
      </w:r>
      <w:r w:rsidRPr="00802D35">
        <w:rPr>
          <w:rFonts w:ascii="Times New Roman" w:hAnsi="Times New Roman"/>
          <w:szCs w:val="28"/>
        </w:rPr>
        <w:t>млн</w:t>
      </w:r>
      <w:r w:rsidRPr="00802D35">
        <w:rPr>
          <w:rFonts w:ascii="Times New Roman" w:hAnsi="Times New Roman"/>
          <w:spacing w:val="1"/>
          <w:szCs w:val="28"/>
        </w:rPr>
        <w:t xml:space="preserve"> </w:t>
      </w:r>
      <w:r w:rsidRPr="00802D35">
        <w:rPr>
          <w:rFonts w:ascii="Times New Roman" w:hAnsi="Times New Roman"/>
          <w:szCs w:val="28"/>
        </w:rPr>
        <w:t>тенге по Государственной</w:t>
      </w:r>
      <w:r w:rsidRPr="00802D35">
        <w:rPr>
          <w:rFonts w:ascii="Times New Roman" w:hAnsi="Times New Roman"/>
          <w:spacing w:val="-2"/>
          <w:szCs w:val="28"/>
        </w:rPr>
        <w:t xml:space="preserve"> </w:t>
      </w:r>
      <w:r w:rsidRPr="00802D35">
        <w:rPr>
          <w:rFonts w:ascii="Times New Roman" w:hAnsi="Times New Roman"/>
          <w:szCs w:val="28"/>
        </w:rPr>
        <w:t>программе финансирования МСБ;</w:t>
      </w:r>
    </w:p>
    <w:p w:rsidR="00526C3E" w:rsidRPr="00802D35" w:rsidRDefault="00526C3E" w:rsidP="00203A4B">
      <w:pPr>
        <w:pStyle w:val="af3"/>
        <w:widowControl w:val="0"/>
        <w:numPr>
          <w:ilvl w:val="0"/>
          <w:numId w:val="14"/>
        </w:numPr>
        <w:tabs>
          <w:tab w:val="left" w:pos="709"/>
          <w:tab w:val="left" w:pos="851"/>
        </w:tabs>
        <w:autoSpaceDE w:val="0"/>
        <w:autoSpaceDN w:val="0"/>
        <w:ind w:left="0" w:right="-1" w:firstLine="567"/>
        <w:jc w:val="both"/>
        <w:rPr>
          <w:rFonts w:ascii="Times New Roman" w:hAnsi="Times New Roman"/>
          <w:szCs w:val="28"/>
        </w:rPr>
      </w:pPr>
      <w:r w:rsidRPr="00802D35">
        <w:rPr>
          <w:rFonts w:ascii="Times New Roman" w:hAnsi="Times New Roman"/>
          <w:szCs w:val="28"/>
        </w:rPr>
        <w:t>долгосрочный займ у АО «Банк Развития Казахстана» на сумму 32,01</w:t>
      </w:r>
      <w:r w:rsidRPr="00802D35">
        <w:rPr>
          <w:rFonts w:ascii="Times New Roman" w:hAnsi="Times New Roman"/>
          <w:spacing w:val="-5"/>
          <w:szCs w:val="28"/>
        </w:rPr>
        <w:t xml:space="preserve"> </w:t>
      </w:r>
      <w:r w:rsidRPr="00802D35">
        <w:rPr>
          <w:rFonts w:ascii="Times New Roman" w:hAnsi="Times New Roman"/>
          <w:szCs w:val="28"/>
        </w:rPr>
        <w:t>млн</w:t>
      </w:r>
      <w:r w:rsidRPr="00802D35">
        <w:rPr>
          <w:rFonts w:ascii="Times New Roman" w:hAnsi="Times New Roman"/>
          <w:spacing w:val="-3"/>
          <w:szCs w:val="28"/>
        </w:rPr>
        <w:t xml:space="preserve"> </w:t>
      </w:r>
      <w:r w:rsidRPr="00802D35">
        <w:rPr>
          <w:rFonts w:ascii="Times New Roman" w:hAnsi="Times New Roman"/>
          <w:szCs w:val="28"/>
        </w:rPr>
        <w:t>тенге</w:t>
      </w:r>
      <w:r w:rsidRPr="00802D35">
        <w:rPr>
          <w:rFonts w:ascii="Times New Roman" w:hAnsi="Times New Roman"/>
          <w:spacing w:val="-4"/>
          <w:szCs w:val="28"/>
        </w:rPr>
        <w:t xml:space="preserve"> </w:t>
      </w:r>
      <w:r w:rsidRPr="00802D35">
        <w:rPr>
          <w:rFonts w:ascii="Times New Roman" w:hAnsi="Times New Roman"/>
          <w:szCs w:val="28"/>
        </w:rPr>
        <w:t>для</w:t>
      </w:r>
      <w:r w:rsidRPr="00802D35">
        <w:rPr>
          <w:rFonts w:ascii="Times New Roman" w:hAnsi="Times New Roman"/>
          <w:spacing w:val="1"/>
          <w:szCs w:val="28"/>
        </w:rPr>
        <w:t xml:space="preserve"> </w:t>
      </w:r>
      <w:r w:rsidRPr="00802D35">
        <w:rPr>
          <w:rFonts w:ascii="Times New Roman" w:hAnsi="Times New Roman"/>
          <w:szCs w:val="28"/>
        </w:rPr>
        <w:t>кредитования</w:t>
      </w:r>
      <w:r w:rsidRPr="00802D35">
        <w:rPr>
          <w:rFonts w:ascii="Times New Roman" w:hAnsi="Times New Roman"/>
          <w:spacing w:val="-3"/>
          <w:szCs w:val="28"/>
        </w:rPr>
        <w:t xml:space="preserve"> </w:t>
      </w:r>
      <w:r w:rsidRPr="00802D35">
        <w:rPr>
          <w:rFonts w:ascii="Times New Roman" w:hAnsi="Times New Roman"/>
          <w:szCs w:val="28"/>
        </w:rPr>
        <w:t>субъектов</w:t>
      </w:r>
      <w:r w:rsidRPr="00802D35">
        <w:rPr>
          <w:rFonts w:ascii="Times New Roman" w:hAnsi="Times New Roman"/>
          <w:spacing w:val="-2"/>
          <w:szCs w:val="28"/>
        </w:rPr>
        <w:t xml:space="preserve"> </w:t>
      </w:r>
      <w:r w:rsidRPr="00802D35">
        <w:rPr>
          <w:rFonts w:ascii="Times New Roman" w:hAnsi="Times New Roman"/>
          <w:szCs w:val="28"/>
        </w:rPr>
        <w:t>крупного</w:t>
      </w:r>
      <w:r w:rsidRPr="00802D35">
        <w:rPr>
          <w:rFonts w:ascii="Times New Roman" w:hAnsi="Times New Roman"/>
          <w:spacing w:val="-2"/>
          <w:szCs w:val="28"/>
        </w:rPr>
        <w:t xml:space="preserve"> </w:t>
      </w:r>
      <w:r w:rsidRPr="00802D35">
        <w:rPr>
          <w:rFonts w:ascii="Times New Roman" w:hAnsi="Times New Roman"/>
          <w:szCs w:val="28"/>
        </w:rPr>
        <w:t>предпринимательства</w:t>
      </w:r>
      <w:r w:rsidRPr="00802D35">
        <w:rPr>
          <w:rFonts w:ascii="Times New Roman" w:hAnsi="Times New Roman"/>
          <w:spacing w:val="-2"/>
          <w:szCs w:val="28"/>
        </w:rPr>
        <w:t xml:space="preserve"> </w:t>
      </w:r>
      <w:r w:rsidRPr="00802D35">
        <w:rPr>
          <w:rFonts w:ascii="Times New Roman" w:hAnsi="Times New Roman"/>
          <w:szCs w:val="28"/>
        </w:rPr>
        <w:t>обрабатывающей</w:t>
      </w:r>
      <w:r w:rsidRPr="00802D35">
        <w:rPr>
          <w:rFonts w:ascii="Times New Roman" w:hAnsi="Times New Roman"/>
          <w:spacing w:val="-5"/>
          <w:szCs w:val="28"/>
        </w:rPr>
        <w:t xml:space="preserve"> </w:t>
      </w:r>
      <w:r w:rsidRPr="00802D35">
        <w:rPr>
          <w:rFonts w:ascii="Times New Roman" w:hAnsi="Times New Roman"/>
          <w:szCs w:val="28"/>
        </w:rPr>
        <w:t>промышленности;</w:t>
      </w:r>
      <w:r w:rsidRPr="00802D35">
        <w:rPr>
          <w:rFonts w:ascii="Times New Roman" w:hAnsi="Times New Roman"/>
          <w:spacing w:val="-6"/>
          <w:szCs w:val="28"/>
        </w:rPr>
        <w:t xml:space="preserve"> </w:t>
      </w:r>
    </w:p>
    <w:p w:rsidR="00526C3E" w:rsidRPr="00802D35" w:rsidRDefault="00526C3E" w:rsidP="00203A4B">
      <w:pPr>
        <w:pStyle w:val="af3"/>
        <w:widowControl w:val="0"/>
        <w:numPr>
          <w:ilvl w:val="0"/>
          <w:numId w:val="14"/>
        </w:numPr>
        <w:tabs>
          <w:tab w:val="left" w:pos="709"/>
          <w:tab w:val="left" w:pos="851"/>
        </w:tabs>
        <w:autoSpaceDE w:val="0"/>
        <w:autoSpaceDN w:val="0"/>
        <w:ind w:left="0" w:right="-1" w:firstLine="567"/>
        <w:jc w:val="both"/>
        <w:rPr>
          <w:rFonts w:ascii="Times New Roman" w:hAnsi="Times New Roman"/>
          <w:spacing w:val="-6"/>
          <w:szCs w:val="28"/>
        </w:rPr>
      </w:pPr>
      <w:r w:rsidRPr="00802D35">
        <w:rPr>
          <w:rFonts w:ascii="Times New Roman" w:hAnsi="Times New Roman"/>
          <w:szCs w:val="28"/>
        </w:rPr>
        <w:t>долгосрочный займ от АО «Национальный Управляющий Холдинг «КазАгро»</w:t>
      </w:r>
      <w:r w:rsidRPr="00802D35">
        <w:rPr>
          <w:rFonts w:ascii="Times New Roman" w:hAnsi="Times New Roman"/>
          <w:spacing w:val="-61"/>
          <w:szCs w:val="28"/>
        </w:rPr>
        <w:t xml:space="preserve"> </w:t>
      </w:r>
      <w:r w:rsidRPr="00802D35">
        <w:rPr>
          <w:rFonts w:ascii="Times New Roman" w:hAnsi="Times New Roman"/>
          <w:szCs w:val="28"/>
        </w:rPr>
        <w:t>на сумму</w:t>
      </w:r>
      <w:r w:rsidRPr="00802D35">
        <w:rPr>
          <w:rFonts w:ascii="Times New Roman" w:hAnsi="Times New Roman"/>
          <w:spacing w:val="2"/>
          <w:szCs w:val="28"/>
        </w:rPr>
        <w:t xml:space="preserve"> </w:t>
      </w:r>
      <w:r w:rsidRPr="00802D35">
        <w:rPr>
          <w:rFonts w:ascii="Times New Roman" w:hAnsi="Times New Roman"/>
          <w:szCs w:val="28"/>
        </w:rPr>
        <w:t>3,865</w:t>
      </w:r>
      <w:r w:rsidRPr="00802D35">
        <w:rPr>
          <w:rFonts w:ascii="Times New Roman" w:hAnsi="Times New Roman"/>
          <w:spacing w:val="-2"/>
          <w:szCs w:val="28"/>
        </w:rPr>
        <w:t xml:space="preserve"> </w:t>
      </w:r>
      <w:r w:rsidRPr="00802D35">
        <w:rPr>
          <w:rFonts w:ascii="Times New Roman" w:hAnsi="Times New Roman"/>
          <w:szCs w:val="28"/>
        </w:rPr>
        <w:t>млн</w:t>
      </w:r>
      <w:r w:rsidRPr="00802D35">
        <w:rPr>
          <w:rFonts w:ascii="Times New Roman" w:hAnsi="Times New Roman"/>
          <w:spacing w:val="-2"/>
          <w:szCs w:val="28"/>
        </w:rPr>
        <w:t xml:space="preserve"> </w:t>
      </w:r>
      <w:r w:rsidRPr="00802D35">
        <w:rPr>
          <w:rFonts w:ascii="Times New Roman" w:hAnsi="Times New Roman"/>
          <w:szCs w:val="28"/>
        </w:rPr>
        <w:t>тенге, направленный на поддержку заемщиков</w:t>
      </w:r>
      <w:r w:rsidRPr="00802D35">
        <w:rPr>
          <w:rFonts w:ascii="Times New Roman" w:hAnsi="Times New Roman"/>
          <w:spacing w:val="1"/>
          <w:szCs w:val="28"/>
        </w:rPr>
        <w:t xml:space="preserve"> </w:t>
      </w:r>
      <w:r w:rsidRPr="00802D35">
        <w:rPr>
          <w:rFonts w:ascii="Times New Roman" w:hAnsi="Times New Roman"/>
          <w:szCs w:val="28"/>
        </w:rPr>
        <w:t xml:space="preserve">сельскохозяйственного сектора. </w:t>
      </w:r>
    </w:p>
    <w:p w:rsidR="000F120C" w:rsidRPr="00802D35" w:rsidRDefault="00526C3E" w:rsidP="00526C3E">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bCs/>
          <w:sz w:val="28"/>
          <w:szCs w:val="28"/>
        </w:rPr>
        <w:t xml:space="preserve">Следует также отметить, что в июле 2017 г. банк погасил займ перед </w:t>
      </w:r>
      <w:r w:rsidRPr="00802D35">
        <w:rPr>
          <w:rFonts w:ascii="Times New Roman" w:hAnsi="Times New Roman" w:cs="Times New Roman"/>
          <w:sz w:val="28"/>
          <w:szCs w:val="28"/>
        </w:rPr>
        <w:t>КазАгро ввиду</w:t>
      </w:r>
      <w:r w:rsidRPr="00802D35">
        <w:rPr>
          <w:rFonts w:ascii="Times New Roman" w:hAnsi="Times New Roman" w:cs="Times New Roman"/>
          <w:spacing w:val="-4"/>
          <w:sz w:val="28"/>
          <w:szCs w:val="28"/>
        </w:rPr>
        <w:t xml:space="preserve"> </w:t>
      </w:r>
      <w:r w:rsidRPr="00802D35">
        <w:rPr>
          <w:rFonts w:ascii="Times New Roman" w:hAnsi="Times New Roman" w:cs="Times New Roman"/>
          <w:sz w:val="28"/>
          <w:szCs w:val="28"/>
        </w:rPr>
        <w:t>исключения</w:t>
      </w:r>
      <w:r w:rsidRPr="00802D35">
        <w:rPr>
          <w:rFonts w:ascii="Times New Roman" w:hAnsi="Times New Roman" w:cs="Times New Roman"/>
          <w:spacing w:val="-3"/>
          <w:sz w:val="28"/>
          <w:szCs w:val="28"/>
        </w:rPr>
        <w:t xml:space="preserve"> </w:t>
      </w:r>
      <w:r w:rsidRPr="00802D35">
        <w:rPr>
          <w:rFonts w:ascii="Times New Roman" w:hAnsi="Times New Roman" w:cs="Times New Roman"/>
          <w:sz w:val="28"/>
          <w:szCs w:val="28"/>
        </w:rPr>
        <w:t>некоторых видов</w:t>
      </w:r>
      <w:r w:rsidRPr="00802D35">
        <w:rPr>
          <w:rFonts w:ascii="Times New Roman" w:hAnsi="Times New Roman" w:cs="Times New Roman"/>
          <w:spacing w:val="-2"/>
          <w:sz w:val="28"/>
          <w:szCs w:val="28"/>
        </w:rPr>
        <w:t xml:space="preserve"> </w:t>
      </w:r>
      <w:r w:rsidRPr="00802D35">
        <w:rPr>
          <w:rFonts w:ascii="Times New Roman" w:hAnsi="Times New Roman" w:cs="Times New Roman"/>
          <w:sz w:val="28"/>
          <w:szCs w:val="28"/>
        </w:rPr>
        <w:t>займов</w:t>
      </w:r>
      <w:r w:rsidRPr="00802D35">
        <w:rPr>
          <w:rFonts w:ascii="Times New Roman" w:hAnsi="Times New Roman" w:cs="Times New Roman"/>
          <w:spacing w:val="-3"/>
          <w:sz w:val="28"/>
          <w:szCs w:val="28"/>
        </w:rPr>
        <w:t xml:space="preserve"> </w:t>
      </w:r>
      <w:r w:rsidRPr="00802D35">
        <w:rPr>
          <w:rFonts w:ascii="Times New Roman" w:hAnsi="Times New Roman" w:cs="Times New Roman"/>
          <w:sz w:val="28"/>
          <w:szCs w:val="28"/>
        </w:rPr>
        <w:t>из</w:t>
      </w:r>
      <w:r w:rsidRPr="00802D35">
        <w:rPr>
          <w:rFonts w:ascii="Times New Roman" w:hAnsi="Times New Roman" w:cs="Times New Roman"/>
          <w:spacing w:val="-3"/>
          <w:sz w:val="28"/>
          <w:szCs w:val="28"/>
        </w:rPr>
        <w:t xml:space="preserve"> их </w:t>
      </w:r>
      <w:r w:rsidRPr="00802D35">
        <w:rPr>
          <w:rFonts w:ascii="Times New Roman" w:hAnsi="Times New Roman" w:cs="Times New Roman"/>
          <w:sz w:val="28"/>
          <w:szCs w:val="28"/>
        </w:rPr>
        <w:t>программы.</w:t>
      </w:r>
    </w:p>
    <w:p w:rsidR="004369E5" w:rsidRPr="00802D35" w:rsidRDefault="004369E5" w:rsidP="004369E5">
      <w:pPr>
        <w:pStyle w:val="1"/>
        <w:shd w:val="clear" w:color="auto" w:fill="FFFFFF"/>
        <w:spacing w:before="0" w:line="240" w:lineRule="auto"/>
        <w:ind w:firstLine="567"/>
        <w:jc w:val="both"/>
        <w:rPr>
          <w:rStyle w:val="HTML"/>
          <w:rFonts w:ascii="Times New Roman" w:hAnsi="Times New Roman" w:cs="Times New Roman"/>
          <w:b w:val="0"/>
          <w:i w:val="0"/>
          <w:color w:val="auto"/>
          <w:shd w:val="clear" w:color="auto" w:fill="FFFFFF"/>
        </w:rPr>
      </w:pPr>
      <w:r w:rsidRPr="00802D35">
        <w:rPr>
          <w:rStyle w:val="HTML"/>
          <w:rFonts w:ascii="Times New Roman" w:hAnsi="Times New Roman" w:cs="Times New Roman"/>
          <w:b w:val="0"/>
          <w:i w:val="0"/>
          <w:color w:val="auto"/>
          <w:shd w:val="clear" w:color="auto" w:fill="FFFFFF"/>
        </w:rPr>
        <w:t>АО Halyk Bank является активным эмитентом на финансовом рынке Казахстана и осуществляет выпуск долговых инструментов для обращения как внутри страны, так и на мировом рынке (таблица 5).</w:t>
      </w:r>
    </w:p>
    <w:p w:rsidR="004369E5" w:rsidRPr="00802D35" w:rsidRDefault="004369E5" w:rsidP="004369E5">
      <w:pPr>
        <w:pStyle w:val="1"/>
        <w:shd w:val="clear" w:color="auto" w:fill="FFFFFF"/>
        <w:spacing w:before="0" w:line="240" w:lineRule="auto"/>
        <w:jc w:val="both"/>
        <w:rPr>
          <w:rStyle w:val="HTML"/>
          <w:rFonts w:ascii="Times New Roman" w:hAnsi="Times New Roman" w:cs="Times New Roman"/>
          <w:b w:val="0"/>
          <w:i w:val="0"/>
          <w:color w:val="auto"/>
          <w:shd w:val="clear" w:color="auto" w:fill="FFFFFF"/>
        </w:rPr>
      </w:pPr>
    </w:p>
    <w:p w:rsidR="004369E5" w:rsidRPr="00802D35" w:rsidRDefault="004369E5" w:rsidP="004369E5">
      <w:pPr>
        <w:pStyle w:val="1"/>
        <w:shd w:val="clear" w:color="auto" w:fill="FFFFFF"/>
        <w:spacing w:before="0" w:line="240" w:lineRule="auto"/>
        <w:jc w:val="both"/>
        <w:rPr>
          <w:rStyle w:val="HTML"/>
          <w:rFonts w:ascii="Times New Roman" w:hAnsi="Times New Roman" w:cs="Times New Roman"/>
          <w:b w:val="0"/>
          <w:i w:val="0"/>
          <w:color w:val="auto"/>
          <w:shd w:val="clear" w:color="auto" w:fill="FFFFFF"/>
        </w:rPr>
      </w:pPr>
      <w:r w:rsidRPr="00802D35">
        <w:rPr>
          <w:rStyle w:val="HTML"/>
          <w:rFonts w:ascii="Times New Roman" w:hAnsi="Times New Roman" w:cs="Times New Roman"/>
          <w:b w:val="0"/>
          <w:i w:val="0"/>
          <w:color w:val="auto"/>
          <w:shd w:val="clear" w:color="auto" w:fill="FFFFFF"/>
        </w:rPr>
        <w:t>Таблица 5 - Структура выпущенных облигаций АО Halyk Bank, млрд тенге</w:t>
      </w:r>
    </w:p>
    <w:p w:rsidR="004369E5" w:rsidRPr="00802D35" w:rsidRDefault="004369E5" w:rsidP="004369E5">
      <w:pPr>
        <w:pStyle w:val="1"/>
        <w:shd w:val="clear" w:color="auto" w:fill="FFFFFF"/>
        <w:spacing w:before="0" w:line="240" w:lineRule="auto"/>
        <w:jc w:val="both"/>
        <w:rPr>
          <w:rStyle w:val="HTML"/>
          <w:rFonts w:ascii="Times New Roman" w:hAnsi="Times New Roman" w:cs="Times New Roman"/>
          <w:b w:val="0"/>
          <w:i w:val="0"/>
          <w:color w:val="auto"/>
          <w:shd w:val="clear" w:color="auto" w:fill="FFFFFF"/>
        </w:rPr>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276"/>
        <w:gridCol w:w="1134"/>
        <w:gridCol w:w="1134"/>
        <w:gridCol w:w="1134"/>
        <w:gridCol w:w="1134"/>
      </w:tblGrid>
      <w:tr w:rsidR="004369E5" w:rsidRPr="00802D35" w:rsidTr="000306C6">
        <w:trPr>
          <w:trHeight w:val="389"/>
        </w:trPr>
        <w:tc>
          <w:tcPr>
            <w:tcW w:w="3828" w:type="dxa"/>
            <w:vAlign w:val="center"/>
          </w:tcPr>
          <w:p w:rsidR="004369E5" w:rsidRPr="00802D35" w:rsidRDefault="004369E5" w:rsidP="000306C6">
            <w:pPr>
              <w:pStyle w:val="TableParagraph"/>
              <w:jc w:val="center"/>
              <w:rPr>
                <w:rFonts w:ascii="Times New Roman" w:hAnsi="Times New Roman" w:cs="Times New Roman"/>
                <w:lang w:val="ru-RU"/>
              </w:rPr>
            </w:pPr>
            <w:r w:rsidRPr="00802D35">
              <w:rPr>
                <w:rFonts w:ascii="Times New Roman" w:hAnsi="Times New Roman" w:cs="Times New Roman"/>
                <w:lang w:val="ru-RU"/>
              </w:rPr>
              <w:t>Виды облигаций</w:t>
            </w:r>
          </w:p>
        </w:tc>
        <w:tc>
          <w:tcPr>
            <w:tcW w:w="1276"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2016 г.</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2017 г.</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2018 г.</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2019 г.</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2020 г.</w:t>
            </w:r>
          </w:p>
        </w:tc>
      </w:tr>
      <w:tr w:rsidR="004369E5" w:rsidRPr="00802D35" w:rsidTr="000306C6">
        <w:trPr>
          <w:trHeight w:val="388"/>
        </w:trPr>
        <w:tc>
          <w:tcPr>
            <w:tcW w:w="3828" w:type="dxa"/>
          </w:tcPr>
          <w:p w:rsidR="004369E5" w:rsidRPr="00802D35" w:rsidRDefault="004369E5" w:rsidP="000306C6">
            <w:pPr>
              <w:pStyle w:val="TableParagraph"/>
              <w:rPr>
                <w:rFonts w:ascii="Times New Roman" w:hAnsi="Times New Roman" w:cs="Times New Roman"/>
                <w:i/>
                <w:lang w:val="ru-RU"/>
              </w:rPr>
            </w:pPr>
            <w:r w:rsidRPr="00802D35">
              <w:rPr>
                <w:rFonts w:ascii="Times New Roman" w:hAnsi="Times New Roman" w:cs="Times New Roman"/>
                <w:i/>
                <w:lang w:val="ru-RU"/>
              </w:rPr>
              <w:t xml:space="preserve">Субординированные </w:t>
            </w:r>
            <w:r w:rsidRPr="00802D35">
              <w:rPr>
                <w:rFonts w:ascii="Times New Roman" w:hAnsi="Times New Roman" w:cs="Times New Roman"/>
                <w:i/>
                <w:spacing w:val="-52"/>
                <w:lang w:val="ru-RU"/>
              </w:rPr>
              <w:t xml:space="preserve"> </w:t>
            </w:r>
            <w:r w:rsidRPr="00802D35">
              <w:rPr>
                <w:rFonts w:ascii="Times New Roman" w:hAnsi="Times New Roman" w:cs="Times New Roman"/>
                <w:i/>
                <w:lang w:val="ru-RU"/>
              </w:rPr>
              <w:t>долговые ценные</w:t>
            </w:r>
            <w:r w:rsidRPr="00802D35">
              <w:rPr>
                <w:rFonts w:ascii="Times New Roman" w:hAnsi="Times New Roman" w:cs="Times New Roman"/>
                <w:i/>
                <w:spacing w:val="-2"/>
                <w:lang w:val="ru-RU"/>
              </w:rPr>
              <w:t xml:space="preserve"> </w:t>
            </w:r>
            <w:r w:rsidRPr="00802D35">
              <w:rPr>
                <w:rFonts w:ascii="Times New Roman" w:hAnsi="Times New Roman" w:cs="Times New Roman"/>
                <w:i/>
                <w:lang w:val="ru-RU"/>
              </w:rPr>
              <w:t>бумаги:</w:t>
            </w:r>
          </w:p>
        </w:tc>
        <w:tc>
          <w:tcPr>
            <w:tcW w:w="1276"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i/>
                <w:lang w:val="ru-RU"/>
              </w:rPr>
            </w:pPr>
            <w:r w:rsidRPr="00802D35">
              <w:rPr>
                <w:rFonts w:ascii="Times New Roman" w:hAnsi="Times New Roman" w:cs="Times New Roman"/>
                <w:i/>
                <w:lang w:val="ru-RU"/>
              </w:rPr>
              <w:t>109,082</w:t>
            </w:r>
          </w:p>
        </w:tc>
        <w:tc>
          <w:tcPr>
            <w:tcW w:w="1134" w:type="dxa"/>
            <w:vAlign w:val="center"/>
          </w:tcPr>
          <w:p w:rsidR="004369E5" w:rsidRPr="00802D35" w:rsidRDefault="004369E5" w:rsidP="000306C6">
            <w:pPr>
              <w:pStyle w:val="TableParagraph"/>
              <w:ind w:right="1"/>
              <w:jc w:val="center"/>
              <w:rPr>
                <w:rFonts w:ascii="Times New Roman" w:hAnsi="Times New Roman" w:cs="Times New Roman"/>
                <w:i/>
                <w:lang w:val="ru-RU"/>
              </w:rPr>
            </w:pPr>
            <w:r w:rsidRPr="00802D35">
              <w:rPr>
                <w:rFonts w:ascii="Times New Roman" w:hAnsi="Times New Roman" w:cs="Times New Roman"/>
                <w:i/>
                <w:lang w:val="ru-RU"/>
              </w:rPr>
              <w:t>82,733</w:t>
            </w:r>
          </w:p>
        </w:tc>
        <w:tc>
          <w:tcPr>
            <w:tcW w:w="1134" w:type="dxa"/>
            <w:vAlign w:val="center"/>
          </w:tcPr>
          <w:p w:rsidR="004369E5" w:rsidRPr="00802D35" w:rsidRDefault="004369E5" w:rsidP="000306C6">
            <w:pPr>
              <w:pStyle w:val="TableParagraph"/>
              <w:ind w:right="1"/>
              <w:jc w:val="center"/>
              <w:rPr>
                <w:rFonts w:ascii="Times New Roman" w:hAnsi="Times New Roman" w:cs="Times New Roman"/>
                <w:i/>
                <w:lang w:val="ru-RU"/>
              </w:rPr>
            </w:pPr>
            <w:r w:rsidRPr="00802D35">
              <w:rPr>
                <w:rFonts w:ascii="Times New Roman" w:hAnsi="Times New Roman" w:cs="Times New Roman"/>
                <w:i/>
                <w:lang w:val="ru-RU"/>
              </w:rPr>
              <w:t>81,463</w:t>
            </w:r>
          </w:p>
        </w:tc>
        <w:tc>
          <w:tcPr>
            <w:tcW w:w="1134" w:type="dxa"/>
            <w:vAlign w:val="center"/>
          </w:tcPr>
          <w:p w:rsidR="004369E5" w:rsidRPr="00802D35" w:rsidRDefault="004369E5" w:rsidP="000306C6">
            <w:pPr>
              <w:pStyle w:val="TableParagraph"/>
              <w:ind w:right="1"/>
              <w:jc w:val="center"/>
              <w:rPr>
                <w:rFonts w:ascii="Times New Roman" w:hAnsi="Times New Roman" w:cs="Times New Roman"/>
                <w:i/>
                <w:lang w:val="ru-RU"/>
              </w:rPr>
            </w:pPr>
            <w:r w:rsidRPr="00802D35">
              <w:rPr>
                <w:rFonts w:ascii="Times New Roman" w:hAnsi="Times New Roman" w:cs="Times New Roman"/>
                <w:i/>
                <w:lang w:val="ru-RU"/>
              </w:rPr>
              <w:t>84,014</w:t>
            </w:r>
          </w:p>
        </w:tc>
      </w:tr>
      <w:tr w:rsidR="004369E5" w:rsidRPr="00802D35" w:rsidTr="000306C6">
        <w:trPr>
          <w:trHeight w:val="388"/>
        </w:trPr>
        <w:tc>
          <w:tcPr>
            <w:tcW w:w="3828" w:type="dxa"/>
          </w:tcPr>
          <w:p w:rsidR="004369E5" w:rsidRPr="00802D35" w:rsidRDefault="004369E5" w:rsidP="000306C6">
            <w:pPr>
              <w:pStyle w:val="TableParagraph"/>
              <w:rPr>
                <w:rFonts w:ascii="Times New Roman" w:hAnsi="Times New Roman" w:cs="Times New Roman"/>
                <w:lang w:val="ru-RU"/>
              </w:rPr>
            </w:pPr>
            <w:r w:rsidRPr="00802D35">
              <w:rPr>
                <w:rFonts w:ascii="Times New Roman" w:hAnsi="Times New Roman" w:cs="Times New Roman"/>
                <w:lang w:val="ru-RU"/>
              </w:rPr>
              <w:t>Облигации, выраженные в тенге, с</w:t>
            </w:r>
            <w:r w:rsidRPr="00802D35">
              <w:rPr>
                <w:rFonts w:ascii="Times New Roman" w:hAnsi="Times New Roman" w:cs="Times New Roman"/>
                <w:spacing w:val="-54"/>
                <w:lang w:val="ru-RU"/>
              </w:rPr>
              <w:t xml:space="preserve"> </w:t>
            </w:r>
            <w:r w:rsidRPr="00802D35">
              <w:rPr>
                <w:rFonts w:ascii="Times New Roman" w:hAnsi="Times New Roman" w:cs="Times New Roman"/>
                <w:lang w:val="ru-RU"/>
              </w:rPr>
              <w:t>фиксированной</w:t>
            </w:r>
            <w:r w:rsidRPr="00802D35">
              <w:rPr>
                <w:rFonts w:ascii="Times New Roman" w:hAnsi="Times New Roman" w:cs="Times New Roman"/>
                <w:spacing w:val="-2"/>
                <w:lang w:val="ru-RU"/>
              </w:rPr>
              <w:t xml:space="preserve"> </w:t>
            </w:r>
            <w:r w:rsidRPr="00802D35">
              <w:rPr>
                <w:rFonts w:ascii="Times New Roman" w:hAnsi="Times New Roman" w:cs="Times New Roman"/>
                <w:lang w:val="ru-RU"/>
              </w:rPr>
              <w:t>ставкой</w:t>
            </w:r>
          </w:p>
        </w:tc>
        <w:tc>
          <w:tcPr>
            <w:tcW w:w="1276"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77,330</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79,241</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81,463</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84,014</w:t>
            </w:r>
          </w:p>
        </w:tc>
      </w:tr>
      <w:tr w:rsidR="004369E5" w:rsidRPr="00802D35" w:rsidTr="000306C6">
        <w:trPr>
          <w:trHeight w:val="388"/>
        </w:trPr>
        <w:tc>
          <w:tcPr>
            <w:tcW w:w="3828" w:type="dxa"/>
          </w:tcPr>
          <w:p w:rsidR="004369E5" w:rsidRPr="00802D35" w:rsidRDefault="004369E5" w:rsidP="000306C6">
            <w:pPr>
              <w:pStyle w:val="TableParagraph"/>
              <w:rPr>
                <w:rFonts w:ascii="Times New Roman" w:hAnsi="Times New Roman" w:cs="Times New Roman"/>
                <w:lang w:val="ru-RU"/>
              </w:rPr>
            </w:pPr>
            <w:r w:rsidRPr="00802D35">
              <w:rPr>
                <w:rFonts w:ascii="Times New Roman" w:hAnsi="Times New Roman" w:cs="Times New Roman"/>
                <w:lang w:val="ru-RU"/>
              </w:rPr>
              <w:t>Облигации, выраженные в долларах США, с</w:t>
            </w:r>
            <w:r w:rsidRPr="00802D35">
              <w:rPr>
                <w:rFonts w:ascii="Times New Roman" w:hAnsi="Times New Roman" w:cs="Times New Roman"/>
                <w:spacing w:val="-54"/>
                <w:lang w:val="ru-RU"/>
              </w:rPr>
              <w:t xml:space="preserve"> </w:t>
            </w:r>
            <w:r w:rsidRPr="00802D35">
              <w:rPr>
                <w:rFonts w:ascii="Times New Roman" w:hAnsi="Times New Roman" w:cs="Times New Roman"/>
                <w:lang w:val="ru-RU"/>
              </w:rPr>
              <w:t>плавающей</w:t>
            </w:r>
            <w:r w:rsidRPr="00802D35">
              <w:rPr>
                <w:rFonts w:ascii="Times New Roman" w:hAnsi="Times New Roman" w:cs="Times New Roman"/>
                <w:spacing w:val="-2"/>
                <w:lang w:val="ru-RU"/>
              </w:rPr>
              <w:t xml:space="preserve"> </w:t>
            </w:r>
            <w:r w:rsidRPr="00802D35">
              <w:rPr>
                <w:rFonts w:ascii="Times New Roman" w:hAnsi="Times New Roman" w:cs="Times New Roman"/>
                <w:lang w:val="ru-RU"/>
              </w:rPr>
              <w:t>ставкой</w:t>
            </w:r>
          </w:p>
        </w:tc>
        <w:tc>
          <w:tcPr>
            <w:tcW w:w="1276"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18,776</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r>
      <w:tr w:rsidR="004369E5" w:rsidRPr="00802D35" w:rsidTr="000306C6">
        <w:trPr>
          <w:trHeight w:val="389"/>
        </w:trPr>
        <w:tc>
          <w:tcPr>
            <w:tcW w:w="3828" w:type="dxa"/>
          </w:tcPr>
          <w:p w:rsidR="004369E5" w:rsidRPr="00802D35" w:rsidRDefault="004369E5" w:rsidP="000306C6">
            <w:pPr>
              <w:pStyle w:val="TableParagraph"/>
              <w:rPr>
                <w:rFonts w:ascii="Times New Roman" w:hAnsi="Times New Roman" w:cs="Times New Roman"/>
                <w:lang w:val="ru-RU"/>
              </w:rPr>
            </w:pPr>
            <w:r w:rsidRPr="00802D35">
              <w:rPr>
                <w:rFonts w:ascii="Times New Roman" w:hAnsi="Times New Roman" w:cs="Times New Roman"/>
                <w:lang w:val="ru-RU"/>
              </w:rPr>
              <w:t>Облигации, выраженные в тенге,</w:t>
            </w:r>
            <w:r w:rsidRPr="00802D35">
              <w:rPr>
                <w:rFonts w:ascii="Times New Roman" w:hAnsi="Times New Roman" w:cs="Times New Roman"/>
                <w:spacing w:val="-55"/>
                <w:lang w:val="ru-RU"/>
              </w:rPr>
              <w:t xml:space="preserve"> </w:t>
            </w:r>
            <w:r w:rsidRPr="00802D35">
              <w:rPr>
                <w:rFonts w:ascii="Times New Roman" w:hAnsi="Times New Roman" w:cs="Times New Roman"/>
                <w:lang w:val="ru-RU"/>
              </w:rPr>
              <w:t>индексированные</w:t>
            </w:r>
            <w:r w:rsidRPr="00802D35">
              <w:rPr>
                <w:rFonts w:ascii="Times New Roman" w:hAnsi="Times New Roman" w:cs="Times New Roman"/>
                <w:spacing w:val="-7"/>
                <w:lang w:val="ru-RU"/>
              </w:rPr>
              <w:t xml:space="preserve"> </w:t>
            </w:r>
            <w:r w:rsidRPr="00802D35">
              <w:rPr>
                <w:rFonts w:ascii="Times New Roman" w:hAnsi="Times New Roman" w:cs="Times New Roman"/>
                <w:lang w:val="ru-RU"/>
              </w:rPr>
              <w:t>на</w:t>
            </w:r>
            <w:r w:rsidRPr="00802D35">
              <w:rPr>
                <w:rFonts w:ascii="Times New Roman" w:hAnsi="Times New Roman" w:cs="Times New Roman"/>
                <w:spacing w:val="-6"/>
                <w:lang w:val="ru-RU"/>
              </w:rPr>
              <w:t xml:space="preserve"> </w:t>
            </w:r>
            <w:r w:rsidRPr="00802D35">
              <w:rPr>
                <w:rFonts w:ascii="Times New Roman" w:hAnsi="Times New Roman" w:cs="Times New Roman"/>
                <w:lang w:val="ru-RU"/>
              </w:rPr>
              <w:t>инфляцию</w:t>
            </w:r>
          </w:p>
        </w:tc>
        <w:tc>
          <w:tcPr>
            <w:tcW w:w="1276"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12,976</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3,492</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r>
      <w:tr w:rsidR="004369E5" w:rsidRPr="00802D35" w:rsidTr="000306C6">
        <w:trPr>
          <w:trHeight w:val="390"/>
        </w:trPr>
        <w:tc>
          <w:tcPr>
            <w:tcW w:w="3828" w:type="dxa"/>
          </w:tcPr>
          <w:p w:rsidR="004369E5" w:rsidRPr="00802D35" w:rsidRDefault="004369E5" w:rsidP="000306C6">
            <w:pPr>
              <w:pStyle w:val="TableParagraph"/>
              <w:rPr>
                <w:rFonts w:ascii="Times New Roman" w:hAnsi="Times New Roman" w:cs="Times New Roman"/>
                <w:i/>
                <w:lang w:val="ru-RU"/>
              </w:rPr>
            </w:pPr>
            <w:r w:rsidRPr="00802D35">
              <w:rPr>
                <w:rFonts w:ascii="Times New Roman" w:hAnsi="Times New Roman" w:cs="Times New Roman"/>
                <w:i/>
                <w:lang w:val="ru-RU"/>
              </w:rPr>
              <w:t>Выпущенные несубординированные</w:t>
            </w:r>
            <w:r w:rsidRPr="00802D35">
              <w:rPr>
                <w:rFonts w:ascii="Times New Roman" w:hAnsi="Times New Roman" w:cs="Times New Roman"/>
                <w:i/>
                <w:spacing w:val="-52"/>
                <w:lang w:val="ru-RU"/>
              </w:rPr>
              <w:t xml:space="preserve"> </w:t>
            </w:r>
            <w:r w:rsidRPr="00802D35">
              <w:rPr>
                <w:rFonts w:ascii="Times New Roman" w:hAnsi="Times New Roman" w:cs="Times New Roman"/>
                <w:i/>
                <w:lang w:val="ru-RU"/>
              </w:rPr>
              <w:t>долговые ценные</w:t>
            </w:r>
            <w:r w:rsidRPr="00802D35">
              <w:rPr>
                <w:rFonts w:ascii="Times New Roman" w:hAnsi="Times New Roman" w:cs="Times New Roman"/>
                <w:i/>
                <w:spacing w:val="-1"/>
                <w:lang w:val="ru-RU"/>
              </w:rPr>
              <w:t xml:space="preserve"> </w:t>
            </w:r>
            <w:r w:rsidRPr="00802D35">
              <w:rPr>
                <w:rFonts w:ascii="Times New Roman" w:hAnsi="Times New Roman" w:cs="Times New Roman"/>
                <w:i/>
                <w:lang w:val="ru-RU"/>
              </w:rPr>
              <w:t>бумаги:</w:t>
            </w:r>
          </w:p>
        </w:tc>
        <w:tc>
          <w:tcPr>
            <w:tcW w:w="1276" w:type="dxa"/>
            <w:vAlign w:val="center"/>
          </w:tcPr>
          <w:p w:rsidR="004369E5" w:rsidRPr="00802D35" w:rsidRDefault="004369E5" w:rsidP="000306C6">
            <w:pPr>
              <w:pStyle w:val="TableParagraph"/>
              <w:ind w:right="1"/>
              <w:jc w:val="center"/>
              <w:rPr>
                <w:rFonts w:ascii="Times New Roman" w:hAnsi="Times New Roman" w:cs="Times New Roman"/>
                <w:i/>
                <w:lang w:val="ru-RU"/>
              </w:rPr>
            </w:pPr>
            <w:r w:rsidRPr="00802D35">
              <w:rPr>
                <w:rFonts w:ascii="Times New Roman" w:hAnsi="Times New Roman" w:cs="Times New Roman"/>
                <w:i/>
                <w:lang w:val="ru-RU"/>
              </w:rPr>
              <w:t>584,933</w:t>
            </w:r>
          </w:p>
        </w:tc>
        <w:tc>
          <w:tcPr>
            <w:tcW w:w="1134" w:type="dxa"/>
            <w:vAlign w:val="center"/>
          </w:tcPr>
          <w:p w:rsidR="004369E5" w:rsidRPr="00802D35" w:rsidRDefault="004369E5" w:rsidP="000306C6">
            <w:pPr>
              <w:pStyle w:val="TableParagraph"/>
              <w:ind w:right="1"/>
              <w:jc w:val="center"/>
              <w:rPr>
                <w:rFonts w:ascii="Times New Roman" w:hAnsi="Times New Roman" w:cs="Times New Roman"/>
                <w:i/>
                <w:lang w:val="ru-RU"/>
              </w:rPr>
            </w:pPr>
            <w:r w:rsidRPr="00802D35">
              <w:rPr>
                <w:rFonts w:ascii="Times New Roman" w:hAnsi="Times New Roman" w:cs="Times New Roman"/>
                <w:i/>
                <w:lang w:val="ru-RU"/>
              </w:rPr>
              <w:t>853,314</w:t>
            </w:r>
          </w:p>
        </w:tc>
        <w:tc>
          <w:tcPr>
            <w:tcW w:w="1134" w:type="dxa"/>
            <w:vAlign w:val="center"/>
          </w:tcPr>
          <w:p w:rsidR="004369E5" w:rsidRPr="00802D35" w:rsidRDefault="004369E5" w:rsidP="000306C6">
            <w:pPr>
              <w:pStyle w:val="TableParagraph"/>
              <w:ind w:right="1"/>
              <w:jc w:val="center"/>
              <w:rPr>
                <w:rFonts w:ascii="Times New Roman" w:hAnsi="Times New Roman" w:cs="Times New Roman"/>
                <w:i/>
                <w:lang w:val="ru-RU"/>
              </w:rPr>
            </w:pPr>
            <w:r w:rsidRPr="00802D35">
              <w:rPr>
                <w:rFonts w:ascii="Times New Roman" w:hAnsi="Times New Roman" w:cs="Times New Roman"/>
                <w:i/>
                <w:lang w:val="ru-RU"/>
              </w:rPr>
              <w:t>818,058</w:t>
            </w:r>
          </w:p>
        </w:tc>
        <w:tc>
          <w:tcPr>
            <w:tcW w:w="1134" w:type="dxa"/>
            <w:vAlign w:val="center"/>
          </w:tcPr>
          <w:p w:rsidR="004369E5" w:rsidRPr="00802D35" w:rsidRDefault="004369E5" w:rsidP="000306C6">
            <w:pPr>
              <w:pStyle w:val="TableParagraph"/>
              <w:ind w:right="1"/>
              <w:jc w:val="center"/>
              <w:rPr>
                <w:rFonts w:ascii="Times New Roman" w:hAnsi="Times New Roman" w:cs="Times New Roman"/>
                <w:i/>
                <w:lang w:val="ru-RU"/>
              </w:rPr>
            </w:pPr>
            <w:r w:rsidRPr="00802D35">
              <w:rPr>
                <w:rFonts w:ascii="Times New Roman" w:hAnsi="Times New Roman" w:cs="Times New Roman"/>
                <w:i/>
                <w:lang w:val="ru-RU"/>
              </w:rPr>
              <w:t>752,983</w:t>
            </w:r>
          </w:p>
        </w:tc>
        <w:tc>
          <w:tcPr>
            <w:tcW w:w="1134" w:type="dxa"/>
            <w:vAlign w:val="center"/>
          </w:tcPr>
          <w:p w:rsidR="004369E5" w:rsidRPr="00802D35" w:rsidRDefault="004369E5" w:rsidP="000306C6">
            <w:pPr>
              <w:pStyle w:val="TableParagraph"/>
              <w:ind w:right="1"/>
              <w:jc w:val="center"/>
              <w:rPr>
                <w:rFonts w:ascii="Times New Roman" w:hAnsi="Times New Roman" w:cs="Times New Roman"/>
                <w:i/>
                <w:lang w:val="ru-RU"/>
              </w:rPr>
            </w:pPr>
            <w:r w:rsidRPr="00802D35">
              <w:rPr>
                <w:rFonts w:ascii="Times New Roman" w:hAnsi="Times New Roman" w:cs="Times New Roman"/>
                <w:i/>
                <w:lang w:val="ru-RU"/>
              </w:rPr>
              <w:t>694,178</w:t>
            </w:r>
          </w:p>
        </w:tc>
      </w:tr>
      <w:tr w:rsidR="004369E5" w:rsidRPr="00802D35" w:rsidTr="000306C6">
        <w:trPr>
          <w:trHeight w:val="194"/>
        </w:trPr>
        <w:tc>
          <w:tcPr>
            <w:tcW w:w="3828" w:type="dxa"/>
          </w:tcPr>
          <w:p w:rsidR="004369E5" w:rsidRPr="00802D35" w:rsidRDefault="004369E5" w:rsidP="000306C6">
            <w:pPr>
              <w:pStyle w:val="TableParagraph"/>
              <w:rPr>
                <w:rFonts w:ascii="Times New Roman" w:hAnsi="Times New Roman" w:cs="Times New Roman"/>
                <w:lang w:val="ru-RU"/>
              </w:rPr>
            </w:pPr>
            <w:r w:rsidRPr="00802D35">
              <w:rPr>
                <w:rFonts w:ascii="Times New Roman" w:hAnsi="Times New Roman" w:cs="Times New Roman"/>
                <w:lang w:val="ru-RU"/>
              </w:rPr>
              <w:t>Облигации,</w:t>
            </w:r>
            <w:r w:rsidRPr="00802D35">
              <w:rPr>
                <w:rFonts w:ascii="Times New Roman" w:hAnsi="Times New Roman" w:cs="Times New Roman"/>
                <w:spacing w:val="-3"/>
                <w:lang w:val="ru-RU"/>
              </w:rPr>
              <w:t xml:space="preserve"> </w:t>
            </w:r>
            <w:r w:rsidRPr="00802D35">
              <w:rPr>
                <w:rFonts w:ascii="Times New Roman" w:hAnsi="Times New Roman" w:cs="Times New Roman"/>
                <w:lang w:val="ru-RU"/>
              </w:rPr>
              <w:t>выраженные</w:t>
            </w:r>
            <w:r w:rsidRPr="00802D35">
              <w:rPr>
                <w:rFonts w:ascii="Times New Roman" w:hAnsi="Times New Roman" w:cs="Times New Roman"/>
                <w:spacing w:val="-4"/>
                <w:lang w:val="ru-RU"/>
              </w:rPr>
              <w:t xml:space="preserve"> </w:t>
            </w:r>
            <w:r w:rsidRPr="00802D35">
              <w:rPr>
                <w:rFonts w:ascii="Times New Roman" w:hAnsi="Times New Roman" w:cs="Times New Roman"/>
                <w:lang w:val="ru-RU"/>
              </w:rPr>
              <w:t>в</w:t>
            </w:r>
            <w:r w:rsidRPr="00802D35">
              <w:rPr>
                <w:rFonts w:ascii="Times New Roman" w:hAnsi="Times New Roman" w:cs="Times New Roman"/>
                <w:spacing w:val="-3"/>
                <w:lang w:val="ru-RU"/>
              </w:rPr>
              <w:t xml:space="preserve"> </w:t>
            </w:r>
            <w:r w:rsidRPr="00802D35">
              <w:rPr>
                <w:rFonts w:ascii="Times New Roman" w:hAnsi="Times New Roman" w:cs="Times New Roman"/>
                <w:lang w:val="ru-RU"/>
              </w:rPr>
              <w:t>долларах</w:t>
            </w:r>
            <w:r w:rsidRPr="00802D35">
              <w:rPr>
                <w:rFonts w:ascii="Times New Roman" w:hAnsi="Times New Roman" w:cs="Times New Roman"/>
                <w:spacing w:val="-4"/>
                <w:lang w:val="ru-RU"/>
              </w:rPr>
              <w:t xml:space="preserve"> </w:t>
            </w:r>
            <w:r w:rsidRPr="00802D35">
              <w:rPr>
                <w:rFonts w:ascii="Times New Roman" w:hAnsi="Times New Roman" w:cs="Times New Roman"/>
                <w:lang w:val="ru-RU"/>
              </w:rPr>
              <w:t>США</w:t>
            </w:r>
          </w:p>
        </w:tc>
        <w:tc>
          <w:tcPr>
            <w:tcW w:w="1276"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359,355</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464,435</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428,549</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422,786</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362,418</w:t>
            </w:r>
          </w:p>
        </w:tc>
      </w:tr>
      <w:tr w:rsidR="004369E5" w:rsidRPr="00802D35" w:rsidTr="000306C6">
        <w:trPr>
          <w:trHeight w:val="194"/>
        </w:trPr>
        <w:tc>
          <w:tcPr>
            <w:tcW w:w="3828" w:type="dxa"/>
          </w:tcPr>
          <w:p w:rsidR="004369E5" w:rsidRPr="00802D35" w:rsidRDefault="004369E5" w:rsidP="000306C6">
            <w:pPr>
              <w:pStyle w:val="TableParagraph"/>
              <w:rPr>
                <w:rFonts w:ascii="Times New Roman" w:hAnsi="Times New Roman" w:cs="Times New Roman"/>
                <w:lang w:val="ru-RU"/>
              </w:rPr>
            </w:pPr>
            <w:r w:rsidRPr="00802D35">
              <w:rPr>
                <w:rFonts w:ascii="Times New Roman" w:hAnsi="Times New Roman" w:cs="Times New Roman"/>
                <w:lang w:val="ru-RU"/>
              </w:rPr>
              <w:t>Облигации,</w:t>
            </w:r>
            <w:r w:rsidRPr="00802D35">
              <w:rPr>
                <w:rFonts w:ascii="Times New Roman" w:hAnsi="Times New Roman" w:cs="Times New Roman"/>
                <w:spacing w:val="-3"/>
                <w:lang w:val="ru-RU"/>
              </w:rPr>
              <w:t xml:space="preserve"> </w:t>
            </w:r>
            <w:r w:rsidRPr="00802D35">
              <w:rPr>
                <w:rFonts w:ascii="Times New Roman" w:hAnsi="Times New Roman" w:cs="Times New Roman"/>
                <w:lang w:val="ru-RU"/>
              </w:rPr>
              <w:t>выраженные</w:t>
            </w:r>
            <w:r w:rsidRPr="00802D35">
              <w:rPr>
                <w:rFonts w:ascii="Times New Roman" w:hAnsi="Times New Roman" w:cs="Times New Roman"/>
                <w:spacing w:val="-5"/>
                <w:lang w:val="ru-RU"/>
              </w:rPr>
              <w:t xml:space="preserve"> </w:t>
            </w:r>
            <w:r w:rsidRPr="00802D35">
              <w:rPr>
                <w:rFonts w:ascii="Times New Roman" w:hAnsi="Times New Roman" w:cs="Times New Roman"/>
                <w:lang w:val="ru-RU"/>
              </w:rPr>
              <w:t>в</w:t>
            </w:r>
            <w:r w:rsidRPr="00802D35">
              <w:rPr>
                <w:rFonts w:ascii="Times New Roman" w:hAnsi="Times New Roman" w:cs="Times New Roman"/>
                <w:spacing w:val="-3"/>
                <w:lang w:val="ru-RU"/>
              </w:rPr>
              <w:t xml:space="preserve"> </w:t>
            </w:r>
            <w:r w:rsidRPr="00802D35">
              <w:rPr>
                <w:rFonts w:ascii="Times New Roman" w:hAnsi="Times New Roman" w:cs="Times New Roman"/>
                <w:lang w:val="ru-RU"/>
              </w:rPr>
              <w:t>тенге</w:t>
            </w:r>
          </w:p>
        </w:tc>
        <w:tc>
          <w:tcPr>
            <w:tcW w:w="1276"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225,578</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388,526</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389,509</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330,197</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331,760</w:t>
            </w:r>
          </w:p>
        </w:tc>
      </w:tr>
      <w:tr w:rsidR="004369E5" w:rsidRPr="00802D35" w:rsidTr="000306C6">
        <w:trPr>
          <w:trHeight w:val="192"/>
        </w:trPr>
        <w:tc>
          <w:tcPr>
            <w:tcW w:w="3828" w:type="dxa"/>
          </w:tcPr>
          <w:p w:rsidR="004369E5" w:rsidRPr="00802D35" w:rsidRDefault="004369E5" w:rsidP="000306C6">
            <w:pPr>
              <w:pStyle w:val="TableParagraph"/>
              <w:rPr>
                <w:rFonts w:ascii="Times New Roman" w:hAnsi="Times New Roman" w:cs="Times New Roman"/>
                <w:lang w:val="ru-RU"/>
              </w:rPr>
            </w:pPr>
            <w:r w:rsidRPr="00802D35">
              <w:rPr>
                <w:rFonts w:ascii="Times New Roman" w:hAnsi="Times New Roman" w:cs="Times New Roman"/>
                <w:lang w:val="ru-RU"/>
              </w:rPr>
              <w:t>Облигации,</w:t>
            </w:r>
            <w:r w:rsidRPr="00802D35">
              <w:rPr>
                <w:rFonts w:ascii="Times New Roman" w:hAnsi="Times New Roman" w:cs="Times New Roman"/>
                <w:spacing w:val="-3"/>
                <w:lang w:val="ru-RU"/>
              </w:rPr>
              <w:t xml:space="preserve"> </w:t>
            </w:r>
            <w:r w:rsidRPr="00802D35">
              <w:rPr>
                <w:rFonts w:ascii="Times New Roman" w:hAnsi="Times New Roman" w:cs="Times New Roman"/>
                <w:lang w:val="ru-RU"/>
              </w:rPr>
              <w:t>выраженные</w:t>
            </w:r>
            <w:r w:rsidRPr="00802D35">
              <w:rPr>
                <w:rFonts w:ascii="Times New Roman" w:hAnsi="Times New Roman" w:cs="Times New Roman"/>
                <w:spacing w:val="-5"/>
                <w:lang w:val="ru-RU"/>
              </w:rPr>
              <w:t xml:space="preserve"> </w:t>
            </w:r>
            <w:r w:rsidRPr="00802D35">
              <w:rPr>
                <w:rFonts w:ascii="Times New Roman" w:hAnsi="Times New Roman" w:cs="Times New Roman"/>
                <w:lang w:val="ru-RU"/>
              </w:rPr>
              <w:t>в</w:t>
            </w:r>
            <w:r w:rsidRPr="00802D35">
              <w:rPr>
                <w:rFonts w:ascii="Times New Roman" w:hAnsi="Times New Roman" w:cs="Times New Roman"/>
                <w:spacing w:val="-3"/>
                <w:lang w:val="ru-RU"/>
              </w:rPr>
              <w:t xml:space="preserve"> </w:t>
            </w:r>
            <w:r w:rsidRPr="00802D35">
              <w:rPr>
                <w:rFonts w:ascii="Times New Roman" w:hAnsi="Times New Roman" w:cs="Times New Roman"/>
                <w:lang w:val="ru-RU"/>
              </w:rPr>
              <w:t>рублях</w:t>
            </w:r>
          </w:p>
        </w:tc>
        <w:tc>
          <w:tcPr>
            <w:tcW w:w="1276"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353</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c>
          <w:tcPr>
            <w:tcW w:w="1134" w:type="dxa"/>
            <w:vAlign w:val="center"/>
          </w:tcPr>
          <w:p w:rsidR="004369E5" w:rsidRPr="00802D35" w:rsidRDefault="004369E5" w:rsidP="000306C6">
            <w:pPr>
              <w:pStyle w:val="TableParagraph"/>
              <w:ind w:right="1"/>
              <w:jc w:val="center"/>
              <w:rPr>
                <w:rFonts w:ascii="Times New Roman" w:hAnsi="Times New Roman" w:cs="Times New Roman"/>
                <w:lang w:val="ru-RU"/>
              </w:rPr>
            </w:pPr>
            <w:r w:rsidRPr="00802D35">
              <w:rPr>
                <w:rFonts w:ascii="Times New Roman" w:hAnsi="Times New Roman" w:cs="Times New Roman"/>
                <w:lang w:val="ru-RU"/>
              </w:rPr>
              <w:t>-</w:t>
            </w:r>
          </w:p>
        </w:tc>
      </w:tr>
      <w:tr w:rsidR="004369E5" w:rsidRPr="00802D35" w:rsidTr="000306C6">
        <w:trPr>
          <w:trHeight w:val="192"/>
        </w:trPr>
        <w:tc>
          <w:tcPr>
            <w:tcW w:w="9640" w:type="dxa"/>
            <w:gridSpan w:val="6"/>
          </w:tcPr>
          <w:p w:rsidR="004369E5" w:rsidRPr="00802D35" w:rsidRDefault="004369E5" w:rsidP="0032339D">
            <w:pPr>
              <w:pStyle w:val="2"/>
              <w:shd w:val="clear" w:color="auto" w:fill="FFFFFF"/>
              <w:spacing w:before="0"/>
              <w:jc w:val="both"/>
              <w:outlineLvl w:val="1"/>
              <w:rPr>
                <w:sz w:val="22"/>
                <w:szCs w:val="22"/>
                <w:lang w:val="ru-RU"/>
              </w:rPr>
            </w:pPr>
            <w:r w:rsidRPr="00802D35">
              <w:rPr>
                <w:b w:val="0"/>
                <w:sz w:val="22"/>
                <w:szCs w:val="22"/>
                <w:lang w:val="ru-RU"/>
              </w:rPr>
              <w:t>Примечание - составлено на основании источников [</w:t>
            </w:r>
            <w:r w:rsidR="000B0564" w:rsidRPr="00802D35">
              <w:rPr>
                <w:b w:val="0"/>
                <w:sz w:val="22"/>
                <w:szCs w:val="22"/>
                <w:lang w:val="ru-RU"/>
              </w:rPr>
              <w:t>97</w:t>
            </w:r>
            <w:r w:rsidRPr="00802D35">
              <w:rPr>
                <w:b w:val="0"/>
                <w:sz w:val="22"/>
                <w:szCs w:val="22"/>
                <w:lang w:val="ru-RU"/>
              </w:rPr>
              <w:t>], [</w:t>
            </w:r>
            <w:r w:rsidR="000B0564" w:rsidRPr="00802D35">
              <w:rPr>
                <w:b w:val="0"/>
                <w:sz w:val="22"/>
                <w:szCs w:val="22"/>
                <w:lang w:val="ru-RU"/>
              </w:rPr>
              <w:t>98</w:t>
            </w:r>
            <w:r w:rsidRPr="00802D35">
              <w:rPr>
                <w:b w:val="0"/>
                <w:sz w:val="22"/>
                <w:szCs w:val="22"/>
                <w:lang w:val="ru-RU"/>
              </w:rPr>
              <w:t>],[</w:t>
            </w:r>
            <w:r w:rsidR="000B0564" w:rsidRPr="00802D35">
              <w:rPr>
                <w:b w:val="0"/>
                <w:sz w:val="22"/>
                <w:szCs w:val="22"/>
                <w:lang w:val="ru-RU"/>
              </w:rPr>
              <w:t>99</w:t>
            </w:r>
            <w:r w:rsidRPr="00802D35">
              <w:rPr>
                <w:b w:val="0"/>
                <w:sz w:val="22"/>
                <w:szCs w:val="22"/>
                <w:lang w:val="ru-RU"/>
              </w:rPr>
              <w:t>],[</w:t>
            </w:r>
            <w:r w:rsidR="000B0564" w:rsidRPr="00802D35">
              <w:rPr>
                <w:b w:val="0"/>
                <w:sz w:val="22"/>
                <w:szCs w:val="22"/>
                <w:lang w:val="ru-RU"/>
              </w:rPr>
              <w:t>100</w:t>
            </w:r>
            <w:r w:rsidRPr="00802D35">
              <w:rPr>
                <w:b w:val="0"/>
                <w:sz w:val="22"/>
                <w:szCs w:val="22"/>
                <w:lang w:val="ru-RU"/>
              </w:rPr>
              <w:t>].</w:t>
            </w:r>
          </w:p>
        </w:tc>
      </w:tr>
    </w:tbl>
    <w:p w:rsidR="004369E5" w:rsidRPr="00802D35" w:rsidRDefault="004369E5" w:rsidP="004369E5">
      <w:pPr>
        <w:pStyle w:val="1"/>
        <w:shd w:val="clear" w:color="auto" w:fill="FFFFFF"/>
        <w:spacing w:before="0"/>
        <w:jc w:val="both"/>
        <w:rPr>
          <w:rStyle w:val="HTML"/>
          <w:rFonts w:ascii="Times New Roman" w:hAnsi="Times New Roman" w:cs="Times New Roman"/>
          <w:b w:val="0"/>
          <w:i w:val="0"/>
          <w:shd w:val="clear" w:color="auto" w:fill="FFFFFF"/>
        </w:rPr>
      </w:pPr>
    </w:p>
    <w:p w:rsidR="00526C3E" w:rsidRPr="00802D35" w:rsidRDefault="004369E5" w:rsidP="004369E5">
      <w:pPr>
        <w:widowControl w:val="0"/>
        <w:spacing w:after="0" w:line="240" w:lineRule="auto"/>
        <w:ind w:firstLine="567"/>
        <w:jc w:val="both"/>
        <w:rPr>
          <w:rStyle w:val="HTML"/>
          <w:rFonts w:ascii="Times New Roman" w:hAnsi="Times New Roman" w:cs="Times New Roman"/>
          <w:i w:val="0"/>
          <w:sz w:val="28"/>
          <w:szCs w:val="28"/>
          <w:shd w:val="clear" w:color="auto" w:fill="FFFFFF"/>
        </w:rPr>
      </w:pPr>
      <w:r w:rsidRPr="00802D35">
        <w:rPr>
          <w:rFonts w:ascii="Times New Roman" w:hAnsi="Times New Roman" w:cs="Times New Roman"/>
          <w:sz w:val="28"/>
          <w:szCs w:val="28"/>
        </w:rPr>
        <w:t xml:space="preserve">Основная масса выпущенных облигаций приходится на 2017 г., когда все банки испытывали проблемы в связи с мировым финансовым кризисом. В этот период </w:t>
      </w:r>
      <w:r w:rsidRPr="00802D35">
        <w:rPr>
          <w:rStyle w:val="HTML"/>
          <w:rFonts w:ascii="Times New Roman" w:hAnsi="Times New Roman" w:cs="Times New Roman"/>
          <w:i w:val="0"/>
          <w:sz w:val="28"/>
          <w:szCs w:val="28"/>
          <w:shd w:val="clear" w:color="auto" w:fill="FFFFFF"/>
        </w:rPr>
        <w:t>АО Halyk Bank эмитировал облигаций на общую сумму 962,396 млрд. тенге. Среди несубординированных облигаций наибольшую долю занимают облигации в долларах США. Так, в 2016 г. их доля составляла 64,44%, в 2017 г. – 54,43%, в 2018 г. – 52,39%, в 2019 г. – 56,15% и в 2020 г. – 52,21%.</w:t>
      </w:r>
    </w:p>
    <w:p w:rsidR="00FF2A49" w:rsidRPr="00802D35" w:rsidRDefault="00FF2A49" w:rsidP="00FF2A49">
      <w:pPr>
        <w:pStyle w:val="af3"/>
        <w:spacing w:line="237" w:lineRule="auto"/>
        <w:ind w:right="62" w:firstLine="588"/>
        <w:jc w:val="both"/>
        <w:rPr>
          <w:rFonts w:ascii="Times New Roman" w:hAnsi="Times New Roman"/>
          <w:szCs w:val="28"/>
        </w:rPr>
      </w:pPr>
      <w:r w:rsidRPr="00802D35">
        <w:rPr>
          <w:rFonts w:ascii="Times New Roman" w:hAnsi="Times New Roman"/>
          <w:szCs w:val="28"/>
        </w:rPr>
        <w:t>В ноябре 2018 г. банк осуществил погашение субординированных облигаций за счет собственных</w:t>
      </w:r>
      <w:r w:rsidRPr="00802D35">
        <w:rPr>
          <w:rFonts w:ascii="Times New Roman" w:hAnsi="Times New Roman"/>
          <w:spacing w:val="-1"/>
          <w:szCs w:val="28"/>
        </w:rPr>
        <w:t xml:space="preserve"> </w:t>
      </w:r>
      <w:r w:rsidRPr="00802D35">
        <w:rPr>
          <w:rFonts w:ascii="Times New Roman" w:hAnsi="Times New Roman"/>
          <w:szCs w:val="28"/>
        </w:rPr>
        <w:t>средств. В марте 2019 г. и декабре 2020 г. произведено частичное погашение облигаций со сроком погашения</w:t>
      </w:r>
      <w:r w:rsidRPr="00802D35">
        <w:rPr>
          <w:rFonts w:ascii="Times New Roman" w:hAnsi="Times New Roman"/>
          <w:spacing w:val="-1"/>
          <w:szCs w:val="28"/>
        </w:rPr>
        <w:t xml:space="preserve"> </w:t>
      </w:r>
      <w:r w:rsidRPr="00802D35">
        <w:rPr>
          <w:rFonts w:ascii="Times New Roman" w:hAnsi="Times New Roman"/>
          <w:szCs w:val="28"/>
        </w:rPr>
        <w:t>до</w:t>
      </w:r>
      <w:r w:rsidRPr="00802D35">
        <w:rPr>
          <w:rFonts w:ascii="Times New Roman" w:hAnsi="Times New Roman"/>
          <w:spacing w:val="-3"/>
          <w:szCs w:val="28"/>
        </w:rPr>
        <w:t xml:space="preserve"> </w:t>
      </w:r>
      <w:r w:rsidRPr="00802D35">
        <w:rPr>
          <w:rFonts w:ascii="Times New Roman" w:hAnsi="Times New Roman"/>
          <w:szCs w:val="28"/>
        </w:rPr>
        <w:t>2022</w:t>
      </w:r>
      <w:r w:rsidRPr="00802D35">
        <w:rPr>
          <w:rFonts w:ascii="Times New Roman" w:hAnsi="Times New Roman"/>
          <w:spacing w:val="-3"/>
          <w:szCs w:val="28"/>
        </w:rPr>
        <w:t xml:space="preserve"> </w:t>
      </w:r>
      <w:r w:rsidRPr="00802D35">
        <w:rPr>
          <w:rFonts w:ascii="Times New Roman" w:hAnsi="Times New Roman"/>
          <w:szCs w:val="28"/>
        </w:rPr>
        <w:t>г.,</w:t>
      </w:r>
      <w:r w:rsidRPr="00802D35">
        <w:rPr>
          <w:rFonts w:ascii="Times New Roman" w:hAnsi="Times New Roman"/>
          <w:spacing w:val="-47"/>
          <w:szCs w:val="28"/>
        </w:rPr>
        <w:t xml:space="preserve"> </w:t>
      </w:r>
      <w:r w:rsidRPr="00802D35">
        <w:rPr>
          <w:rFonts w:ascii="Times New Roman" w:hAnsi="Times New Roman"/>
          <w:szCs w:val="28"/>
        </w:rPr>
        <w:t>но</w:t>
      </w:r>
      <w:r w:rsidRPr="00802D35">
        <w:rPr>
          <w:rFonts w:ascii="Times New Roman" w:hAnsi="Times New Roman"/>
          <w:spacing w:val="-1"/>
          <w:szCs w:val="28"/>
        </w:rPr>
        <w:t xml:space="preserve"> </w:t>
      </w:r>
      <w:r w:rsidRPr="00802D35">
        <w:rPr>
          <w:rFonts w:ascii="Times New Roman" w:hAnsi="Times New Roman"/>
          <w:szCs w:val="28"/>
        </w:rPr>
        <w:t xml:space="preserve">без выплаты вознаграждения. Также погашения облигаций были </w:t>
      </w:r>
      <w:r w:rsidRPr="00802D35">
        <w:rPr>
          <w:rFonts w:ascii="Times New Roman" w:hAnsi="Times New Roman"/>
          <w:szCs w:val="28"/>
        </w:rPr>
        <w:lastRenderedPageBreak/>
        <w:t>произведены в апреле и ноябре 2019 г. на сумму 63,419 млн тенге за счет своих ресурсов</w:t>
      </w:r>
    </w:p>
    <w:p w:rsidR="00FF2A49" w:rsidRPr="00802D35" w:rsidRDefault="00FF2A49" w:rsidP="00FF2A49">
      <w:pPr>
        <w:pStyle w:val="af3"/>
        <w:spacing w:line="237" w:lineRule="auto"/>
        <w:ind w:right="62" w:firstLine="588"/>
        <w:jc w:val="both"/>
        <w:rPr>
          <w:rFonts w:ascii="Times New Roman" w:hAnsi="Times New Roman"/>
          <w:szCs w:val="28"/>
        </w:rPr>
      </w:pPr>
      <w:r w:rsidRPr="00802D35">
        <w:rPr>
          <w:rFonts w:ascii="Times New Roman" w:hAnsi="Times New Roman"/>
          <w:szCs w:val="28"/>
        </w:rPr>
        <w:t>В апреле 2019 г. были размещены старшие необеспеченные купонных облигации на</w:t>
      </w:r>
      <w:r w:rsidRPr="00802D35">
        <w:rPr>
          <w:rFonts w:ascii="Times New Roman" w:hAnsi="Times New Roman"/>
          <w:spacing w:val="-47"/>
          <w:szCs w:val="28"/>
        </w:rPr>
        <w:t xml:space="preserve"> </w:t>
      </w:r>
      <w:r w:rsidRPr="00802D35">
        <w:rPr>
          <w:rFonts w:ascii="Times New Roman" w:hAnsi="Times New Roman"/>
          <w:szCs w:val="28"/>
        </w:rPr>
        <w:t>территории</w:t>
      </w:r>
      <w:r w:rsidRPr="00802D35">
        <w:rPr>
          <w:rFonts w:ascii="Times New Roman" w:hAnsi="Times New Roman"/>
          <w:spacing w:val="-2"/>
          <w:szCs w:val="28"/>
        </w:rPr>
        <w:t xml:space="preserve"> </w:t>
      </w:r>
      <w:r w:rsidRPr="00802D35">
        <w:rPr>
          <w:rFonts w:ascii="Times New Roman" w:hAnsi="Times New Roman"/>
          <w:szCs w:val="28"/>
        </w:rPr>
        <w:t>МФЦА на сумму 180,5 млн</w:t>
      </w:r>
      <w:r w:rsidRPr="00802D35">
        <w:rPr>
          <w:rFonts w:ascii="Times New Roman" w:hAnsi="Times New Roman"/>
          <w:spacing w:val="-2"/>
          <w:szCs w:val="28"/>
        </w:rPr>
        <w:t xml:space="preserve"> </w:t>
      </w:r>
      <w:r w:rsidRPr="00802D35">
        <w:rPr>
          <w:rFonts w:ascii="Times New Roman" w:hAnsi="Times New Roman"/>
          <w:szCs w:val="28"/>
        </w:rPr>
        <w:t>долларов</w:t>
      </w:r>
      <w:r w:rsidRPr="00802D35">
        <w:rPr>
          <w:rFonts w:ascii="Times New Roman" w:hAnsi="Times New Roman"/>
          <w:spacing w:val="-3"/>
          <w:szCs w:val="28"/>
        </w:rPr>
        <w:t xml:space="preserve"> </w:t>
      </w:r>
      <w:r w:rsidRPr="00802D35">
        <w:rPr>
          <w:rFonts w:ascii="Times New Roman" w:hAnsi="Times New Roman"/>
          <w:szCs w:val="28"/>
        </w:rPr>
        <w:t>США</w:t>
      </w:r>
      <w:r w:rsidRPr="00802D35">
        <w:rPr>
          <w:rFonts w:ascii="Times New Roman" w:hAnsi="Times New Roman"/>
          <w:spacing w:val="-2"/>
          <w:szCs w:val="28"/>
        </w:rPr>
        <w:t xml:space="preserve"> </w:t>
      </w:r>
      <w:r w:rsidRPr="00802D35">
        <w:rPr>
          <w:rFonts w:ascii="Times New Roman" w:hAnsi="Times New Roman"/>
          <w:szCs w:val="28"/>
        </w:rPr>
        <w:t>на</w:t>
      </w:r>
      <w:r w:rsidRPr="00802D35">
        <w:rPr>
          <w:rFonts w:ascii="Times New Roman" w:hAnsi="Times New Roman"/>
          <w:spacing w:val="-2"/>
          <w:szCs w:val="28"/>
        </w:rPr>
        <w:t xml:space="preserve"> </w:t>
      </w:r>
      <w:r w:rsidRPr="00802D35">
        <w:rPr>
          <w:rFonts w:ascii="Times New Roman" w:hAnsi="Times New Roman"/>
          <w:szCs w:val="28"/>
        </w:rPr>
        <w:t>3 года</w:t>
      </w:r>
      <w:r w:rsidRPr="00802D35">
        <w:rPr>
          <w:rFonts w:ascii="Times New Roman" w:hAnsi="Times New Roman"/>
          <w:spacing w:val="-5"/>
          <w:szCs w:val="28"/>
        </w:rPr>
        <w:t xml:space="preserve"> </w:t>
      </w:r>
      <w:r w:rsidRPr="00802D35">
        <w:rPr>
          <w:rFonts w:ascii="Times New Roman" w:hAnsi="Times New Roman"/>
          <w:szCs w:val="28"/>
        </w:rPr>
        <w:t>под</w:t>
      </w:r>
      <w:r w:rsidRPr="00802D35">
        <w:rPr>
          <w:rFonts w:ascii="Times New Roman" w:hAnsi="Times New Roman"/>
          <w:spacing w:val="-1"/>
          <w:szCs w:val="28"/>
        </w:rPr>
        <w:t xml:space="preserve"> </w:t>
      </w:r>
      <w:r w:rsidRPr="00802D35">
        <w:rPr>
          <w:rFonts w:ascii="Times New Roman" w:hAnsi="Times New Roman"/>
          <w:szCs w:val="28"/>
        </w:rPr>
        <w:t>3%</w:t>
      </w:r>
      <w:r w:rsidRPr="00802D35">
        <w:rPr>
          <w:rFonts w:ascii="Times New Roman" w:hAnsi="Times New Roman"/>
          <w:spacing w:val="-2"/>
          <w:szCs w:val="28"/>
        </w:rPr>
        <w:t xml:space="preserve"> </w:t>
      </w:r>
      <w:r w:rsidRPr="00802D35">
        <w:rPr>
          <w:rFonts w:ascii="Times New Roman" w:hAnsi="Times New Roman"/>
          <w:szCs w:val="28"/>
        </w:rPr>
        <w:t>годовых.</w:t>
      </w:r>
    </w:p>
    <w:p w:rsidR="007E5FC9" w:rsidRPr="00802D35" w:rsidRDefault="00FF2A49" w:rsidP="007E5FC9">
      <w:pPr>
        <w:pStyle w:val="1"/>
        <w:shd w:val="clear" w:color="auto" w:fill="FFFFFF"/>
        <w:spacing w:before="0" w:line="240" w:lineRule="auto"/>
        <w:ind w:firstLine="567"/>
        <w:jc w:val="both"/>
        <w:rPr>
          <w:rStyle w:val="HTML"/>
          <w:rFonts w:ascii="Times New Roman" w:hAnsi="Times New Roman" w:cs="Times New Roman"/>
          <w:b w:val="0"/>
          <w:i w:val="0"/>
          <w:color w:val="auto"/>
          <w:shd w:val="clear" w:color="auto" w:fill="FFFFFF"/>
        </w:rPr>
      </w:pPr>
      <w:r w:rsidRPr="00802D35">
        <w:rPr>
          <w:rFonts w:ascii="Times New Roman" w:hAnsi="Times New Roman" w:cs="Times New Roman"/>
          <w:b w:val="0"/>
          <w:color w:val="auto"/>
        </w:rPr>
        <w:t xml:space="preserve">В отношении показателя нетто-стабильного фондирования можно отметить выполнение норматива, свидетельствующего о наличии постоянных стабильных источников фондирования деятельности </w:t>
      </w:r>
      <w:r w:rsidRPr="00802D35">
        <w:rPr>
          <w:rStyle w:val="HTML"/>
          <w:rFonts w:ascii="Times New Roman" w:hAnsi="Times New Roman" w:cs="Times New Roman"/>
          <w:b w:val="0"/>
          <w:i w:val="0"/>
          <w:color w:val="auto"/>
          <w:shd w:val="clear" w:color="auto" w:fill="FFFFFF"/>
        </w:rPr>
        <w:t>АО Halyk Bank (рисунок 28).</w:t>
      </w:r>
    </w:p>
    <w:p w:rsidR="00F86901" w:rsidRPr="00802D35" w:rsidRDefault="00F86901" w:rsidP="00F86901"/>
    <w:p w:rsidR="00FF2A49" w:rsidRPr="00802D35" w:rsidRDefault="00FF2A49" w:rsidP="007E5FC9">
      <w:pPr>
        <w:pStyle w:val="1"/>
        <w:shd w:val="clear" w:color="auto" w:fill="FFFFFF"/>
        <w:spacing w:before="0" w:line="240" w:lineRule="auto"/>
        <w:jc w:val="both"/>
        <w:rPr>
          <w:rFonts w:ascii="Times New Roman" w:hAnsi="Times New Roman" w:cs="Times New Roman"/>
          <w:b w:val="0"/>
          <w:color w:val="auto"/>
        </w:rPr>
      </w:pPr>
      <w:r w:rsidRPr="00802D35">
        <w:rPr>
          <w:rFonts w:ascii="Times New Roman" w:hAnsi="Times New Roman" w:cs="Times New Roman"/>
          <w:noProof/>
          <w:color w:val="auto"/>
          <w:lang w:eastAsia="ru-RU"/>
        </w:rPr>
        <w:drawing>
          <wp:inline distT="0" distB="0" distL="0" distR="0">
            <wp:extent cx="6217920" cy="1767840"/>
            <wp:effectExtent l="0" t="0" r="0" b="3810"/>
            <wp:docPr id="405" name="Диаграмма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F2A49" w:rsidRPr="00802D35" w:rsidRDefault="00FF2A49" w:rsidP="00FF2A49">
      <w:pPr>
        <w:pStyle w:val="1"/>
        <w:shd w:val="clear" w:color="auto" w:fill="FFFFFF"/>
        <w:spacing w:before="0" w:line="240" w:lineRule="auto"/>
        <w:ind w:firstLine="567"/>
        <w:jc w:val="center"/>
        <w:rPr>
          <w:rFonts w:ascii="Times New Roman" w:hAnsi="Times New Roman" w:cs="Times New Roman"/>
          <w:b w:val="0"/>
          <w:color w:val="auto"/>
        </w:rPr>
      </w:pPr>
      <w:r w:rsidRPr="00802D35">
        <w:rPr>
          <w:rFonts w:ascii="Times New Roman" w:hAnsi="Times New Roman" w:cs="Times New Roman"/>
          <w:b w:val="0"/>
          <w:color w:val="auto"/>
        </w:rPr>
        <w:t xml:space="preserve">Рисунок 28 – Динамика коэффициента нетто-стабильного фондирования </w:t>
      </w:r>
    </w:p>
    <w:p w:rsidR="00FF2A49" w:rsidRPr="00802D35" w:rsidRDefault="00FF2A49" w:rsidP="00FF2A49">
      <w:pPr>
        <w:pStyle w:val="1"/>
        <w:shd w:val="clear" w:color="auto" w:fill="FFFFFF"/>
        <w:spacing w:before="0" w:line="240" w:lineRule="auto"/>
        <w:ind w:firstLine="567"/>
        <w:jc w:val="center"/>
        <w:rPr>
          <w:rFonts w:ascii="Times New Roman" w:hAnsi="Times New Roman" w:cs="Times New Roman"/>
          <w:b w:val="0"/>
          <w:color w:val="auto"/>
        </w:rPr>
      </w:pPr>
      <w:r w:rsidRPr="00802D35">
        <w:rPr>
          <w:rStyle w:val="HTML"/>
          <w:rFonts w:ascii="Times New Roman" w:hAnsi="Times New Roman" w:cs="Times New Roman"/>
          <w:b w:val="0"/>
          <w:i w:val="0"/>
          <w:color w:val="auto"/>
          <w:shd w:val="clear" w:color="auto" w:fill="FFFFFF"/>
        </w:rPr>
        <w:t>АО Halyk Bank</w:t>
      </w:r>
    </w:p>
    <w:p w:rsidR="00FF2A49" w:rsidRPr="00802D35" w:rsidRDefault="00FF2A49" w:rsidP="00FF2A49">
      <w:pPr>
        <w:pStyle w:val="1"/>
        <w:shd w:val="clear" w:color="auto" w:fill="FFFFFF"/>
        <w:spacing w:before="0" w:line="240" w:lineRule="auto"/>
        <w:ind w:firstLine="567"/>
        <w:jc w:val="both"/>
        <w:rPr>
          <w:rFonts w:ascii="Times New Roman" w:hAnsi="Times New Roman" w:cs="Times New Roman"/>
          <w:b w:val="0"/>
          <w:color w:val="auto"/>
        </w:rPr>
      </w:pPr>
    </w:p>
    <w:p w:rsidR="007E5FC9" w:rsidRPr="00802D35" w:rsidRDefault="00FF2A49" w:rsidP="007E5FC9">
      <w:pPr>
        <w:pStyle w:val="2"/>
        <w:shd w:val="clear" w:color="auto" w:fill="FFFFFF"/>
        <w:spacing w:before="0" w:beforeAutospacing="0" w:after="0" w:afterAutospacing="0"/>
        <w:ind w:firstLine="567"/>
        <w:jc w:val="both"/>
        <w:rPr>
          <w:b w:val="0"/>
          <w:sz w:val="24"/>
          <w:szCs w:val="24"/>
        </w:rPr>
      </w:pPr>
      <w:r w:rsidRPr="00802D35">
        <w:rPr>
          <w:b w:val="0"/>
          <w:sz w:val="24"/>
          <w:szCs w:val="24"/>
        </w:rPr>
        <w:t>Примечание - составлено на основании источников [</w:t>
      </w:r>
      <w:r w:rsidR="000B0564" w:rsidRPr="00802D35">
        <w:rPr>
          <w:b w:val="0"/>
          <w:sz w:val="24"/>
          <w:szCs w:val="24"/>
        </w:rPr>
        <w:t>71</w:t>
      </w:r>
      <w:r w:rsidRPr="00802D35">
        <w:rPr>
          <w:b w:val="0"/>
          <w:sz w:val="24"/>
          <w:szCs w:val="24"/>
        </w:rPr>
        <w:t>],[</w:t>
      </w:r>
      <w:r w:rsidR="000B0564" w:rsidRPr="00802D35">
        <w:rPr>
          <w:b w:val="0"/>
          <w:sz w:val="24"/>
          <w:szCs w:val="24"/>
        </w:rPr>
        <w:t>72</w:t>
      </w:r>
      <w:r w:rsidRPr="00802D35">
        <w:rPr>
          <w:b w:val="0"/>
          <w:sz w:val="24"/>
          <w:szCs w:val="24"/>
        </w:rPr>
        <w:t>],[</w:t>
      </w:r>
      <w:r w:rsidR="000B0564" w:rsidRPr="00802D35">
        <w:rPr>
          <w:b w:val="0"/>
          <w:sz w:val="24"/>
          <w:szCs w:val="24"/>
        </w:rPr>
        <w:t>73</w:t>
      </w:r>
      <w:r w:rsidRPr="00802D35">
        <w:rPr>
          <w:b w:val="0"/>
          <w:sz w:val="24"/>
          <w:szCs w:val="24"/>
        </w:rPr>
        <w:t>],[</w:t>
      </w:r>
      <w:r w:rsidR="000B0564" w:rsidRPr="00802D35">
        <w:rPr>
          <w:b w:val="0"/>
          <w:sz w:val="24"/>
          <w:szCs w:val="24"/>
        </w:rPr>
        <w:t>74</w:t>
      </w:r>
      <w:r w:rsidRPr="00802D35">
        <w:rPr>
          <w:b w:val="0"/>
          <w:sz w:val="24"/>
          <w:szCs w:val="24"/>
        </w:rPr>
        <w:t xml:space="preserve">]. </w:t>
      </w:r>
    </w:p>
    <w:p w:rsidR="007E5FC9" w:rsidRPr="00802D35" w:rsidRDefault="007E5FC9" w:rsidP="007E5FC9">
      <w:pPr>
        <w:pStyle w:val="2"/>
        <w:shd w:val="clear" w:color="auto" w:fill="FFFFFF"/>
        <w:spacing w:before="0" w:beforeAutospacing="0" w:after="0" w:afterAutospacing="0"/>
        <w:ind w:firstLine="567"/>
        <w:jc w:val="both"/>
        <w:rPr>
          <w:b w:val="0"/>
          <w:sz w:val="24"/>
          <w:szCs w:val="24"/>
        </w:rPr>
      </w:pPr>
    </w:p>
    <w:p w:rsidR="007E5FC9" w:rsidRPr="00802D35" w:rsidRDefault="00FF2A49" w:rsidP="007E5FC9">
      <w:pPr>
        <w:pStyle w:val="2"/>
        <w:shd w:val="clear" w:color="auto" w:fill="FFFFFF"/>
        <w:spacing w:before="0" w:beforeAutospacing="0" w:after="0" w:afterAutospacing="0"/>
        <w:ind w:firstLine="567"/>
        <w:jc w:val="both"/>
        <w:rPr>
          <w:b w:val="0"/>
          <w:sz w:val="28"/>
          <w:szCs w:val="28"/>
        </w:rPr>
      </w:pPr>
      <w:r w:rsidRPr="00802D35">
        <w:rPr>
          <w:b w:val="0"/>
          <w:sz w:val="28"/>
          <w:szCs w:val="28"/>
        </w:rPr>
        <w:t xml:space="preserve">До июня 2020 г. коэффициент имел устойчивый рост, однако, в сентябре 2020 г. он упал на 0,123 и смог восстановить позиции по фондированию в феврале 2021 г. лишь на 0,021. </w:t>
      </w:r>
    </w:p>
    <w:p w:rsidR="007E5FC9" w:rsidRPr="00802D35" w:rsidRDefault="00FF2A49" w:rsidP="007E5FC9">
      <w:pPr>
        <w:pStyle w:val="2"/>
        <w:shd w:val="clear" w:color="auto" w:fill="FFFFFF"/>
        <w:spacing w:before="0" w:beforeAutospacing="0" w:after="0" w:afterAutospacing="0"/>
        <w:ind w:firstLine="567"/>
        <w:jc w:val="both"/>
        <w:rPr>
          <w:b w:val="0"/>
          <w:sz w:val="28"/>
          <w:szCs w:val="28"/>
        </w:rPr>
      </w:pPr>
      <w:r w:rsidRPr="00802D35">
        <w:rPr>
          <w:b w:val="0"/>
          <w:sz w:val="28"/>
          <w:szCs w:val="28"/>
        </w:rPr>
        <w:t>Проанализируем структуру фондирования деятельности АО АТФ</w:t>
      </w:r>
      <w:r w:rsidR="00E97FF6" w:rsidRPr="00802D35">
        <w:rPr>
          <w:b w:val="0"/>
          <w:sz w:val="28"/>
          <w:szCs w:val="28"/>
        </w:rPr>
        <w:t xml:space="preserve"> </w:t>
      </w:r>
      <w:r w:rsidRPr="00802D35">
        <w:rPr>
          <w:b w:val="0"/>
          <w:sz w:val="28"/>
          <w:szCs w:val="28"/>
        </w:rPr>
        <w:t xml:space="preserve">Банк. В структуре аналогично превалируют вклады клиентов (рисунок 29). </w:t>
      </w:r>
    </w:p>
    <w:p w:rsidR="007E5FC9" w:rsidRPr="00802D35" w:rsidRDefault="00FF2A49" w:rsidP="007E5FC9">
      <w:pPr>
        <w:pStyle w:val="2"/>
        <w:shd w:val="clear" w:color="auto" w:fill="FFFFFF"/>
        <w:spacing w:before="0" w:beforeAutospacing="0" w:after="0" w:afterAutospacing="0"/>
        <w:jc w:val="both"/>
        <w:rPr>
          <w:b w:val="0"/>
          <w:sz w:val="28"/>
          <w:szCs w:val="28"/>
        </w:rPr>
      </w:pPr>
      <w:r w:rsidRPr="00802D35">
        <w:rPr>
          <w:noProof/>
        </w:rPr>
        <w:drawing>
          <wp:inline distT="0" distB="0" distL="0" distR="0">
            <wp:extent cx="6210300" cy="2301240"/>
            <wp:effectExtent l="0" t="0" r="0" b="3810"/>
            <wp:docPr id="406" name="Диаграмма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E5FC9" w:rsidRPr="00802D35" w:rsidRDefault="007E5FC9" w:rsidP="007E5FC9">
      <w:pPr>
        <w:pStyle w:val="2"/>
        <w:shd w:val="clear" w:color="auto" w:fill="FFFFFF"/>
        <w:spacing w:before="0" w:beforeAutospacing="0" w:after="0" w:afterAutospacing="0"/>
        <w:jc w:val="both"/>
        <w:rPr>
          <w:b w:val="0"/>
          <w:sz w:val="28"/>
          <w:szCs w:val="28"/>
        </w:rPr>
      </w:pPr>
    </w:p>
    <w:p w:rsidR="007E5FC9" w:rsidRPr="00802D35" w:rsidRDefault="00FF2A49" w:rsidP="007E5FC9">
      <w:pPr>
        <w:pStyle w:val="2"/>
        <w:shd w:val="clear" w:color="auto" w:fill="FFFFFF"/>
        <w:spacing w:before="0" w:beforeAutospacing="0" w:after="0" w:afterAutospacing="0"/>
        <w:ind w:firstLine="567"/>
        <w:jc w:val="center"/>
        <w:rPr>
          <w:b w:val="0"/>
          <w:sz w:val="28"/>
          <w:szCs w:val="28"/>
        </w:rPr>
      </w:pPr>
      <w:r w:rsidRPr="00802D35">
        <w:rPr>
          <w:b w:val="0"/>
          <w:sz w:val="28"/>
          <w:szCs w:val="28"/>
        </w:rPr>
        <w:t>Рисунок 29 - Структура фондирования деятельности АО АТФ</w:t>
      </w:r>
      <w:r w:rsidR="00E97FF6" w:rsidRPr="00802D35">
        <w:rPr>
          <w:b w:val="0"/>
          <w:sz w:val="28"/>
          <w:szCs w:val="28"/>
        </w:rPr>
        <w:t xml:space="preserve"> </w:t>
      </w:r>
      <w:r w:rsidRPr="00802D35">
        <w:rPr>
          <w:b w:val="0"/>
          <w:sz w:val="28"/>
          <w:szCs w:val="28"/>
        </w:rPr>
        <w:t>Банк, млрд тенге</w:t>
      </w:r>
    </w:p>
    <w:p w:rsidR="007E5FC9" w:rsidRPr="00802D35" w:rsidRDefault="007E5FC9" w:rsidP="007E5FC9">
      <w:pPr>
        <w:pStyle w:val="2"/>
        <w:shd w:val="clear" w:color="auto" w:fill="FFFFFF"/>
        <w:spacing w:before="0" w:beforeAutospacing="0" w:after="0" w:afterAutospacing="0"/>
        <w:ind w:firstLine="567"/>
        <w:jc w:val="both"/>
        <w:rPr>
          <w:b w:val="0"/>
          <w:sz w:val="24"/>
          <w:szCs w:val="24"/>
        </w:rPr>
      </w:pPr>
    </w:p>
    <w:p w:rsidR="00FF2A49" w:rsidRPr="00802D35" w:rsidRDefault="00FF2A49" w:rsidP="007E5FC9">
      <w:pPr>
        <w:pStyle w:val="2"/>
        <w:shd w:val="clear" w:color="auto" w:fill="FFFFFF"/>
        <w:spacing w:before="0" w:beforeAutospacing="0" w:after="0" w:afterAutospacing="0"/>
        <w:ind w:firstLine="567"/>
        <w:jc w:val="both"/>
        <w:rPr>
          <w:b w:val="0"/>
          <w:sz w:val="24"/>
          <w:szCs w:val="24"/>
        </w:rPr>
      </w:pPr>
      <w:r w:rsidRPr="00802D35">
        <w:rPr>
          <w:b w:val="0"/>
          <w:sz w:val="24"/>
          <w:szCs w:val="24"/>
        </w:rPr>
        <w:t>Примечание</w:t>
      </w:r>
      <w:r w:rsidR="0032339D" w:rsidRPr="00802D35">
        <w:rPr>
          <w:b w:val="0"/>
          <w:sz w:val="24"/>
          <w:szCs w:val="24"/>
        </w:rPr>
        <w:t xml:space="preserve"> </w:t>
      </w:r>
      <w:r w:rsidRPr="00802D35">
        <w:rPr>
          <w:b w:val="0"/>
          <w:sz w:val="24"/>
          <w:szCs w:val="24"/>
        </w:rPr>
        <w:t>-</w:t>
      </w:r>
      <w:r w:rsidR="0032339D" w:rsidRPr="00802D35">
        <w:rPr>
          <w:b w:val="0"/>
          <w:sz w:val="24"/>
          <w:szCs w:val="24"/>
        </w:rPr>
        <w:t xml:space="preserve"> </w:t>
      </w:r>
      <w:r w:rsidRPr="00802D35">
        <w:rPr>
          <w:b w:val="0"/>
          <w:sz w:val="24"/>
          <w:szCs w:val="24"/>
        </w:rPr>
        <w:t>составлено на основании источников [</w:t>
      </w:r>
      <w:r w:rsidR="000B0564" w:rsidRPr="00802D35">
        <w:rPr>
          <w:b w:val="0"/>
          <w:sz w:val="24"/>
          <w:szCs w:val="24"/>
        </w:rPr>
        <w:t>101</w:t>
      </w:r>
      <w:r w:rsidRPr="00802D35">
        <w:rPr>
          <w:b w:val="0"/>
          <w:sz w:val="24"/>
          <w:szCs w:val="24"/>
        </w:rPr>
        <w:t>], [</w:t>
      </w:r>
      <w:r w:rsidR="000B0564" w:rsidRPr="00802D35">
        <w:rPr>
          <w:b w:val="0"/>
          <w:sz w:val="24"/>
          <w:szCs w:val="24"/>
        </w:rPr>
        <w:t>102</w:t>
      </w:r>
      <w:r w:rsidRPr="00802D35">
        <w:rPr>
          <w:b w:val="0"/>
          <w:sz w:val="24"/>
          <w:szCs w:val="24"/>
        </w:rPr>
        <w:t>],[</w:t>
      </w:r>
      <w:r w:rsidR="000B0564" w:rsidRPr="00802D35">
        <w:rPr>
          <w:b w:val="0"/>
          <w:sz w:val="24"/>
          <w:szCs w:val="24"/>
        </w:rPr>
        <w:t>103</w:t>
      </w:r>
      <w:r w:rsidRPr="00802D35">
        <w:rPr>
          <w:b w:val="0"/>
          <w:sz w:val="24"/>
          <w:szCs w:val="24"/>
        </w:rPr>
        <w:t>],[</w:t>
      </w:r>
      <w:r w:rsidR="000B0564" w:rsidRPr="00802D35">
        <w:rPr>
          <w:b w:val="0"/>
          <w:sz w:val="24"/>
          <w:szCs w:val="24"/>
        </w:rPr>
        <w:t>104</w:t>
      </w:r>
      <w:r w:rsidRPr="00802D35">
        <w:rPr>
          <w:b w:val="0"/>
          <w:sz w:val="24"/>
          <w:szCs w:val="24"/>
        </w:rPr>
        <w:t>].</w:t>
      </w:r>
    </w:p>
    <w:p w:rsidR="00F86901" w:rsidRPr="00802D35" w:rsidRDefault="00F86901" w:rsidP="00F86901">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lastRenderedPageBreak/>
        <w:t>Согласно данных диаграммы 29 можно отметить, что основная доля фондирования приходится на срочные вклады и текущие счета клиентов, которые в 2019 г. имеют тенденцию к снижению в противовес выпуску облигаций банка.</w:t>
      </w:r>
    </w:p>
    <w:p w:rsidR="00F86901" w:rsidRPr="00802D35" w:rsidRDefault="00F86901" w:rsidP="00F86901">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Следует отметить, наличие у АО АТФ</w:t>
      </w:r>
      <w:r w:rsidR="00E97FF6" w:rsidRPr="00802D35">
        <w:rPr>
          <w:rFonts w:ascii="Times New Roman" w:hAnsi="Times New Roman" w:cs="Times New Roman"/>
          <w:b w:val="0"/>
          <w:color w:val="auto"/>
        </w:rPr>
        <w:t xml:space="preserve"> </w:t>
      </w:r>
      <w:r w:rsidRPr="00802D35">
        <w:rPr>
          <w:rFonts w:ascii="Times New Roman" w:hAnsi="Times New Roman" w:cs="Times New Roman"/>
          <w:b w:val="0"/>
          <w:color w:val="auto"/>
        </w:rPr>
        <w:t xml:space="preserve">Банк накопленных убытков в течение </w:t>
      </w:r>
      <w:r w:rsidR="004E38BC" w:rsidRPr="00802D35">
        <w:rPr>
          <w:rFonts w:ascii="Times New Roman" w:hAnsi="Times New Roman" w:cs="Times New Roman"/>
          <w:b w:val="0"/>
          <w:color w:val="auto"/>
        </w:rPr>
        <w:t>последних пяти лет</w:t>
      </w:r>
      <w:r w:rsidRPr="00802D35">
        <w:rPr>
          <w:rFonts w:ascii="Times New Roman" w:hAnsi="Times New Roman" w:cs="Times New Roman"/>
          <w:b w:val="0"/>
          <w:color w:val="auto"/>
        </w:rPr>
        <w:t>. Вместе с тем, наблюдается снижение убытков прошлых лет, хотя они все еще остаются достаточно внушительными. Так, в 2017 г. убыток составлял 77,85 млрд. тенге, в 2018 г. – 66,26 млрд тенге, в 2019 г. – 65,46 млрд тенге, а в 2020 г.(по состоянию на конец октября) – 64,32 млрд тенге.</w:t>
      </w:r>
    </w:p>
    <w:p w:rsidR="00F86901" w:rsidRPr="00802D35" w:rsidRDefault="00F86901" w:rsidP="00F86901">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Рассмотрим подробнее вклады АО АТФ</w:t>
      </w:r>
      <w:r w:rsidR="00E97FF6" w:rsidRPr="00802D35">
        <w:rPr>
          <w:rFonts w:ascii="Times New Roman" w:hAnsi="Times New Roman" w:cs="Times New Roman"/>
          <w:b w:val="0"/>
          <w:color w:val="auto"/>
        </w:rPr>
        <w:t xml:space="preserve"> </w:t>
      </w:r>
      <w:r w:rsidRPr="00802D35">
        <w:rPr>
          <w:rFonts w:ascii="Times New Roman" w:hAnsi="Times New Roman" w:cs="Times New Roman"/>
          <w:b w:val="0"/>
          <w:color w:val="auto"/>
        </w:rPr>
        <w:t>Банк (рисунок 30).</w:t>
      </w:r>
    </w:p>
    <w:p w:rsidR="00F86901" w:rsidRPr="00802D35" w:rsidRDefault="00F86901" w:rsidP="00F86901">
      <w:pPr>
        <w:pStyle w:val="1"/>
        <w:shd w:val="clear" w:color="auto" w:fill="FFFFFF"/>
        <w:spacing w:before="0" w:line="240" w:lineRule="auto"/>
        <w:ind w:firstLine="567"/>
        <w:jc w:val="both"/>
        <w:rPr>
          <w:rFonts w:ascii="Times New Roman" w:hAnsi="Times New Roman" w:cs="Times New Roman"/>
          <w:b w:val="0"/>
          <w:color w:val="auto"/>
        </w:rPr>
      </w:pPr>
    </w:p>
    <w:p w:rsidR="00F86901" w:rsidRPr="00802D35" w:rsidRDefault="00F86901" w:rsidP="00F86901">
      <w:pPr>
        <w:pStyle w:val="1"/>
        <w:shd w:val="clear" w:color="auto" w:fill="FFFFFF"/>
        <w:spacing w:before="0" w:line="240" w:lineRule="auto"/>
        <w:jc w:val="both"/>
        <w:rPr>
          <w:rFonts w:ascii="Times New Roman" w:hAnsi="Times New Roman" w:cs="Times New Roman"/>
          <w:b w:val="0"/>
          <w:color w:val="auto"/>
        </w:rPr>
      </w:pPr>
      <w:r w:rsidRPr="00802D35">
        <w:rPr>
          <w:rFonts w:ascii="Times New Roman" w:hAnsi="Times New Roman" w:cs="Times New Roman"/>
          <w:noProof/>
          <w:color w:val="auto"/>
          <w:lang w:eastAsia="ru-RU"/>
        </w:rPr>
        <w:drawing>
          <wp:inline distT="0" distB="0" distL="0" distR="0">
            <wp:extent cx="6141720" cy="2034540"/>
            <wp:effectExtent l="0" t="0" r="0" b="3810"/>
            <wp:docPr id="407" name="Диаграмма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86901" w:rsidRPr="00802D35" w:rsidRDefault="00F86901" w:rsidP="00F86901">
      <w:pPr>
        <w:pStyle w:val="af3"/>
        <w:ind w:right="295" w:firstLine="567"/>
        <w:jc w:val="both"/>
        <w:rPr>
          <w:rFonts w:ascii="Times New Roman" w:hAnsi="Times New Roman"/>
          <w:szCs w:val="28"/>
        </w:rPr>
      </w:pPr>
    </w:p>
    <w:p w:rsidR="00F86901" w:rsidRPr="00802D35" w:rsidRDefault="00F86901" w:rsidP="00F86901">
      <w:pPr>
        <w:pStyle w:val="af3"/>
        <w:ind w:right="295" w:firstLine="567"/>
        <w:jc w:val="center"/>
        <w:rPr>
          <w:rFonts w:ascii="Times New Roman" w:hAnsi="Times New Roman"/>
          <w:szCs w:val="28"/>
        </w:rPr>
      </w:pPr>
      <w:r w:rsidRPr="00802D35">
        <w:rPr>
          <w:rFonts w:ascii="Times New Roman" w:hAnsi="Times New Roman"/>
          <w:szCs w:val="28"/>
        </w:rPr>
        <w:t>Рисунок 30 - Структура вкладов АО АТФ</w:t>
      </w:r>
      <w:r w:rsidR="00E97FF6" w:rsidRPr="00802D35">
        <w:rPr>
          <w:rFonts w:ascii="Times New Roman" w:hAnsi="Times New Roman"/>
          <w:szCs w:val="28"/>
        </w:rPr>
        <w:t xml:space="preserve"> </w:t>
      </w:r>
      <w:r w:rsidRPr="00802D35">
        <w:rPr>
          <w:rFonts w:ascii="Times New Roman" w:hAnsi="Times New Roman"/>
          <w:szCs w:val="28"/>
        </w:rPr>
        <w:t>Банк, млрд тенге</w:t>
      </w:r>
    </w:p>
    <w:p w:rsidR="00F86901" w:rsidRPr="00802D35" w:rsidRDefault="00F86901" w:rsidP="00F86901">
      <w:pPr>
        <w:pStyle w:val="1"/>
        <w:shd w:val="clear" w:color="auto" w:fill="FFFFFF"/>
        <w:spacing w:before="0" w:line="240" w:lineRule="auto"/>
        <w:ind w:firstLine="567"/>
        <w:jc w:val="both"/>
        <w:rPr>
          <w:rFonts w:ascii="Times New Roman" w:hAnsi="Times New Roman" w:cs="Times New Roman"/>
          <w:b w:val="0"/>
          <w:color w:val="auto"/>
          <w:sz w:val="24"/>
          <w:szCs w:val="24"/>
        </w:rPr>
      </w:pPr>
    </w:p>
    <w:p w:rsidR="00F86901" w:rsidRPr="00802D35" w:rsidRDefault="00F86901" w:rsidP="00F86901">
      <w:pPr>
        <w:pStyle w:val="1"/>
        <w:shd w:val="clear" w:color="auto" w:fill="FFFFFF"/>
        <w:spacing w:before="0" w:line="240" w:lineRule="auto"/>
        <w:ind w:firstLine="567"/>
        <w:jc w:val="both"/>
        <w:rPr>
          <w:rFonts w:ascii="Times New Roman" w:hAnsi="Times New Roman" w:cs="Times New Roman"/>
          <w:b w:val="0"/>
          <w:color w:val="auto"/>
          <w:sz w:val="24"/>
          <w:szCs w:val="24"/>
        </w:rPr>
      </w:pPr>
      <w:r w:rsidRPr="00802D35">
        <w:rPr>
          <w:rFonts w:ascii="Times New Roman" w:hAnsi="Times New Roman" w:cs="Times New Roman"/>
          <w:b w:val="0"/>
          <w:color w:val="auto"/>
          <w:sz w:val="24"/>
          <w:szCs w:val="24"/>
        </w:rPr>
        <w:t>Примечание</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составлено на основании источников [</w:t>
      </w:r>
      <w:r w:rsidR="000B0564" w:rsidRPr="00802D35">
        <w:rPr>
          <w:rFonts w:ascii="Times New Roman" w:hAnsi="Times New Roman" w:cs="Times New Roman"/>
          <w:b w:val="0"/>
          <w:color w:val="auto"/>
          <w:sz w:val="24"/>
          <w:szCs w:val="24"/>
        </w:rPr>
        <w:t>101</w:t>
      </w:r>
      <w:r w:rsidRPr="00802D35">
        <w:rPr>
          <w:rFonts w:ascii="Times New Roman" w:hAnsi="Times New Roman" w:cs="Times New Roman"/>
          <w:b w:val="0"/>
          <w:color w:val="auto"/>
          <w:sz w:val="24"/>
          <w:szCs w:val="24"/>
        </w:rPr>
        <w:t>], [</w:t>
      </w:r>
      <w:r w:rsidR="000B0564" w:rsidRPr="00802D35">
        <w:rPr>
          <w:rFonts w:ascii="Times New Roman" w:hAnsi="Times New Roman" w:cs="Times New Roman"/>
          <w:b w:val="0"/>
          <w:color w:val="auto"/>
          <w:sz w:val="24"/>
          <w:szCs w:val="24"/>
        </w:rPr>
        <w:t>102</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103</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104</w:t>
      </w:r>
      <w:r w:rsidRPr="00802D35">
        <w:rPr>
          <w:rFonts w:ascii="Times New Roman" w:hAnsi="Times New Roman" w:cs="Times New Roman"/>
          <w:b w:val="0"/>
          <w:color w:val="auto"/>
          <w:sz w:val="24"/>
          <w:szCs w:val="24"/>
        </w:rPr>
        <w:t>].</w:t>
      </w:r>
    </w:p>
    <w:p w:rsidR="00F86901" w:rsidRPr="00802D35" w:rsidRDefault="00F86901" w:rsidP="00F86901">
      <w:pPr>
        <w:pStyle w:val="af3"/>
        <w:ind w:right="295" w:firstLine="567"/>
        <w:jc w:val="both"/>
        <w:rPr>
          <w:rFonts w:ascii="Times New Roman" w:hAnsi="Times New Roman"/>
          <w:szCs w:val="28"/>
        </w:rPr>
      </w:pPr>
    </w:p>
    <w:p w:rsidR="00F86901" w:rsidRPr="00802D35" w:rsidRDefault="00F86901" w:rsidP="00F86901">
      <w:pPr>
        <w:pStyle w:val="af3"/>
        <w:tabs>
          <w:tab w:val="left" w:pos="9638"/>
        </w:tabs>
        <w:ind w:right="-1" w:firstLine="567"/>
        <w:jc w:val="both"/>
        <w:rPr>
          <w:rFonts w:ascii="Times New Roman" w:hAnsi="Times New Roman"/>
          <w:szCs w:val="28"/>
        </w:rPr>
      </w:pPr>
      <w:r w:rsidRPr="00802D35">
        <w:rPr>
          <w:rFonts w:ascii="Times New Roman" w:hAnsi="Times New Roman"/>
          <w:szCs w:val="28"/>
        </w:rPr>
        <w:t>Следует отметить, что до 2018 г. в структуре фондирования превалировали срочные вклады и текущие счета розничных клиентов. С 2019 г. увеличиваются срочные вклады корпоративных клиентов, а текущие счета юридических лиц в несколько раз стали превосходить розничные уже начиная с 2017 г. АО АТФ</w:t>
      </w:r>
      <w:r w:rsidR="00E97FF6" w:rsidRPr="00802D35">
        <w:rPr>
          <w:rFonts w:ascii="Times New Roman" w:hAnsi="Times New Roman"/>
          <w:szCs w:val="28"/>
        </w:rPr>
        <w:t xml:space="preserve"> </w:t>
      </w:r>
      <w:r w:rsidRPr="00802D35">
        <w:rPr>
          <w:rFonts w:ascii="Times New Roman" w:hAnsi="Times New Roman"/>
          <w:szCs w:val="28"/>
        </w:rPr>
        <w:t>Банк характеризовался как банк корпоративных клиентов, специализирующийся в основном на бизнес секторе. Так, в 2017 г. срочные вклады банка в совокупности сократились на 10,5%, в 2018 г. , в 2019 г. он выросли на 15,42% и начиная с 2019 г. постепенное их снижение сначала на 2,95: в 2019 г. и затем еще на 3% в 2020 г. Текущие счета клиентов имеют аналогичную динамику: снизились на 24,42% в 2017 г., выросли на 5,05% в 2018 г. и затем снизились в 2019-2020 гг.</w:t>
      </w:r>
      <w:r w:rsidR="00CB5CC3" w:rsidRPr="00802D35">
        <w:rPr>
          <w:rFonts w:ascii="Times New Roman" w:hAnsi="Times New Roman"/>
          <w:szCs w:val="28"/>
        </w:rPr>
        <w:t xml:space="preserve"> </w:t>
      </w:r>
      <w:r w:rsidRPr="00802D35">
        <w:rPr>
          <w:rFonts w:ascii="Times New Roman" w:hAnsi="Times New Roman"/>
          <w:szCs w:val="28"/>
        </w:rPr>
        <w:t xml:space="preserve">на 1,47% и 2,62% соответственно. </w:t>
      </w:r>
    </w:p>
    <w:p w:rsidR="007E5FC9" w:rsidRPr="00802D35" w:rsidRDefault="00F86901" w:rsidP="00F86901">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На начало 2017 г. банк имел восемь основных клиентов, по которым текущие счета и вклады составляли свыше 10% регуляторного капитала. На начало 2018 г. таких клиентов осталось всего двое, что характеризует усиление концентрации фондирования банка. Таким образом, основным источником фондирования деятельности банка являются высоко концентрированные счета клиентов, которые к концу 2020 г. составили 73% от общих обязательств АО АТФ</w:t>
      </w:r>
      <w:r w:rsidR="00E97FF6" w:rsidRPr="00802D35">
        <w:rPr>
          <w:rFonts w:ascii="Times New Roman" w:hAnsi="Times New Roman" w:cs="Times New Roman"/>
          <w:sz w:val="28"/>
          <w:szCs w:val="28"/>
        </w:rPr>
        <w:t xml:space="preserve"> </w:t>
      </w:r>
      <w:r w:rsidRPr="00802D35">
        <w:rPr>
          <w:rFonts w:ascii="Times New Roman" w:hAnsi="Times New Roman" w:cs="Times New Roman"/>
          <w:sz w:val="28"/>
          <w:szCs w:val="28"/>
        </w:rPr>
        <w:t>Банк.</w:t>
      </w:r>
    </w:p>
    <w:p w:rsidR="00B669E0" w:rsidRPr="00802D35" w:rsidRDefault="00B669E0" w:rsidP="00B669E0">
      <w:pPr>
        <w:pStyle w:val="af3"/>
        <w:tabs>
          <w:tab w:val="left" w:pos="9638"/>
        </w:tabs>
        <w:ind w:right="-1" w:firstLine="567"/>
        <w:jc w:val="both"/>
        <w:rPr>
          <w:rFonts w:ascii="Times New Roman" w:hAnsi="Times New Roman"/>
          <w:szCs w:val="28"/>
        </w:rPr>
      </w:pPr>
      <w:r w:rsidRPr="00802D35">
        <w:rPr>
          <w:rFonts w:ascii="Times New Roman" w:hAnsi="Times New Roman"/>
          <w:szCs w:val="28"/>
        </w:rPr>
        <w:lastRenderedPageBreak/>
        <w:t xml:space="preserve">Таким образом, наличие господдержки стимулировало рост фондирования, поскольку обнадежило клиентов, однако, в последующие периоды после осознания того, что повышение финансовой устойчивости банка не удалось достичь, привело вновь к оттоку депозитных ресурсов. </w:t>
      </w:r>
    </w:p>
    <w:p w:rsidR="00B669E0" w:rsidRPr="00802D35" w:rsidRDefault="00B669E0" w:rsidP="00B669E0">
      <w:pPr>
        <w:pStyle w:val="af3"/>
        <w:tabs>
          <w:tab w:val="left" w:pos="9638"/>
        </w:tabs>
        <w:ind w:right="-1" w:firstLine="567"/>
        <w:jc w:val="both"/>
        <w:rPr>
          <w:rFonts w:ascii="Times New Roman" w:hAnsi="Times New Roman"/>
          <w:szCs w:val="28"/>
        </w:rPr>
      </w:pPr>
      <w:r w:rsidRPr="00802D35">
        <w:rPr>
          <w:rFonts w:ascii="Times New Roman" w:hAnsi="Times New Roman"/>
          <w:szCs w:val="28"/>
        </w:rPr>
        <w:t xml:space="preserve">Займы банка также увеличиваются, что в дополнение к выпуску облигаций увеличивает долг банка и ставит под угрозу платежеспособность, учитывая наличие накопленных убытков (рисунок 31). </w:t>
      </w:r>
    </w:p>
    <w:p w:rsidR="00B669E0" w:rsidRPr="00802D35" w:rsidRDefault="00B669E0" w:rsidP="00B669E0">
      <w:pPr>
        <w:pStyle w:val="af3"/>
        <w:tabs>
          <w:tab w:val="left" w:pos="9638"/>
        </w:tabs>
        <w:ind w:right="-1" w:firstLine="567"/>
        <w:jc w:val="both"/>
        <w:rPr>
          <w:rFonts w:ascii="Times New Roman" w:hAnsi="Times New Roman"/>
          <w:szCs w:val="28"/>
        </w:rPr>
      </w:pPr>
    </w:p>
    <w:p w:rsidR="00B669E0" w:rsidRPr="00802D35" w:rsidRDefault="00B669E0" w:rsidP="00B669E0">
      <w:pPr>
        <w:pStyle w:val="af3"/>
        <w:tabs>
          <w:tab w:val="left" w:pos="9638"/>
        </w:tabs>
        <w:ind w:right="-1"/>
        <w:jc w:val="both"/>
        <w:rPr>
          <w:b/>
          <w:szCs w:val="28"/>
        </w:rPr>
      </w:pPr>
      <w:r w:rsidRPr="00802D35">
        <w:rPr>
          <w:noProof/>
          <w:lang w:eastAsia="ru-RU"/>
        </w:rPr>
        <w:drawing>
          <wp:inline distT="0" distB="0" distL="0" distR="0">
            <wp:extent cx="6233160" cy="1920240"/>
            <wp:effectExtent l="0" t="0" r="0" b="3810"/>
            <wp:docPr id="408" name="Диаграмма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669E0" w:rsidRPr="00802D35" w:rsidRDefault="00B669E0" w:rsidP="00B669E0">
      <w:pPr>
        <w:pStyle w:val="af3"/>
        <w:tabs>
          <w:tab w:val="left" w:pos="9638"/>
        </w:tabs>
        <w:ind w:right="-1" w:firstLine="567"/>
        <w:jc w:val="both"/>
        <w:rPr>
          <w:rFonts w:ascii="Times New Roman" w:hAnsi="Times New Roman"/>
          <w:szCs w:val="28"/>
        </w:rPr>
      </w:pPr>
    </w:p>
    <w:p w:rsidR="00B669E0" w:rsidRPr="00802D35" w:rsidRDefault="00B669E0" w:rsidP="00B669E0">
      <w:pPr>
        <w:pStyle w:val="af3"/>
        <w:tabs>
          <w:tab w:val="left" w:pos="9638"/>
        </w:tabs>
        <w:ind w:right="-1" w:firstLine="567"/>
        <w:jc w:val="both"/>
        <w:rPr>
          <w:rFonts w:ascii="Times New Roman" w:hAnsi="Times New Roman"/>
          <w:szCs w:val="28"/>
        </w:rPr>
      </w:pPr>
      <w:r w:rsidRPr="00802D35">
        <w:rPr>
          <w:rFonts w:ascii="Times New Roman" w:hAnsi="Times New Roman"/>
          <w:szCs w:val="28"/>
        </w:rPr>
        <w:t>Рисунок 31 - Заемные средства фондирования АО АТФ</w:t>
      </w:r>
      <w:r w:rsidR="00E97FF6" w:rsidRPr="00802D35">
        <w:rPr>
          <w:rFonts w:ascii="Times New Roman" w:hAnsi="Times New Roman"/>
          <w:szCs w:val="28"/>
        </w:rPr>
        <w:t xml:space="preserve">  </w:t>
      </w:r>
      <w:r w:rsidRPr="00802D35">
        <w:rPr>
          <w:rFonts w:ascii="Times New Roman" w:hAnsi="Times New Roman"/>
          <w:szCs w:val="28"/>
        </w:rPr>
        <w:t>Банк, млрд тенге</w:t>
      </w:r>
    </w:p>
    <w:p w:rsidR="00B669E0" w:rsidRPr="00802D35" w:rsidRDefault="00B669E0" w:rsidP="00B669E0">
      <w:pPr>
        <w:pStyle w:val="af3"/>
        <w:tabs>
          <w:tab w:val="left" w:pos="9638"/>
        </w:tabs>
        <w:ind w:right="-1" w:firstLine="567"/>
        <w:jc w:val="both"/>
        <w:rPr>
          <w:rFonts w:ascii="Times New Roman" w:hAnsi="Times New Roman"/>
          <w:szCs w:val="28"/>
        </w:rPr>
      </w:pPr>
    </w:p>
    <w:p w:rsidR="00B669E0" w:rsidRPr="00802D35" w:rsidRDefault="00B669E0" w:rsidP="00B669E0">
      <w:pPr>
        <w:pStyle w:val="1"/>
        <w:shd w:val="clear" w:color="auto" w:fill="FFFFFF"/>
        <w:spacing w:before="0" w:line="240" w:lineRule="auto"/>
        <w:ind w:firstLine="567"/>
        <w:jc w:val="both"/>
        <w:rPr>
          <w:rFonts w:ascii="Times New Roman" w:hAnsi="Times New Roman" w:cs="Times New Roman"/>
          <w:b w:val="0"/>
          <w:color w:val="auto"/>
          <w:sz w:val="24"/>
          <w:szCs w:val="24"/>
        </w:rPr>
      </w:pPr>
      <w:r w:rsidRPr="00802D35">
        <w:rPr>
          <w:rFonts w:ascii="Times New Roman" w:hAnsi="Times New Roman" w:cs="Times New Roman"/>
          <w:b w:val="0"/>
          <w:color w:val="auto"/>
          <w:sz w:val="24"/>
          <w:szCs w:val="24"/>
        </w:rPr>
        <w:t>Примечание</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составлено на основании источников [</w:t>
      </w:r>
      <w:r w:rsidR="000B0564" w:rsidRPr="00802D35">
        <w:rPr>
          <w:rFonts w:ascii="Times New Roman" w:hAnsi="Times New Roman" w:cs="Times New Roman"/>
          <w:b w:val="0"/>
          <w:color w:val="auto"/>
          <w:sz w:val="24"/>
          <w:szCs w:val="24"/>
        </w:rPr>
        <w:t>101</w:t>
      </w:r>
      <w:r w:rsidRPr="00802D35">
        <w:rPr>
          <w:rFonts w:ascii="Times New Roman" w:hAnsi="Times New Roman" w:cs="Times New Roman"/>
          <w:b w:val="0"/>
          <w:color w:val="auto"/>
          <w:sz w:val="24"/>
          <w:szCs w:val="24"/>
        </w:rPr>
        <w:t>], [</w:t>
      </w:r>
      <w:r w:rsidR="000B0564" w:rsidRPr="00802D35">
        <w:rPr>
          <w:rFonts w:ascii="Times New Roman" w:hAnsi="Times New Roman" w:cs="Times New Roman"/>
          <w:b w:val="0"/>
          <w:color w:val="auto"/>
          <w:sz w:val="24"/>
          <w:szCs w:val="24"/>
        </w:rPr>
        <w:t>102</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103</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104</w:t>
      </w:r>
      <w:r w:rsidRPr="00802D35">
        <w:rPr>
          <w:rFonts w:ascii="Times New Roman" w:hAnsi="Times New Roman" w:cs="Times New Roman"/>
          <w:b w:val="0"/>
          <w:color w:val="auto"/>
          <w:sz w:val="24"/>
          <w:szCs w:val="24"/>
        </w:rPr>
        <w:t>].</w:t>
      </w:r>
    </w:p>
    <w:p w:rsidR="00B669E0" w:rsidRPr="00802D35" w:rsidRDefault="00B669E0" w:rsidP="00B669E0">
      <w:pPr>
        <w:pStyle w:val="af3"/>
        <w:tabs>
          <w:tab w:val="left" w:pos="9638"/>
        </w:tabs>
        <w:ind w:right="-1" w:firstLine="567"/>
        <w:jc w:val="both"/>
        <w:rPr>
          <w:rFonts w:ascii="Times New Roman" w:hAnsi="Times New Roman"/>
          <w:b/>
          <w:szCs w:val="28"/>
        </w:rPr>
      </w:pPr>
    </w:p>
    <w:p w:rsidR="00B669E0" w:rsidRPr="00802D35" w:rsidRDefault="00B669E0" w:rsidP="00B669E0">
      <w:pPr>
        <w:pStyle w:val="af3"/>
        <w:tabs>
          <w:tab w:val="left" w:pos="9638"/>
        </w:tabs>
        <w:ind w:right="-1" w:firstLine="567"/>
        <w:jc w:val="both"/>
        <w:rPr>
          <w:rFonts w:ascii="Times New Roman" w:hAnsi="Times New Roman"/>
          <w:szCs w:val="28"/>
        </w:rPr>
      </w:pPr>
      <w:r w:rsidRPr="00802D35">
        <w:rPr>
          <w:rFonts w:ascii="Times New Roman" w:hAnsi="Times New Roman"/>
          <w:szCs w:val="28"/>
        </w:rPr>
        <w:t>Так, займы банка у других банков и финансовых институтов в 2017 г. составляли 55,32 млрд тенге, в 2018 г. они выросли на 31,7%, в 2019 г. – на 21,18%, а в 2020 г. (по состоянию на конец октября) – на 5,48%. Несмотря на то, что в 2017 г. банку была оказана господдержка в сумме 150 млрд тенге от регулятора [</w:t>
      </w:r>
      <w:r w:rsidR="000B0564" w:rsidRPr="00802D35">
        <w:rPr>
          <w:rFonts w:ascii="Times New Roman" w:hAnsi="Times New Roman"/>
          <w:szCs w:val="28"/>
        </w:rPr>
        <w:t>105</w:t>
      </w:r>
      <w:r w:rsidRPr="00802D35">
        <w:rPr>
          <w:rFonts w:ascii="Times New Roman" w:hAnsi="Times New Roman"/>
          <w:szCs w:val="28"/>
        </w:rPr>
        <w:t>], наличие убытков вызывает опасения.</w:t>
      </w:r>
    </w:p>
    <w:p w:rsidR="00B669E0" w:rsidRPr="00802D35" w:rsidRDefault="00B669E0" w:rsidP="00B669E0">
      <w:pPr>
        <w:pStyle w:val="af3"/>
        <w:tabs>
          <w:tab w:val="left" w:pos="9638"/>
        </w:tabs>
        <w:ind w:right="-1" w:firstLine="567"/>
        <w:jc w:val="both"/>
        <w:rPr>
          <w:rFonts w:ascii="Times New Roman" w:hAnsi="Times New Roman"/>
          <w:szCs w:val="28"/>
        </w:rPr>
      </w:pPr>
      <w:r w:rsidRPr="00802D35">
        <w:rPr>
          <w:rFonts w:ascii="Times New Roman" w:hAnsi="Times New Roman"/>
          <w:szCs w:val="28"/>
        </w:rPr>
        <w:t>За рассматриваемый период АО АТФ</w:t>
      </w:r>
      <w:r w:rsidR="00E97FF6" w:rsidRPr="00802D35">
        <w:rPr>
          <w:rFonts w:ascii="Times New Roman" w:hAnsi="Times New Roman"/>
          <w:szCs w:val="28"/>
        </w:rPr>
        <w:t xml:space="preserve"> </w:t>
      </w:r>
      <w:r w:rsidRPr="00802D35">
        <w:rPr>
          <w:rFonts w:ascii="Times New Roman" w:hAnsi="Times New Roman"/>
          <w:szCs w:val="28"/>
        </w:rPr>
        <w:t>Банк осуществил эмиссии и погасил долг по следующим облигациям:</w:t>
      </w:r>
    </w:p>
    <w:p w:rsidR="00B669E0" w:rsidRPr="00802D35" w:rsidRDefault="00B669E0" w:rsidP="00203A4B">
      <w:pPr>
        <w:pStyle w:val="af3"/>
        <w:widowControl w:val="0"/>
        <w:numPr>
          <w:ilvl w:val="0"/>
          <w:numId w:val="15"/>
        </w:numPr>
        <w:tabs>
          <w:tab w:val="left" w:pos="851"/>
          <w:tab w:val="left" w:pos="9638"/>
        </w:tabs>
        <w:autoSpaceDE w:val="0"/>
        <w:autoSpaceDN w:val="0"/>
        <w:ind w:left="0" w:right="-1" w:firstLine="567"/>
        <w:jc w:val="both"/>
        <w:rPr>
          <w:rFonts w:ascii="Times New Roman" w:hAnsi="Times New Roman"/>
          <w:szCs w:val="28"/>
        </w:rPr>
      </w:pPr>
      <w:r w:rsidRPr="00802D35">
        <w:rPr>
          <w:rFonts w:ascii="Times New Roman" w:hAnsi="Times New Roman"/>
          <w:szCs w:val="28"/>
        </w:rPr>
        <w:t>в мае 2016 г. была погашена 5-я эмиссия еврооблигаций на сумму 350 тыс долларов США;</w:t>
      </w:r>
    </w:p>
    <w:p w:rsidR="00B669E0" w:rsidRPr="00802D35" w:rsidRDefault="00B669E0" w:rsidP="00203A4B">
      <w:pPr>
        <w:pStyle w:val="af3"/>
        <w:widowControl w:val="0"/>
        <w:numPr>
          <w:ilvl w:val="0"/>
          <w:numId w:val="15"/>
        </w:numPr>
        <w:tabs>
          <w:tab w:val="left" w:pos="851"/>
          <w:tab w:val="left" w:pos="9638"/>
        </w:tabs>
        <w:autoSpaceDE w:val="0"/>
        <w:autoSpaceDN w:val="0"/>
        <w:ind w:left="0" w:right="-1" w:firstLine="567"/>
        <w:jc w:val="both"/>
        <w:rPr>
          <w:rFonts w:ascii="Times New Roman" w:hAnsi="Times New Roman"/>
          <w:szCs w:val="28"/>
        </w:rPr>
      </w:pPr>
      <w:r w:rsidRPr="00802D35">
        <w:rPr>
          <w:rFonts w:ascii="Times New Roman" w:hAnsi="Times New Roman"/>
          <w:szCs w:val="28"/>
        </w:rPr>
        <w:t>в декабре 2016 г. была выкуплена часть субординированных облигаций на сумму 944,17 млн тенге;</w:t>
      </w:r>
    </w:p>
    <w:p w:rsidR="00B669E0" w:rsidRPr="00802D35" w:rsidRDefault="00B669E0" w:rsidP="00203A4B">
      <w:pPr>
        <w:pStyle w:val="af3"/>
        <w:widowControl w:val="0"/>
        <w:numPr>
          <w:ilvl w:val="0"/>
          <w:numId w:val="15"/>
        </w:numPr>
        <w:tabs>
          <w:tab w:val="left" w:pos="851"/>
          <w:tab w:val="left" w:pos="9638"/>
        </w:tabs>
        <w:autoSpaceDE w:val="0"/>
        <w:autoSpaceDN w:val="0"/>
        <w:ind w:left="0" w:right="-1" w:firstLine="567"/>
        <w:jc w:val="both"/>
        <w:rPr>
          <w:rFonts w:ascii="Times New Roman" w:hAnsi="Times New Roman"/>
          <w:szCs w:val="28"/>
        </w:rPr>
      </w:pPr>
      <w:r w:rsidRPr="00802D35">
        <w:rPr>
          <w:rFonts w:ascii="Times New Roman" w:hAnsi="Times New Roman"/>
          <w:szCs w:val="28"/>
        </w:rPr>
        <w:t>в июле 2017 г. были погашены облигации 2012 г. на сумму 1265,703 млн тенге;</w:t>
      </w:r>
    </w:p>
    <w:p w:rsidR="00B669E0" w:rsidRPr="00802D35" w:rsidRDefault="00B669E0" w:rsidP="00203A4B">
      <w:pPr>
        <w:pStyle w:val="af3"/>
        <w:widowControl w:val="0"/>
        <w:numPr>
          <w:ilvl w:val="0"/>
          <w:numId w:val="15"/>
        </w:numPr>
        <w:tabs>
          <w:tab w:val="left" w:pos="851"/>
          <w:tab w:val="left" w:pos="9638"/>
        </w:tabs>
        <w:autoSpaceDE w:val="0"/>
        <w:autoSpaceDN w:val="0"/>
        <w:ind w:left="0" w:right="-1" w:firstLine="567"/>
        <w:jc w:val="both"/>
        <w:rPr>
          <w:rFonts w:ascii="Times New Roman" w:hAnsi="Times New Roman"/>
          <w:szCs w:val="28"/>
        </w:rPr>
      </w:pPr>
      <w:r w:rsidRPr="00802D35">
        <w:rPr>
          <w:rFonts w:ascii="Times New Roman" w:hAnsi="Times New Roman"/>
          <w:szCs w:val="28"/>
        </w:rPr>
        <w:t>в октябре 2017 г. банк эмитировал субординированные облигации в рамках программы НБРК на сумму 100 млрд тенге;</w:t>
      </w:r>
    </w:p>
    <w:p w:rsidR="00B669E0" w:rsidRPr="00802D35" w:rsidRDefault="00B669E0" w:rsidP="00203A4B">
      <w:pPr>
        <w:pStyle w:val="af3"/>
        <w:widowControl w:val="0"/>
        <w:numPr>
          <w:ilvl w:val="0"/>
          <w:numId w:val="15"/>
        </w:numPr>
        <w:tabs>
          <w:tab w:val="left" w:pos="851"/>
          <w:tab w:val="left" w:pos="9638"/>
        </w:tabs>
        <w:autoSpaceDE w:val="0"/>
        <w:autoSpaceDN w:val="0"/>
        <w:ind w:left="0" w:right="-1" w:firstLine="567"/>
        <w:jc w:val="both"/>
        <w:rPr>
          <w:rFonts w:ascii="Times New Roman" w:hAnsi="Times New Roman"/>
          <w:szCs w:val="28"/>
        </w:rPr>
      </w:pPr>
      <w:r w:rsidRPr="00802D35">
        <w:rPr>
          <w:rFonts w:ascii="Times New Roman" w:hAnsi="Times New Roman"/>
          <w:szCs w:val="28"/>
        </w:rPr>
        <w:t>в марте 2019 г. в рамках Программы Правительства РК осуществлена эмиссия купонных облигаций на сумму 60 млрд тенге;</w:t>
      </w:r>
    </w:p>
    <w:p w:rsidR="00B669E0" w:rsidRPr="00802D35" w:rsidRDefault="00B669E0" w:rsidP="00203A4B">
      <w:pPr>
        <w:pStyle w:val="af3"/>
        <w:widowControl w:val="0"/>
        <w:numPr>
          <w:ilvl w:val="0"/>
          <w:numId w:val="15"/>
        </w:numPr>
        <w:tabs>
          <w:tab w:val="left" w:pos="851"/>
          <w:tab w:val="left" w:pos="9638"/>
        </w:tabs>
        <w:autoSpaceDE w:val="0"/>
        <w:autoSpaceDN w:val="0"/>
        <w:ind w:left="0" w:right="-1" w:firstLine="567"/>
        <w:jc w:val="both"/>
        <w:rPr>
          <w:rFonts w:ascii="Times New Roman" w:hAnsi="Times New Roman"/>
          <w:szCs w:val="28"/>
        </w:rPr>
      </w:pPr>
      <w:r w:rsidRPr="00802D35">
        <w:rPr>
          <w:rFonts w:ascii="Times New Roman" w:hAnsi="Times New Roman"/>
          <w:szCs w:val="28"/>
        </w:rPr>
        <w:t>в октябре 2019 г. эмитировано и размещено на МФЦА облигаций на сумму 300 млн долларов США;</w:t>
      </w:r>
    </w:p>
    <w:p w:rsidR="00B669E0" w:rsidRPr="00802D35" w:rsidRDefault="00B669E0" w:rsidP="00203A4B">
      <w:pPr>
        <w:pStyle w:val="af3"/>
        <w:widowControl w:val="0"/>
        <w:numPr>
          <w:ilvl w:val="0"/>
          <w:numId w:val="15"/>
        </w:numPr>
        <w:tabs>
          <w:tab w:val="left" w:pos="851"/>
          <w:tab w:val="left" w:pos="9638"/>
        </w:tabs>
        <w:autoSpaceDE w:val="0"/>
        <w:autoSpaceDN w:val="0"/>
        <w:ind w:left="0" w:right="-1" w:firstLine="567"/>
        <w:jc w:val="both"/>
        <w:rPr>
          <w:rFonts w:ascii="Times New Roman" w:hAnsi="Times New Roman"/>
          <w:szCs w:val="28"/>
        </w:rPr>
      </w:pPr>
      <w:r w:rsidRPr="00802D35">
        <w:rPr>
          <w:rFonts w:ascii="Times New Roman" w:hAnsi="Times New Roman"/>
          <w:szCs w:val="28"/>
        </w:rPr>
        <w:t>в течение 2019 г. банк осуществлял выкуп собственных субординированных облигаций на сумму 5,5 млрд тенге.</w:t>
      </w:r>
    </w:p>
    <w:p w:rsidR="00B669E0" w:rsidRPr="00802D35" w:rsidRDefault="00B669E0" w:rsidP="00B669E0">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Анализируя действия банка относительно его облигаций можно отметить, </w:t>
      </w:r>
      <w:r w:rsidRPr="00802D35">
        <w:rPr>
          <w:rFonts w:ascii="Times New Roman" w:hAnsi="Times New Roman" w:cs="Times New Roman"/>
          <w:sz w:val="28"/>
          <w:szCs w:val="28"/>
        </w:rPr>
        <w:lastRenderedPageBreak/>
        <w:t xml:space="preserve">что суммы погашения и выкупа значительно малы по сравнению с объемами выпуска данных займов. Исходя из плачевной ситуации АО АТФБанк пошел на слияние с АО </w:t>
      </w:r>
      <w:r w:rsidRPr="00802D35">
        <w:rPr>
          <w:rFonts w:ascii="Times New Roman" w:hAnsi="Times New Roman" w:cs="Times New Roman"/>
          <w:sz w:val="28"/>
          <w:szCs w:val="28"/>
          <w:shd w:val="clear" w:color="auto" w:fill="FFFFFF"/>
        </w:rPr>
        <w:t xml:space="preserve">Jysan Bank, который в декабре 2020 г. выкупил 99,76% акций </w:t>
      </w:r>
      <w:r w:rsidRPr="00802D35">
        <w:rPr>
          <w:rFonts w:ascii="Times New Roman" w:hAnsi="Times New Roman" w:cs="Times New Roman"/>
          <w:sz w:val="28"/>
          <w:szCs w:val="28"/>
        </w:rPr>
        <w:t>АО АТФ</w:t>
      </w:r>
      <w:r w:rsidR="00E97FF6" w:rsidRPr="00802D35">
        <w:rPr>
          <w:rFonts w:ascii="Times New Roman" w:hAnsi="Times New Roman" w:cs="Times New Roman"/>
          <w:sz w:val="28"/>
          <w:szCs w:val="28"/>
        </w:rPr>
        <w:t xml:space="preserve"> </w:t>
      </w:r>
      <w:r w:rsidRPr="00802D35">
        <w:rPr>
          <w:rFonts w:ascii="Times New Roman" w:hAnsi="Times New Roman" w:cs="Times New Roman"/>
          <w:sz w:val="28"/>
          <w:szCs w:val="28"/>
        </w:rPr>
        <w:t>Банк. Предполагается, что процесс присоединения АО АТФ</w:t>
      </w:r>
      <w:r w:rsidR="00E97FF6" w:rsidRPr="00802D35">
        <w:rPr>
          <w:rFonts w:ascii="Times New Roman" w:hAnsi="Times New Roman" w:cs="Times New Roman"/>
          <w:sz w:val="28"/>
          <w:szCs w:val="28"/>
        </w:rPr>
        <w:t xml:space="preserve"> </w:t>
      </w:r>
      <w:r w:rsidRPr="00802D35">
        <w:rPr>
          <w:rFonts w:ascii="Times New Roman" w:hAnsi="Times New Roman" w:cs="Times New Roman"/>
          <w:sz w:val="28"/>
          <w:szCs w:val="28"/>
        </w:rPr>
        <w:t xml:space="preserve">Банк к АО </w:t>
      </w:r>
      <w:r w:rsidRPr="00802D35">
        <w:rPr>
          <w:rFonts w:ascii="Times New Roman" w:hAnsi="Times New Roman" w:cs="Times New Roman"/>
          <w:sz w:val="28"/>
          <w:szCs w:val="28"/>
          <w:shd w:val="clear" w:color="auto" w:fill="FFFFFF"/>
        </w:rPr>
        <w:t xml:space="preserve">Jysan Bank завершиться в 2021 г. такое объединение банков является действенным решением по снижению рисков АО </w:t>
      </w:r>
      <w:r w:rsidRPr="00802D35">
        <w:rPr>
          <w:rFonts w:ascii="Times New Roman" w:hAnsi="Times New Roman" w:cs="Times New Roman"/>
          <w:sz w:val="28"/>
          <w:szCs w:val="28"/>
        </w:rPr>
        <w:t>АТФ</w:t>
      </w:r>
      <w:r w:rsidR="00E97FF6" w:rsidRPr="00802D35">
        <w:rPr>
          <w:rFonts w:ascii="Times New Roman" w:hAnsi="Times New Roman" w:cs="Times New Roman"/>
          <w:sz w:val="28"/>
          <w:szCs w:val="28"/>
        </w:rPr>
        <w:t xml:space="preserve"> </w:t>
      </w:r>
      <w:r w:rsidRPr="00802D35">
        <w:rPr>
          <w:rFonts w:ascii="Times New Roman" w:hAnsi="Times New Roman" w:cs="Times New Roman"/>
          <w:sz w:val="28"/>
          <w:szCs w:val="28"/>
        </w:rPr>
        <w:t>Банк (рисунок 32).</w:t>
      </w:r>
    </w:p>
    <w:p w:rsidR="00997C4A" w:rsidRPr="00802D35" w:rsidRDefault="00997C4A" w:rsidP="00B669E0">
      <w:pPr>
        <w:widowControl w:val="0"/>
        <w:spacing w:after="0" w:line="240" w:lineRule="auto"/>
        <w:ind w:firstLine="567"/>
        <w:jc w:val="both"/>
        <w:rPr>
          <w:rFonts w:ascii="Times New Roman" w:hAnsi="Times New Roman" w:cs="Times New Roman"/>
          <w:sz w:val="28"/>
          <w:szCs w:val="28"/>
        </w:rPr>
      </w:pPr>
    </w:p>
    <w:p w:rsidR="00997C4A" w:rsidRPr="00802D35" w:rsidRDefault="00997C4A" w:rsidP="00997C4A">
      <w:pPr>
        <w:pStyle w:val="af3"/>
        <w:tabs>
          <w:tab w:val="left" w:pos="851"/>
          <w:tab w:val="left" w:pos="9638"/>
        </w:tabs>
        <w:ind w:right="-1"/>
        <w:jc w:val="both"/>
        <w:rPr>
          <w:rFonts w:ascii="Times New Roman" w:hAnsi="Times New Roman"/>
          <w:szCs w:val="28"/>
        </w:rPr>
      </w:pPr>
      <w:r w:rsidRPr="00802D35">
        <w:rPr>
          <w:rFonts w:ascii="Times New Roman" w:hAnsi="Times New Roman"/>
          <w:noProof/>
          <w:lang w:eastAsia="ru-RU"/>
        </w:rPr>
        <w:drawing>
          <wp:inline distT="0" distB="0" distL="0" distR="0">
            <wp:extent cx="6115574" cy="1803633"/>
            <wp:effectExtent l="0" t="0" r="0" b="6350"/>
            <wp:docPr id="409" name="Диаграмма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97C4A" w:rsidRPr="00802D35" w:rsidRDefault="00997C4A" w:rsidP="00997C4A">
      <w:pPr>
        <w:pStyle w:val="1"/>
        <w:shd w:val="clear" w:color="auto" w:fill="FFFFFF"/>
        <w:spacing w:before="0" w:line="240" w:lineRule="auto"/>
        <w:ind w:firstLine="567"/>
        <w:jc w:val="center"/>
        <w:rPr>
          <w:rFonts w:ascii="Times New Roman" w:hAnsi="Times New Roman" w:cs="Times New Roman"/>
          <w:b w:val="0"/>
          <w:color w:val="auto"/>
        </w:rPr>
      </w:pPr>
      <w:r w:rsidRPr="00802D35">
        <w:rPr>
          <w:rFonts w:ascii="Times New Roman" w:hAnsi="Times New Roman" w:cs="Times New Roman"/>
          <w:b w:val="0"/>
          <w:color w:val="auto"/>
        </w:rPr>
        <w:t>Рисунок 32 - Динамика коэффициента нетто-стабильного фондирования</w:t>
      </w:r>
    </w:p>
    <w:p w:rsidR="00997C4A" w:rsidRPr="00802D35" w:rsidRDefault="00997C4A" w:rsidP="00997C4A">
      <w:pPr>
        <w:tabs>
          <w:tab w:val="left" w:pos="9638"/>
        </w:tabs>
        <w:spacing w:after="0" w:line="240" w:lineRule="auto"/>
        <w:ind w:right="-1"/>
        <w:jc w:val="center"/>
        <w:rPr>
          <w:rFonts w:ascii="Times New Roman" w:hAnsi="Times New Roman" w:cs="Times New Roman"/>
          <w:sz w:val="28"/>
          <w:szCs w:val="28"/>
        </w:rPr>
      </w:pPr>
      <w:r w:rsidRPr="00802D35">
        <w:rPr>
          <w:rFonts w:ascii="Times New Roman" w:hAnsi="Times New Roman" w:cs="Times New Roman"/>
          <w:sz w:val="28"/>
          <w:szCs w:val="28"/>
          <w:shd w:val="clear" w:color="auto" w:fill="FFFFFF"/>
        </w:rPr>
        <w:t xml:space="preserve">АО </w:t>
      </w:r>
      <w:r w:rsidRPr="00802D35">
        <w:rPr>
          <w:rFonts w:ascii="Times New Roman" w:hAnsi="Times New Roman" w:cs="Times New Roman"/>
          <w:sz w:val="28"/>
          <w:szCs w:val="28"/>
        </w:rPr>
        <w:t>АТФ</w:t>
      </w:r>
      <w:r w:rsidR="00E97FF6" w:rsidRPr="00802D35">
        <w:rPr>
          <w:rFonts w:ascii="Times New Roman" w:hAnsi="Times New Roman" w:cs="Times New Roman"/>
          <w:sz w:val="28"/>
          <w:szCs w:val="28"/>
        </w:rPr>
        <w:t xml:space="preserve"> </w:t>
      </w:r>
      <w:r w:rsidRPr="00802D35">
        <w:rPr>
          <w:rFonts w:ascii="Times New Roman" w:hAnsi="Times New Roman" w:cs="Times New Roman"/>
          <w:sz w:val="28"/>
          <w:szCs w:val="28"/>
        </w:rPr>
        <w:t>Банк</w:t>
      </w:r>
    </w:p>
    <w:p w:rsidR="00997C4A" w:rsidRPr="00802D35" w:rsidRDefault="00997C4A" w:rsidP="00997C4A">
      <w:pPr>
        <w:pStyle w:val="2"/>
        <w:shd w:val="clear" w:color="auto" w:fill="FFFFFF"/>
        <w:spacing w:before="0" w:beforeAutospacing="0" w:after="0" w:afterAutospacing="0"/>
        <w:ind w:firstLine="567"/>
        <w:jc w:val="both"/>
        <w:rPr>
          <w:b w:val="0"/>
          <w:sz w:val="24"/>
          <w:szCs w:val="24"/>
        </w:rPr>
      </w:pPr>
    </w:p>
    <w:p w:rsidR="00997C4A" w:rsidRPr="00802D35" w:rsidRDefault="00997C4A" w:rsidP="00997C4A">
      <w:pPr>
        <w:pStyle w:val="2"/>
        <w:shd w:val="clear" w:color="auto" w:fill="FFFFFF"/>
        <w:spacing w:before="0" w:beforeAutospacing="0" w:after="0" w:afterAutospacing="0"/>
        <w:ind w:firstLine="567"/>
        <w:jc w:val="both"/>
        <w:rPr>
          <w:b w:val="0"/>
          <w:sz w:val="24"/>
          <w:szCs w:val="24"/>
        </w:rPr>
      </w:pPr>
      <w:r w:rsidRPr="00802D35">
        <w:rPr>
          <w:b w:val="0"/>
          <w:sz w:val="24"/>
          <w:szCs w:val="24"/>
        </w:rPr>
        <w:t>Примечание - составлено на основании источников [</w:t>
      </w:r>
      <w:r w:rsidR="000B0564" w:rsidRPr="00802D35">
        <w:rPr>
          <w:b w:val="0"/>
          <w:sz w:val="24"/>
          <w:szCs w:val="24"/>
        </w:rPr>
        <w:t>71</w:t>
      </w:r>
      <w:r w:rsidRPr="00802D35">
        <w:rPr>
          <w:b w:val="0"/>
          <w:sz w:val="24"/>
          <w:szCs w:val="24"/>
        </w:rPr>
        <w:t>],[</w:t>
      </w:r>
      <w:r w:rsidR="000B0564" w:rsidRPr="00802D35">
        <w:rPr>
          <w:b w:val="0"/>
          <w:sz w:val="24"/>
          <w:szCs w:val="24"/>
        </w:rPr>
        <w:t>72</w:t>
      </w:r>
      <w:r w:rsidRPr="00802D35">
        <w:rPr>
          <w:b w:val="0"/>
          <w:sz w:val="24"/>
          <w:szCs w:val="24"/>
        </w:rPr>
        <w:t>],[</w:t>
      </w:r>
      <w:r w:rsidR="000B0564" w:rsidRPr="00802D35">
        <w:rPr>
          <w:b w:val="0"/>
          <w:sz w:val="24"/>
          <w:szCs w:val="24"/>
        </w:rPr>
        <w:t>73</w:t>
      </w:r>
      <w:r w:rsidRPr="00802D35">
        <w:rPr>
          <w:b w:val="0"/>
          <w:sz w:val="24"/>
          <w:szCs w:val="24"/>
        </w:rPr>
        <w:t>],[</w:t>
      </w:r>
      <w:r w:rsidR="000B0564" w:rsidRPr="00802D35">
        <w:rPr>
          <w:b w:val="0"/>
          <w:sz w:val="24"/>
          <w:szCs w:val="24"/>
        </w:rPr>
        <w:t>74</w:t>
      </w:r>
      <w:r w:rsidRPr="00802D35">
        <w:rPr>
          <w:b w:val="0"/>
          <w:sz w:val="24"/>
          <w:szCs w:val="24"/>
        </w:rPr>
        <w:t>].</w:t>
      </w:r>
    </w:p>
    <w:p w:rsidR="00997C4A" w:rsidRPr="00802D35" w:rsidRDefault="00997C4A" w:rsidP="00997C4A">
      <w:pPr>
        <w:pStyle w:val="2"/>
        <w:shd w:val="clear" w:color="auto" w:fill="FFFFFF"/>
        <w:spacing w:before="0" w:beforeAutospacing="0" w:after="0" w:afterAutospacing="0"/>
        <w:ind w:firstLine="567"/>
        <w:jc w:val="both"/>
        <w:rPr>
          <w:b w:val="0"/>
          <w:sz w:val="24"/>
          <w:szCs w:val="24"/>
        </w:rPr>
      </w:pPr>
    </w:p>
    <w:p w:rsidR="00997C4A" w:rsidRPr="00802D35" w:rsidRDefault="00997C4A" w:rsidP="00997C4A">
      <w:pPr>
        <w:pStyle w:val="2"/>
        <w:shd w:val="clear" w:color="auto" w:fill="FFFFFF"/>
        <w:spacing w:before="0" w:beforeAutospacing="0" w:after="0" w:afterAutospacing="0"/>
        <w:ind w:firstLine="567"/>
        <w:jc w:val="both"/>
        <w:rPr>
          <w:b w:val="0"/>
          <w:shd w:val="clear" w:color="auto" w:fill="FFFFFF"/>
        </w:rPr>
      </w:pPr>
      <w:r w:rsidRPr="00802D35">
        <w:rPr>
          <w:b w:val="0"/>
          <w:sz w:val="28"/>
          <w:szCs w:val="28"/>
        </w:rPr>
        <w:t xml:space="preserve">Коэффициент нетто-стабильного фондирования демонстрирует положительную динамику с конца 2020 г. значительного роста он достигает в начале 2021 г. после приобретения акций </w:t>
      </w:r>
      <w:r w:rsidRPr="00802D35">
        <w:rPr>
          <w:b w:val="0"/>
          <w:sz w:val="28"/>
          <w:szCs w:val="28"/>
          <w:shd w:val="clear" w:color="auto" w:fill="FFFFFF"/>
        </w:rPr>
        <w:t xml:space="preserve">АО </w:t>
      </w:r>
      <w:r w:rsidRPr="00802D35">
        <w:rPr>
          <w:b w:val="0"/>
          <w:sz w:val="28"/>
          <w:szCs w:val="28"/>
        </w:rPr>
        <w:t>АТФ</w:t>
      </w:r>
      <w:r w:rsidR="00E97FF6" w:rsidRPr="00802D35">
        <w:rPr>
          <w:b w:val="0"/>
          <w:sz w:val="28"/>
          <w:szCs w:val="28"/>
        </w:rPr>
        <w:t xml:space="preserve"> </w:t>
      </w:r>
      <w:r w:rsidRPr="00802D35">
        <w:rPr>
          <w:b w:val="0"/>
          <w:sz w:val="28"/>
          <w:szCs w:val="28"/>
        </w:rPr>
        <w:t xml:space="preserve">Банк банком АО </w:t>
      </w:r>
      <w:r w:rsidRPr="00802D35">
        <w:rPr>
          <w:b w:val="0"/>
          <w:sz w:val="28"/>
          <w:szCs w:val="28"/>
          <w:shd w:val="clear" w:color="auto" w:fill="FFFFFF"/>
        </w:rPr>
        <w:t>Jysan Bank. В настоящее время банк демонстрирует поступление стабильного фондирования.</w:t>
      </w:r>
      <w:r w:rsidRPr="00802D35">
        <w:rPr>
          <w:b w:val="0"/>
          <w:shd w:val="clear" w:color="auto" w:fill="FFFFFF"/>
        </w:rPr>
        <w:t xml:space="preserve"> </w:t>
      </w:r>
    </w:p>
    <w:p w:rsidR="00997C4A" w:rsidRPr="00802D35" w:rsidRDefault="00997C4A" w:rsidP="00997C4A">
      <w:pPr>
        <w:pStyle w:val="2"/>
        <w:shd w:val="clear" w:color="auto" w:fill="FFFFFF"/>
        <w:spacing w:before="0" w:beforeAutospacing="0" w:after="0" w:afterAutospacing="0"/>
        <w:ind w:firstLine="567"/>
        <w:jc w:val="both"/>
        <w:rPr>
          <w:b w:val="0"/>
          <w:sz w:val="28"/>
          <w:szCs w:val="28"/>
          <w:shd w:val="clear" w:color="auto" w:fill="FFFFFF"/>
        </w:rPr>
      </w:pPr>
      <w:r w:rsidRPr="00802D35">
        <w:rPr>
          <w:b w:val="0"/>
          <w:sz w:val="28"/>
          <w:szCs w:val="28"/>
        </w:rPr>
        <w:t xml:space="preserve">Проанализируем структуру фондирования в АО </w:t>
      </w:r>
      <w:r w:rsidRPr="00802D35">
        <w:rPr>
          <w:b w:val="0"/>
          <w:sz w:val="28"/>
          <w:szCs w:val="28"/>
          <w:shd w:val="clear" w:color="auto" w:fill="FFFFFF"/>
        </w:rPr>
        <w:t>Kaspi bank. Как известно, банк является крупнейшим банком, специализирующемся на потребительском кредитовании и привлечении средств розничных клиентов (рисунок 33).</w:t>
      </w:r>
    </w:p>
    <w:p w:rsidR="00CD7A79" w:rsidRPr="00802D35" w:rsidRDefault="00CD7A79" w:rsidP="00997C4A">
      <w:pPr>
        <w:pStyle w:val="2"/>
        <w:shd w:val="clear" w:color="auto" w:fill="FFFFFF"/>
        <w:spacing w:before="0" w:beforeAutospacing="0" w:after="0" w:afterAutospacing="0"/>
        <w:ind w:firstLine="567"/>
        <w:jc w:val="both"/>
        <w:rPr>
          <w:b w:val="0"/>
          <w:sz w:val="28"/>
          <w:szCs w:val="28"/>
          <w:shd w:val="clear" w:color="auto" w:fill="FFFFFF"/>
        </w:rPr>
      </w:pPr>
    </w:p>
    <w:p w:rsidR="00CD7A79" w:rsidRPr="00802D35" w:rsidRDefault="00997C4A" w:rsidP="00CD7A79">
      <w:pPr>
        <w:pStyle w:val="2"/>
        <w:shd w:val="clear" w:color="auto" w:fill="FFFFFF"/>
        <w:spacing w:before="0" w:beforeAutospacing="0" w:after="0" w:afterAutospacing="0"/>
        <w:jc w:val="both"/>
        <w:rPr>
          <w:b w:val="0"/>
          <w:sz w:val="28"/>
          <w:szCs w:val="28"/>
        </w:rPr>
      </w:pPr>
      <w:r w:rsidRPr="00802D35">
        <w:rPr>
          <w:noProof/>
        </w:rPr>
        <w:drawing>
          <wp:inline distT="0" distB="0" distL="0" distR="0">
            <wp:extent cx="6195060" cy="1988820"/>
            <wp:effectExtent l="0" t="0" r="0" b="0"/>
            <wp:docPr id="410"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D7A79" w:rsidRPr="00802D35" w:rsidRDefault="00CD7A79" w:rsidP="00CD7A79">
      <w:pPr>
        <w:pStyle w:val="2"/>
        <w:shd w:val="clear" w:color="auto" w:fill="FFFFFF"/>
        <w:spacing w:before="0" w:beforeAutospacing="0" w:after="0" w:afterAutospacing="0"/>
        <w:jc w:val="both"/>
        <w:rPr>
          <w:b w:val="0"/>
          <w:sz w:val="28"/>
          <w:szCs w:val="28"/>
        </w:rPr>
      </w:pPr>
    </w:p>
    <w:p w:rsidR="00997C4A" w:rsidRPr="00802D35" w:rsidRDefault="00997C4A" w:rsidP="004D4A08">
      <w:pPr>
        <w:pStyle w:val="2"/>
        <w:shd w:val="clear" w:color="auto" w:fill="FFFFFF"/>
        <w:spacing w:before="0" w:beforeAutospacing="0" w:after="0" w:afterAutospacing="0"/>
        <w:ind w:firstLine="567"/>
        <w:jc w:val="center"/>
        <w:rPr>
          <w:b w:val="0"/>
        </w:rPr>
      </w:pPr>
      <w:r w:rsidRPr="00802D35">
        <w:rPr>
          <w:b w:val="0"/>
          <w:sz w:val="28"/>
          <w:szCs w:val="28"/>
        </w:rPr>
        <w:t xml:space="preserve">Рисунок 33 - Структура фондирования деятельности АО </w:t>
      </w:r>
      <w:r w:rsidRPr="00802D35">
        <w:rPr>
          <w:b w:val="0"/>
          <w:sz w:val="28"/>
          <w:szCs w:val="28"/>
          <w:shd w:val="clear" w:color="auto" w:fill="FFFFFF"/>
        </w:rPr>
        <w:t>Kaspi bank</w:t>
      </w:r>
      <w:r w:rsidRPr="00802D35">
        <w:rPr>
          <w:b w:val="0"/>
          <w:sz w:val="28"/>
          <w:szCs w:val="28"/>
        </w:rPr>
        <w:t>, млрд тенге</w:t>
      </w:r>
      <w:r w:rsidR="004D4A08" w:rsidRPr="00802D35">
        <w:rPr>
          <w:b w:val="0"/>
          <w:sz w:val="28"/>
          <w:szCs w:val="28"/>
        </w:rPr>
        <w:t xml:space="preserve"> </w:t>
      </w:r>
    </w:p>
    <w:p w:rsidR="00BF65B9" w:rsidRPr="00802D35" w:rsidRDefault="00BF65B9" w:rsidP="00CD7A79">
      <w:pPr>
        <w:pStyle w:val="1"/>
        <w:shd w:val="clear" w:color="auto" w:fill="FFFFFF"/>
        <w:spacing w:before="0" w:line="240" w:lineRule="auto"/>
        <w:ind w:firstLine="567"/>
        <w:jc w:val="both"/>
        <w:rPr>
          <w:rFonts w:ascii="Times New Roman" w:hAnsi="Times New Roman" w:cs="Times New Roman"/>
          <w:b w:val="0"/>
          <w:color w:val="auto"/>
          <w:sz w:val="24"/>
          <w:szCs w:val="24"/>
        </w:rPr>
      </w:pPr>
    </w:p>
    <w:p w:rsidR="00B669E0" w:rsidRPr="00802D35" w:rsidRDefault="00997C4A" w:rsidP="00CD7A79">
      <w:pPr>
        <w:pStyle w:val="1"/>
        <w:shd w:val="clear" w:color="auto" w:fill="FFFFFF"/>
        <w:spacing w:before="0" w:line="240" w:lineRule="auto"/>
        <w:ind w:firstLine="567"/>
        <w:jc w:val="both"/>
        <w:rPr>
          <w:rFonts w:ascii="Times New Roman" w:hAnsi="Times New Roman" w:cs="Times New Roman"/>
          <w:b w:val="0"/>
          <w:color w:val="auto"/>
          <w:sz w:val="24"/>
          <w:szCs w:val="24"/>
        </w:rPr>
      </w:pPr>
      <w:r w:rsidRPr="00802D35">
        <w:rPr>
          <w:rFonts w:ascii="Times New Roman" w:hAnsi="Times New Roman" w:cs="Times New Roman"/>
          <w:b w:val="0"/>
          <w:color w:val="auto"/>
          <w:sz w:val="24"/>
          <w:szCs w:val="24"/>
        </w:rPr>
        <w:t>Примечание</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составлено на основании источников [</w:t>
      </w:r>
      <w:r w:rsidR="000B0564" w:rsidRPr="00802D35">
        <w:rPr>
          <w:rFonts w:ascii="Times New Roman" w:hAnsi="Times New Roman" w:cs="Times New Roman"/>
          <w:b w:val="0"/>
          <w:color w:val="auto"/>
          <w:sz w:val="24"/>
          <w:szCs w:val="24"/>
        </w:rPr>
        <w:t>106</w:t>
      </w:r>
      <w:r w:rsidRPr="00802D35">
        <w:rPr>
          <w:rFonts w:ascii="Times New Roman" w:hAnsi="Times New Roman" w:cs="Times New Roman"/>
          <w:b w:val="0"/>
          <w:color w:val="auto"/>
          <w:sz w:val="24"/>
          <w:szCs w:val="24"/>
        </w:rPr>
        <w:t>], [</w:t>
      </w:r>
      <w:r w:rsidR="000B0564" w:rsidRPr="00802D35">
        <w:rPr>
          <w:rFonts w:ascii="Times New Roman" w:hAnsi="Times New Roman" w:cs="Times New Roman"/>
          <w:b w:val="0"/>
          <w:color w:val="auto"/>
          <w:sz w:val="24"/>
          <w:szCs w:val="24"/>
        </w:rPr>
        <w:t>107</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108</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109</w:t>
      </w:r>
      <w:r w:rsidRPr="00802D35">
        <w:rPr>
          <w:rFonts w:ascii="Times New Roman" w:hAnsi="Times New Roman" w:cs="Times New Roman"/>
          <w:b w:val="0"/>
          <w:color w:val="auto"/>
          <w:sz w:val="24"/>
          <w:szCs w:val="24"/>
        </w:rPr>
        <w:t>].</w:t>
      </w:r>
    </w:p>
    <w:p w:rsidR="00997C4A" w:rsidRPr="00802D35" w:rsidRDefault="00997C4A" w:rsidP="00CD7A79">
      <w:pPr>
        <w:spacing w:after="0" w:line="240" w:lineRule="auto"/>
        <w:jc w:val="both"/>
      </w:pPr>
    </w:p>
    <w:p w:rsidR="00FD338E" w:rsidRPr="00802D35" w:rsidRDefault="00FD338E" w:rsidP="00FD338E">
      <w:pPr>
        <w:pStyle w:val="1"/>
        <w:shd w:val="clear" w:color="auto" w:fill="FFFFFF"/>
        <w:tabs>
          <w:tab w:val="left" w:pos="9638"/>
        </w:tabs>
        <w:spacing w:before="0" w:line="240" w:lineRule="auto"/>
        <w:ind w:right="-1" w:firstLine="567"/>
        <w:jc w:val="both"/>
        <w:rPr>
          <w:rFonts w:ascii="Times New Roman" w:hAnsi="Times New Roman" w:cs="Times New Roman"/>
          <w:b w:val="0"/>
          <w:color w:val="auto"/>
          <w:shd w:val="clear" w:color="auto" w:fill="FFFFFF"/>
        </w:rPr>
      </w:pPr>
      <w:r w:rsidRPr="00802D35">
        <w:rPr>
          <w:rFonts w:ascii="Times New Roman" w:hAnsi="Times New Roman" w:cs="Times New Roman"/>
          <w:b w:val="0"/>
          <w:color w:val="auto"/>
        </w:rPr>
        <w:lastRenderedPageBreak/>
        <w:t xml:space="preserve">Наибольший удельный вес в структуре фондирования деятельности банка приходится на срочные вклады, имеющие положительную тенденцию. Так, срочные вклады увеличились в 2017 г. на 22,5%, в 2018 г. – на 15,69%, в 2019 г. – на 25,88% и в 2020 г. – на 22,77%. Особенностью системы фондирования АО </w:t>
      </w:r>
      <w:r w:rsidRPr="00802D35">
        <w:rPr>
          <w:rFonts w:ascii="Times New Roman" w:hAnsi="Times New Roman" w:cs="Times New Roman"/>
          <w:b w:val="0"/>
          <w:color w:val="auto"/>
          <w:shd w:val="clear" w:color="auto" w:fill="FFFFFF"/>
        </w:rPr>
        <w:t xml:space="preserve">Kaspi bank вплоть до 2018 г. являлось то, что вторую по величине долю занимали выпущенные банком ценные бумаги, третью долю – нераспределенная прибыль банка и лишь затем текущие счета клиентов. Однако, уже в 2019 г. ситуация кардинально меняется и структура фондирования приобретает более стандартный для БВУ вид: текущие счета клиентов увеличиваются и начинают превалировать над выпущенными ценными бумагами и суммой нераспределенной прибыли. </w:t>
      </w:r>
    </w:p>
    <w:p w:rsidR="00FD338E" w:rsidRPr="00802D35" w:rsidRDefault="00FD338E" w:rsidP="00FD338E">
      <w:pPr>
        <w:pStyle w:val="1"/>
        <w:shd w:val="clear" w:color="auto" w:fill="FFFFFF"/>
        <w:tabs>
          <w:tab w:val="left" w:pos="9638"/>
        </w:tabs>
        <w:spacing w:before="0" w:line="240" w:lineRule="auto"/>
        <w:ind w:right="-1" w:firstLine="567"/>
        <w:jc w:val="both"/>
        <w:rPr>
          <w:rFonts w:ascii="Times New Roman" w:hAnsi="Times New Roman" w:cs="Times New Roman"/>
          <w:b w:val="0"/>
          <w:color w:val="auto"/>
          <w:shd w:val="clear" w:color="auto" w:fill="FFFFFF"/>
        </w:rPr>
      </w:pPr>
      <w:r w:rsidRPr="00802D35">
        <w:rPr>
          <w:rFonts w:ascii="Times New Roman" w:hAnsi="Times New Roman" w:cs="Times New Roman"/>
          <w:b w:val="0"/>
          <w:color w:val="auto"/>
          <w:shd w:val="clear" w:color="auto" w:fill="FFFFFF"/>
        </w:rPr>
        <w:t xml:space="preserve">Такая ситуация характеризует банк с положительной стороны, поскольку до 2018 г. стоимость фондирования банка была достаточно высокой и более рисковой. В частности, в 2019 г. доля текущих счетов клиентов выросла на 76,12%, а в 2020 г. – еще на 97,75%. Такой бурный рост обусловлен развитием интернет банкинга и предоставлением возможности клиентам свободно оплачивать и переводить средства по приложению kaspi.kz. </w:t>
      </w:r>
    </w:p>
    <w:p w:rsidR="00FD338E" w:rsidRPr="00802D35" w:rsidRDefault="00FD338E" w:rsidP="00FD338E">
      <w:pPr>
        <w:pStyle w:val="1"/>
        <w:shd w:val="clear" w:color="auto" w:fill="FFFFFF"/>
        <w:tabs>
          <w:tab w:val="left" w:pos="9638"/>
        </w:tabs>
        <w:spacing w:before="0" w:line="240" w:lineRule="auto"/>
        <w:ind w:right="-1" w:firstLine="567"/>
        <w:jc w:val="both"/>
        <w:rPr>
          <w:rFonts w:ascii="Times New Roman" w:hAnsi="Times New Roman" w:cs="Times New Roman"/>
          <w:b w:val="0"/>
          <w:color w:val="auto"/>
          <w:shd w:val="clear" w:color="auto" w:fill="FFFFFF"/>
        </w:rPr>
      </w:pPr>
      <w:r w:rsidRPr="00802D35">
        <w:rPr>
          <w:rFonts w:ascii="Times New Roman" w:hAnsi="Times New Roman" w:cs="Times New Roman"/>
          <w:b w:val="0"/>
          <w:color w:val="auto"/>
          <w:shd w:val="clear" w:color="auto" w:fill="FFFFFF"/>
        </w:rPr>
        <w:t>Примечательно также и то, что займы у других банков занимают в структуре фондирования незначительную долю, уступая место выпуску долговых инструментов.</w:t>
      </w:r>
    </w:p>
    <w:p w:rsidR="00FD338E" w:rsidRPr="00802D35" w:rsidRDefault="00FD338E" w:rsidP="00FD338E">
      <w:pPr>
        <w:pStyle w:val="1"/>
        <w:shd w:val="clear" w:color="auto" w:fill="FFFFFF"/>
        <w:tabs>
          <w:tab w:val="left" w:pos="9638"/>
        </w:tabs>
        <w:spacing w:before="0" w:line="240" w:lineRule="auto"/>
        <w:ind w:right="-1" w:firstLine="567"/>
        <w:jc w:val="both"/>
        <w:rPr>
          <w:rFonts w:ascii="Times New Roman" w:hAnsi="Times New Roman" w:cs="Times New Roman"/>
          <w:b w:val="0"/>
          <w:color w:val="auto"/>
          <w:shd w:val="clear" w:color="auto" w:fill="FFFFFF"/>
        </w:rPr>
      </w:pPr>
      <w:r w:rsidRPr="00802D35">
        <w:rPr>
          <w:rFonts w:ascii="Times New Roman" w:hAnsi="Times New Roman" w:cs="Times New Roman"/>
          <w:b w:val="0"/>
          <w:color w:val="auto"/>
          <w:shd w:val="clear" w:color="auto" w:fill="FFFFFF"/>
        </w:rPr>
        <w:t xml:space="preserve">Проанализируем структуру вкладов </w:t>
      </w:r>
      <w:r w:rsidRPr="00802D35">
        <w:rPr>
          <w:rFonts w:ascii="Times New Roman" w:hAnsi="Times New Roman" w:cs="Times New Roman"/>
          <w:b w:val="0"/>
          <w:color w:val="auto"/>
        </w:rPr>
        <w:t xml:space="preserve">АО </w:t>
      </w:r>
      <w:r w:rsidRPr="00802D35">
        <w:rPr>
          <w:rFonts w:ascii="Times New Roman" w:hAnsi="Times New Roman" w:cs="Times New Roman"/>
          <w:b w:val="0"/>
          <w:color w:val="auto"/>
          <w:shd w:val="clear" w:color="auto" w:fill="FFFFFF"/>
        </w:rPr>
        <w:t>Kaspi bank (рисунок 34).</w:t>
      </w:r>
    </w:p>
    <w:p w:rsidR="00FD338E" w:rsidRPr="00802D35" w:rsidRDefault="00FD338E" w:rsidP="00FD338E">
      <w:pPr>
        <w:pStyle w:val="1"/>
        <w:shd w:val="clear" w:color="auto" w:fill="FFFFFF"/>
        <w:tabs>
          <w:tab w:val="left" w:pos="9638"/>
        </w:tabs>
        <w:spacing w:before="0" w:line="240" w:lineRule="auto"/>
        <w:ind w:right="-1" w:firstLine="567"/>
        <w:jc w:val="both"/>
        <w:rPr>
          <w:rFonts w:ascii="Times New Roman" w:hAnsi="Times New Roman" w:cs="Times New Roman"/>
          <w:b w:val="0"/>
          <w:color w:val="auto"/>
          <w:shd w:val="clear" w:color="auto" w:fill="FFFFFF"/>
        </w:rPr>
      </w:pPr>
    </w:p>
    <w:p w:rsidR="00FD338E" w:rsidRPr="00802D35" w:rsidRDefault="00FD338E" w:rsidP="00FD338E">
      <w:pPr>
        <w:pStyle w:val="1"/>
        <w:shd w:val="clear" w:color="auto" w:fill="FFFFFF"/>
        <w:tabs>
          <w:tab w:val="left" w:pos="9638"/>
        </w:tabs>
        <w:spacing w:before="0" w:line="240" w:lineRule="auto"/>
        <w:ind w:right="-1"/>
        <w:jc w:val="both"/>
        <w:rPr>
          <w:rFonts w:ascii="Times New Roman" w:hAnsi="Times New Roman" w:cs="Times New Roman"/>
          <w:b w:val="0"/>
          <w:color w:val="auto"/>
          <w:shd w:val="clear" w:color="auto" w:fill="FFFFFF"/>
        </w:rPr>
      </w:pPr>
      <w:r w:rsidRPr="00802D35">
        <w:rPr>
          <w:rFonts w:ascii="Times New Roman" w:hAnsi="Times New Roman" w:cs="Times New Roman"/>
          <w:b w:val="0"/>
          <w:noProof/>
          <w:color w:val="auto"/>
          <w:lang w:eastAsia="ru-RU"/>
        </w:rPr>
        <w:drawing>
          <wp:inline distT="0" distB="0" distL="0" distR="0">
            <wp:extent cx="6080760" cy="1927860"/>
            <wp:effectExtent l="0" t="0" r="0" b="0"/>
            <wp:docPr id="411"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D338E" w:rsidRPr="00802D35" w:rsidRDefault="00FD338E" w:rsidP="00FD338E">
      <w:pPr>
        <w:pStyle w:val="1"/>
        <w:shd w:val="clear" w:color="auto" w:fill="FFFFFF"/>
        <w:tabs>
          <w:tab w:val="left" w:pos="9638"/>
        </w:tabs>
        <w:spacing w:before="0" w:line="240" w:lineRule="auto"/>
        <w:ind w:right="-1" w:firstLine="567"/>
        <w:jc w:val="both"/>
        <w:rPr>
          <w:rFonts w:ascii="Times New Roman" w:hAnsi="Times New Roman" w:cs="Times New Roman"/>
          <w:b w:val="0"/>
          <w:color w:val="auto"/>
          <w:shd w:val="clear" w:color="auto" w:fill="FFFFFF"/>
        </w:rPr>
      </w:pPr>
    </w:p>
    <w:p w:rsidR="00FD338E" w:rsidRPr="00802D35" w:rsidRDefault="00FD338E" w:rsidP="00FD338E">
      <w:pPr>
        <w:pStyle w:val="1"/>
        <w:shd w:val="clear" w:color="auto" w:fill="FFFFFF"/>
        <w:tabs>
          <w:tab w:val="left" w:pos="9638"/>
        </w:tabs>
        <w:spacing w:before="0" w:line="240" w:lineRule="auto"/>
        <w:ind w:right="-1" w:firstLine="567"/>
        <w:jc w:val="center"/>
        <w:rPr>
          <w:rFonts w:ascii="Times New Roman" w:hAnsi="Times New Roman" w:cs="Times New Roman"/>
          <w:b w:val="0"/>
          <w:color w:val="auto"/>
          <w:shd w:val="clear" w:color="auto" w:fill="FFFFFF"/>
        </w:rPr>
      </w:pPr>
      <w:r w:rsidRPr="00802D35">
        <w:rPr>
          <w:rFonts w:ascii="Times New Roman" w:hAnsi="Times New Roman" w:cs="Times New Roman"/>
          <w:b w:val="0"/>
          <w:color w:val="auto"/>
        </w:rPr>
        <w:t xml:space="preserve">Рисунок 34 - Структура вкладов АО </w:t>
      </w:r>
      <w:r w:rsidRPr="00802D35">
        <w:rPr>
          <w:rFonts w:ascii="Times New Roman" w:hAnsi="Times New Roman" w:cs="Times New Roman"/>
          <w:b w:val="0"/>
          <w:color w:val="auto"/>
          <w:shd w:val="clear" w:color="auto" w:fill="FFFFFF"/>
        </w:rPr>
        <w:t>Kaspi bank, млрд тенге</w:t>
      </w:r>
    </w:p>
    <w:p w:rsidR="00FD338E" w:rsidRPr="00802D35" w:rsidRDefault="00FD338E" w:rsidP="00FD338E">
      <w:pPr>
        <w:pStyle w:val="1"/>
        <w:shd w:val="clear" w:color="auto" w:fill="FFFFFF"/>
        <w:tabs>
          <w:tab w:val="left" w:pos="9638"/>
        </w:tabs>
        <w:spacing w:before="0" w:line="240" w:lineRule="auto"/>
        <w:ind w:right="-1" w:firstLine="567"/>
        <w:jc w:val="both"/>
        <w:rPr>
          <w:rFonts w:ascii="Times New Roman" w:hAnsi="Times New Roman" w:cs="Times New Roman"/>
          <w:b w:val="0"/>
          <w:color w:val="auto"/>
          <w:shd w:val="clear" w:color="auto" w:fill="FFFFFF"/>
        </w:rPr>
      </w:pPr>
    </w:p>
    <w:p w:rsidR="00FD338E" w:rsidRPr="00802D35" w:rsidRDefault="00FD338E" w:rsidP="00FD338E">
      <w:pPr>
        <w:pStyle w:val="1"/>
        <w:shd w:val="clear" w:color="auto" w:fill="FFFFFF"/>
        <w:spacing w:before="0" w:line="240" w:lineRule="auto"/>
        <w:ind w:firstLine="567"/>
        <w:jc w:val="both"/>
        <w:rPr>
          <w:rFonts w:ascii="Times New Roman" w:hAnsi="Times New Roman" w:cs="Times New Roman"/>
          <w:b w:val="0"/>
          <w:color w:val="auto"/>
          <w:sz w:val="24"/>
          <w:szCs w:val="24"/>
        </w:rPr>
      </w:pPr>
      <w:r w:rsidRPr="00802D35">
        <w:rPr>
          <w:rFonts w:ascii="Times New Roman" w:hAnsi="Times New Roman" w:cs="Times New Roman"/>
          <w:b w:val="0"/>
          <w:color w:val="auto"/>
          <w:sz w:val="24"/>
          <w:szCs w:val="24"/>
        </w:rPr>
        <w:t>Примечание</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составлено на основании источников [</w:t>
      </w:r>
      <w:r w:rsidR="000B0564" w:rsidRPr="00802D35">
        <w:rPr>
          <w:rFonts w:ascii="Times New Roman" w:hAnsi="Times New Roman" w:cs="Times New Roman"/>
          <w:b w:val="0"/>
          <w:color w:val="auto"/>
          <w:sz w:val="24"/>
          <w:szCs w:val="24"/>
        </w:rPr>
        <w:t>106</w:t>
      </w:r>
      <w:r w:rsidRPr="00802D35">
        <w:rPr>
          <w:rFonts w:ascii="Times New Roman" w:hAnsi="Times New Roman" w:cs="Times New Roman"/>
          <w:b w:val="0"/>
          <w:color w:val="auto"/>
          <w:sz w:val="24"/>
          <w:szCs w:val="24"/>
        </w:rPr>
        <w:t>], [</w:t>
      </w:r>
      <w:r w:rsidR="000B0564" w:rsidRPr="00802D35">
        <w:rPr>
          <w:rFonts w:ascii="Times New Roman" w:hAnsi="Times New Roman" w:cs="Times New Roman"/>
          <w:b w:val="0"/>
          <w:color w:val="auto"/>
          <w:sz w:val="24"/>
          <w:szCs w:val="24"/>
        </w:rPr>
        <w:t>107</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108</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109</w:t>
      </w:r>
      <w:r w:rsidRPr="00802D35">
        <w:rPr>
          <w:rFonts w:ascii="Times New Roman" w:hAnsi="Times New Roman" w:cs="Times New Roman"/>
          <w:b w:val="0"/>
          <w:color w:val="auto"/>
          <w:sz w:val="24"/>
          <w:szCs w:val="24"/>
        </w:rPr>
        <w:t>].</w:t>
      </w:r>
    </w:p>
    <w:p w:rsidR="00FD338E" w:rsidRPr="00802D35" w:rsidRDefault="00FD338E" w:rsidP="00FD338E">
      <w:pPr>
        <w:pStyle w:val="1"/>
        <w:shd w:val="clear" w:color="auto" w:fill="FFFFFF"/>
        <w:tabs>
          <w:tab w:val="left" w:pos="9638"/>
        </w:tabs>
        <w:spacing w:before="0" w:line="240" w:lineRule="auto"/>
        <w:ind w:right="-1" w:firstLine="567"/>
        <w:jc w:val="both"/>
        <w:rPr>
          <w:rFonts w:ascii="Times New Roman" w:hAnsi="Times New Roman" w:cs="Times New Roman"/>
          <w:b w:val="0"/>
          <w:color w:val="auto"/>
        </w:rPr>
      </w:pPr>
    </w:p>
    <w:p w:rsidR="00FD338E" w:rsidRPr="00802D35" w:rsidRDefault="00FD338E" w:rsidP="00FD338E">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 xml:space="preserve">Еще одной особенностью фондирования банка является значительное превалирование срочных вкладов и текущих счетов розничных клиентов над вкладами и текущими счетами корпоративного бизнеса (рисунок 35). </w:t>
      </w:r>
    </w:p>
    <w:p w:rsidR="00FD338E" w:rsidRPr="00802D35" w:rsidRDefault="00FD338E" w:rsidP="008C0E8A">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Если обратить внимание на данные рисунка 35, то можно отметить, что срочные вклады физических лиц занимают более 71% банковского фондирования. Так, в 2016 г. они занимали 87,51%, в 2017 г. – 82,77%, в 2018 г. – 82,86%, в 2019 г. – 79% и в 2020 г. – 71,68%.</w:t>
      </w:r>
    </w:p>
    <w:p w:rsidR="00981C18" w:rsidRPr="00802D35" w:rsidRDefault="00981C18" w:rsidP="00981C18">
      <w:pPr>
        <w:pStyle w:val="1"/>
        <w:shd w:val="clear" w:color="auto" w:fill="FFFFFF"/>
        <w:spacing w:before="0" w:line="240" w:lineRule="auto"/>
        <w:jc w:val="both"/>
        <w:rPr>
          <w:rFonts w:ascii="Times New Roman" w:hAnsi="Times New Roman" w:cs="Times New Roman"/>
          <w:b w:val="0"/>
          <w:color w:val="auto"/>
        </w:rPr>
      </w:pPr>
      <w:r w:rsidRPr="00802D35">
        <w:rPr>
          <w:rFonts w:ascii="Times New Roman" w:hAnsi="Times New Roman" w:cs="Times New Roman"/>
          <w:noProof/>
          <w:color w:val="auto"/>
          <w:lang w:eastAsia="ru-RU"/>
        </w:rPr>
        <w:lastRenderedPageBreak/>
        <w:drawing>
          <wp:inline distT="0" distB="0" distL="0" distR="0">
            <wp:extent cx="6210300" cy="1478280"/>
            <wp:effectExtent l="0" t="0" r="0" b="7620"/>
            <wp:docPr id="412"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81C18" w:rsidRPr="00802D35" w:rsidRDefault="00981C18" w:rsidP="00981C18">
      <w:pPr>
        <w:pStyle w:val="1"/>
        <w:shd w:val="clear" w:color="auto" w:fill="FFFFFF"/>
        <w:spacing w:before="0" w:line="240" w:lineRule="auto"/>
        <w:ind w:firstLine="567"/>
        <w:jc w:val="center"/>
        <w:rPr>
          <w:rFonts w:ascii="Times New Roman" w:hAnsi="Times New Roman" w:cs="Times New Roman"/>
          <w:b w:val="0"/>
          <w:color w:val="auto"/>
          <w:shd w:val="clear" w:color="auto" w:fill="FFFFFF"/>
        </w:rPr>
      </w:pPr>
      <w:r w:rsidRPr="00802D35">
        <w:rPr>
          <w:rFonts w:ascii="Times New Roman" w:hAnsi="Times New Roman" w:cs="Times New Roman"/>
          <w:b w:val="0"/>
          <w:color w:val="auto"/>
        </w:rPr>
        <w:t xml:space="preserve">Рисунок 35 - Доли вкладов розничных и корпоративных клиентов в структуре фондирования АО </w:t>
      </w:r>
      <w:r w:rsidRPr="00802D35">
        <w:rPr>
          <w:rFonts w:ascii="Times New Roman" w:hAnsi="Times New Roman" w:cs="Times New Roman"/>
          <w:b w:val="0"/>
          <w:color w:val="auto"/>
          <w:shd w:val="clear" w:color="auto" w:fill="FFFFFF"/>
        </w:rPr>
        <w:t>Kaspi bank, %</w:t>
      </w:r>
    </w:p>
    <w:p w:rsidR="00981C18"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shd w:val="clear" w:color="auto" w:fill="FFFFFF"/>
        </w:rPr>
      </w:pPr>
    </w:p>
    <w:p w:rsidR="00981C18"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sz w:val="24"/>
          <w:szCs w:val="24"/>
        </w:rPr>
      </w:pPr>
      <w:r w:rsidRPr="00802D35">
        <w:rPr>
          <w:rFonts w:ascii="Times New Roman" w:hAnsi="Times New Roman" w:cs="Times New Roman"/>
          <w:b w:val="0"/>
          <w:color w:val="auto"/>
          <w:sz w:val="24"/>
          <w:szCs w:val="24"/>
        </w:rPr>
        <w:t>Примечание - составлено на основании источников [10</w:t>
      </w:r>
      <w:r w:rsidR="0032339D" w:rsidRPr="00802D35">
        <w:rPr>
          <w:rFonts w:ascii="Times New Roman" w:hAnsi="Times New Roman" w:cs="Times New Roman"/>
          <w:b w:val="0"/>
          <w:color w:val="auto"/>
          <w:sz w:val="24"/>
          <w:szCs w:val="24"/>
        </w:rPr>
        <w:t>6</w:t>
      </w:r>
      <w:r w:rsidRPr="00802D35">
        <w:rPr>
          <w:rFonts w:ascii="Times New Roman" w:hAnsi="Times New Roman" w:cs="Times New Roman"/>
          <w:b w:val="0"/>
          <w:color w:val="auto"/>
          <w:sz w:val="24"/>
          <w:szCs w:val="24"/>
        </w:rPr>
        <w:t>], [10</w:t>
      </w:r>
      <w:r w:rsidR="0032339D" w:rsidRPr="00802D35">
        <w:rPr>
          <w:rFonts w:ascii="Times New Roman" w:hAnsi="Times New Roman" w:cs="Times New Roman"/>
          <w:b w:val="0"/>
          <w:color w:val="auto"/>
          <w:sz w:val="24"/>
          <w:szCs w:val="24"/>
        </w:rPr>
        <w:t>7</w:t>
      </w:r>
      <w:r w:rsidRPr="00802D35">
        <w:rPr>
          <w:rFonts w:ascii="Times New Roman" w:hAnsi="Times New Roman" w:cs="Times New Roman"/>
          <w:b w:val="0"/>
          <w:color w:val="auto"/>
          <w:sz w:val="24"/>
          <w:szCs w:val="24"/>
        </w:rPr>
        <w:t>],[10</w:t>
      </w:r>
      <w:r w:rsidR="0032339D" w:rsidRPr="00802D35">
        <w:rPr>
          <w:rFonts w:ascii="Times New Roman" w:hAnsi="Times New Roman" w:cs="Times New Roman"/>
          <w:b w:val="0"/>
          <w:color w:val="auto"/>
          <w:sz w:val="24"/>
          <w:szCs w:val="24"/>
        </w:rPr>
        <w:t>8</w:t>
      </w:r>
      <w:r w:rsidRPr="00802D35">
        <w:rPr>
          <w:rFonts w:ascii="Times New Roman" w:hAnsi="Times New Roman" w:cs="Times New Roman"/>
          <w:b w:val="0"/>
          <w:color w:val="auto"/>
          <w:sz w:val="24"/>
          <w:szCs w:val="24"/>
        </w:rPr>
        <w:t>],[10</w:t>
      </w:r>
      <w:r w:rsidR="0032339D" w:rsidRPr="00802D35">
        <w:rPr>
          <w:rFonts w:ascii="Times New Roman" w:hAnsi="Times New Roman" w:cs="Times New Roman"/>
          <w:b w:val="0"/>
          <w:color w:val="auto"/>
          <w:sz w:val="24"/>
          <w:szCs w:val="24"/>
        </w:rPr>
        <w:t>9</w:t>
      </w:r>
      <w:r w:rsidRPr="00802D35">
        <w:rPr>
          <w:rFonts w:ascii="Times New Roman" w:hAnsi="Times New Roman" w:cs="Times New Roman"/>
          <w:b w:val="0"/>
          <w:color w:val="auto"/>
          <w:sz w:val="24"/>
          <w:szCs w:val="24"/>
        </w:rPr>
        <w:t>].</w:t>
      </w:r>
    </w:p>
    <w:p w:rsidR="00981C18"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rPr>
      </w:pPr>
    </w:p>
    <w:p w:rsidR="00981C18"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Примечательно также и то, что снижение доли срочных вкладов населения происходит в противовес увеличению доли розничных текущих счетов. Аналогичным образом, доля срочных вкладов корпоративных клиентов снижается при увеличении объемов их текущих счетов. В частности, в 2018 г. доля срочных вкладов компаний сократилась на 5,96%, а доля текущих счетов компаний увеличилась на 1,27%, в 2019 г. - доля срочных вкладов компаний сократилась на 0,69%, а доля текущих счетов компаний также сократилась на 0,09%. В 2020 г. доля срочных вкладов компаний сократилась на 0,89%, а доля текущих счетов компаний увеличилась на 4,94%.</w:t>
      </w:r>
    </w:p>
    <w:p w:rsidR="00981C18"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 xml:space="preserve">Такие передвижения денежных средств обусловлены потребностью и удобством расчетов онлайн как для корпоративных, так и розничных клиентов. </w:t>
      </w:r>
    </w:p>
    <w:p w:rsidR="00981C18"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Рассмотрим структуру фондирования посредством выпуска долговых инструментов (рисунок 36).</w:t>
      </w:r>
    </w:p>
    <w:p w:rsidR="00981C18"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rPr>
      </w:pPr>
    </w:p>
    <w:p w:rsidR="00981C18" w:rsidRPr="00802D35" w:rsidRDefault="00981C18" w:rsidP="00981C18">
      <w:pPr>
        <w:pStyle w:val="1"/>
        <w:shd w:val="clear" w:color="auto" w:fill="FFFFFF"/>
        <w:spacing w:before="0" w:line="240" w:lineRule="auto"/>
        <w:jc w:val="both"/>
        <w:rPr>
          <w:rFonts w:ascii="Times New Roman" w:hAnsi="Times New Roman" w:cs="Times New Roman"/>
          <w:b w:val="0"/>
          <w:color w:val="auto"/>
        </w:rPr>
      </w:pPr>
      <w:r w:rsidRPr="00802D35">
        <w:rPr>
          <w:rFonts w:ascii="Times New Roman" w:hAnsi="Times New Roman" w:cs="Times New Roman"/>
          <w:noProof/>
          <w:color w:val="auto"/>
          <w:lang w:eastAsia="ru-RU"/>
        </w:rPr>
        <w:drawing>
          <wp:inline distT="0" distB="0" distL="0" distR="0">
            <wp:extent cx="6308521" cy="1963024"/>
            <wp:effectExtent l="0" t="0" r="0" b="0"/>
            <wp:docPr id="413"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F65B9" w:rsidRPr="00802D35" w:rsidRDefault="00BF65B9" w:rsidP="00981C18">
      <w:pPr>
        <w:pStyle w:val="1"/>
        <w:shd w:val="clear" w:color="auto" w:fill="FFFFFF"/>
        <w:spacing w:before="0" w:line="240" w:lineRule="auto"/>
        <w:ind w:firstLine="567"/>
        <w:jc w:val="center"/>
        <w:rPr>
          <w:rFonts w:ascii="Times New Roman" w:hAnsi="Times New Roman" w:cs="Times New Roman"/>
          <w:b w:val="0"/>
          <w:color w:val="auto"/>
        </w:rPr>
      </w:pPr>
    </w:p>
    <w:p w:rsidR="00981C18" w:rsidRPr="00802D35" w:rsidRDefault="00981C18" w:rsidP="00981C18">
      <w:pPr>
        <w:pStyle w:val="1"/>
        <w:shd w:val="clear" w:color="auto" w:fill="FFFFFF"/>
        <w:spacing w:before="0" w:line="240" w:lineRule="auto"/>
        <w:ind w:firstLine="567"/>
        <w:jc w:val="center"/>
        <w:rPr>
          <w:rFonts w:ascii="Times New Roman" w:hAnsi="Times New Roman" w:cs="Times New Roman"/>
          <w:b w:val="0"/>
          <w:color w:val="auto"/>
          <w:shd w:val="clear" w:color="auto" w:fill="FFFFFF"/>
        </w:rPr>
      </w:pPr>
      <w:r w:rsidRPr="00802D35">
        <w:rPr>
          <w:rFonts w:ascii="Times New Roman" w:hAnsi="Times New Roman" w:cs="Times New Roman"/>
          <w:b w:val="0"/>
          <w:color w:val="auto"/>
        </w:rPr>
        <w:t xml:space="preserve">Рисунок 36 - Выпущенные облигации АО </w:t>
      </w:r>
      <w:r w:rsidRPr="00802D35">
        <w:rPr>
          <w:rFonts w:ascii="Times New Roman" w:hAnsi="Times New Roman" w:cs="Times New Roman"/>
          <w:b w:val="0"/>
          <w:color w:val="auto"/>
          <w:shd w:val="clear" w:color="auto" w:fill="FFFFFF"/>
        </w:rPr>
        <w:t>Kaspi bank, млрд тенге</w:t>
      </w:r>
    </w:p>
    <w:p w:rsidR="00BF65B9" w:rsidRPr="00802D35" w:rsidRDefault="00BF65B9" w:rsidP="004D4A08">
      <w:pPr>
        <w:pStyle w:val="1"/>
        <w:shd w:val="clear" w:color="auto" w:fill="FFFFFF"/>
        <w:spacing w:before="0" w:line="240" w:lineRule="auto"/>
        <w:ind w:firstLine="567"/>
        <w:jc w:val="both"/>
        <w:rPr>
          <w:rFonts w:ascii="Times New Roman" w:hAnsi="Times New Roman" w:cs="Times New Roman"/>
          <w:b w:val="0"/>
          <w:color w:val="auto"/>
          <w:sz w:val="24"/>
          <w:szCs w:val="24"/>
        </w:rPr>
      </w:pPr>
    </w:p>
    <w:p w:rsidR="00BF65B9"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sz w:val="24"/>
          <w:szCs w:val="24"/>
        </w:rPr>
      </w:pPr>
      <w:r w:rsidRPr="00802D35">
        <w:rPr>
          <w:rFonts w:ascii="Times New Roman" w:hAnsi="Times New Roman" w:cs="Times New Roman"/>
          <w:b w:val="0"/>
          <w:color w:val="auto"/>
          <w:sz w:val="24"/>
          <w:szCs w:val="24"/>
        </w:rPr>
        <w:t>Примечание</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w:t>
      </w:r>
      <w:r w:rsidR="0032339D" w:rsidRPr="00802D35">
        <w:rPr>
          <w:rFonts w:ascii="Times New Roman" w:hAnsi="Times New Roman" w:cs="Times New Roman"/>
          <w:b w:val="0"/>
          <w:color w:val="auto"/>
          <w:sz w:val="24"/>
          <w:szCs w:val="24"/>
        </w:rPr>
        <w:t xml:space="preserve"> </w:t>
      </w:r>
      <w:r w:rsidRPr="00802D35">
        <w:rPr>
          <w:rFonts w:ascii="Times New Roman" w:hAnsi="Times New Roman" w:cs="Times New Roman"/>
          <w:b w:val="0"/>
          <w:color w:val="auto"/>
          <w:sz w:val="24"/>
          <w:szCs w:val="24"/>
        </w:rPr>
        <w:t>составлено на основании источников [</w:t>
      </w:r>
      <w:r w:rsidR="000B0564" w:rsidRPr="00802D35">
        <w:rPr>
          <w:rFonts w:ascii="Times New Roman" w:hAnsi="Times New Roman" w:cs="Times New Roman"/>
          <w:b w:val="0"/>
          <w:color w:val="auto"/>
          <w:sz w:val="24"/>
          <w:szCs w:val="24"/>
        </w:rPr>
        <w:t>106</w:t>
      </w:r>
      <w:r w:rsidRPr="00802D35">
        <w:rPr>
          <w:rFonts w:ascii="Times New Roman" w:hAnsi="Times New Roman" w:cs="Times New Roman"/>
          <w:b w:val="0"/>
          <w:color w:val="auto"/>
          <w:sz w:val="24"/>
          <w:szCs w:val="24"/>
        </w:rPr>
        <w:t>], [</w:t>
      </w:r>
      <w:r w:rsidR="000B0564" w:rsidRPr="00802D35">
        <w:rPr>
          <w:rFonts w:ascii="Times New Roman" w:hAnsi="Times New Roman" w:cs="Times New Roman"/>
          <w:b w:val="0"/>
          <w:color w:val="auto"/>
          <w:sz w:val="24"/>
          <w:szCs w:val="24"/>
        </w:rPr>
        <w:t>107</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108</w:t>
      </w:r>
      <w:r w:rsidRPr="00802D35">
        <w:rPr>
          <w:rFonts w:ascii="Times New Roman" w:hAnsi="Times New Roman" w:cs="Times New Roman"/>
          <w:b w:val="0"/>
          <w:color w:val="auto"/>
          <w:sz w:val="24"/>
          <w:szCs w:val="24"/>
        </w:rPr>
        <w:t>],[</w:t>
      </w:r>
      <w:r w:rsidR="000B0564" w:rsidRPr="00802D35">
        <w:rPr>
          <w:rFonts w:ascii="Times New Roman" w:hAnsi="Times New Roman" w:cs="Times New Roman"/>
          <w:b w:val="0"/>
          <w:color w:val="auto"/>
          <w:sz w:val="24"/>
          <w:szCs w:val="24"/>
        </w:rPr>
        <w:t>109</w:t>
      </w:r>
      <w:r w:rsidRPr="00802D35">
        <w:rPr>
          <w:rFonts w:ascii="Times New Roman" w:hAnsi="Times New Roman" w:cs="Times New Roman"/>
          <w:b w:val="0"/>
          <w:color w:val="auto"/>
          <w:sz w:val="24"/>
          <w:szCs w:val="24"/>
        </w:rPr>
        <w:t xml:space="preserve">]. </w:t>
      </w:r>
    </w:p>
    <w:p w:rsidR="00BF65B9" w:rsidRPr="00802D35" w:rsidRDefault="00BF65B9" w:rsidP="00981C18">
      <w:pPr>
        <w:pStyle w:val="1"/>
        <w:shd w:val="clear" w:color="auto" w:fill="FFFFFF"/>
        <w:spacing w:before="0" w:line="240" w:lineRule="auto"/>
        <w:ind w:firstLine="567"/>
        <w:jc w:val="both"/>
        <w:rPr>
          <w:rFonts w:ascii="Times New Roman" w:hAnsi="Times New Roman" w:cs="Times New Roman"/>
          <w:b w:val="0"/>
          <w:color w:val="auto"/>
        </w:rPr>
      </w:pPr>
    </w:p>
    <w:p w:rsidR="00BF65B9"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 xml:space="preserve">Эмиссия облигаций являлась вторым крупным инструментом фондирования банка вплоть до 2018 г. При этом, наибольшую долю составляли субординированные облигации, по которым долг выплачивается в последнюю очередь. </w:t>
      </w:r>
    </w:p>
    <w:p w:rsidR="00981C18" w:rsidRPr="00802D35" w:rsidRDefault="00981C18" w:rsidP="00981C18">
      <w:pPr>
        <w:pStyle w:val="1"/>
        <w:shd w:val="clear" w:color="auto" w:fill="FFFFFF"/>
        <w:spacing w:before="0" w:line="240" w:lineRule="auto"/>
        <w:ind w:firstLine="567"/>
        <w:jc w:val="both"/>
        <w:rPr>
          <w:rFonts w:ascii="Times New Roman" w:hAnsi="Times New Roman" w:cs="Times New Roman"/>
          <w:b w:val="0"/>
          <w:color w:val="auto"/>
          <w:shd w:val="clear" w:color="auto" w:fill="FFFFFF"/>
        </w:rPr>
      </w:pPr>
      <w:r w:rsidRPr="00802D35">
        <w:rPr>
          <w:rFonts w:ascii="Times New Roman" w:hAnsi="Times New Roman" w:cs="Times New Roman"/>
          <w:b w:val="0"/>
          <w:color w:val="auto"/>
        </w:rPr>
        <w:lastRenderedPageBreak/>
        <w:t xml:space="preserve">Вместе с тем, их доля постепенно снижается, уступая место купонным облигациям. Так, если в 2017 г. доля купонных облигаций АО </w:t>
      </w:r>
      <w:r w:rsidRPr="00802D35">
        <w:rPr>
          <w:rFonts w:ascii="Times New Roman" w:hAnsi="Times New Roman" w:cs="Times New Roman"/>
          <w:b w:val="0"/>
          <w:color w:val="auto"/>
          <w:shd w:val="clear" w:color="auto" w:fill="FFFFFF"/>
        </w:rPr>
        <w:t>Kaspi bank составляла 38,86%, то в 2018 г. – 44,74%, в 2019 г. – 46,6%, в 2020 г. – 45,9%. Рассматривая объемы облигационных займов, можно отметить, что с 2018 г. в целом они снижаются как по субординированным, так и по купонным выпускам.</w:t>
      </w:r>
    </w:p>
    <w:p w:rsidR="00BF65B9" w:rsidRPr="00802D35" w:rsidRDefault="00BF65B9" w:rsidP="00BF65B9">
      <w:pPr>
        <w:tabs>
          <w:tab w:val="left" w:pos="9638"/>
        </w:tabs>
        <w:spacing w:after="0" w:line="240" w:lineRule="auto"/>
        <w:ind w:right="-1" w:firstLine="567"/>
        <w:jc w:val="both"/>
        <w:rPr>
          <w:rFonts w:ascii="Times New Roman" w:hAnsi="Times New Roman" w:cs="Times New Roman"/>
          <w:sz w:val="28"/>
          <w:szCs w:val="28"/>
        </w:rPr>
      </w:pPr>
      <w:r w:rsidRPr="00802D35">
        <w:rPr>
          <w:rFonts w:ascii="Times New Roman" w:hAnsi="Times New Roman" w:cs="Times New Roman"/>
          <w:color w:val="000000"/>
          <w:sz w:val="28"/>
          <w:szCs w:val="28"/>
          <w:shd w:val="clear" w:color="auto" w:fill="FFFFFF"/>
        </w:rPr>
        <w:t xml:space="preserve">Таким образом, на основании анализа структуры фондирования трех банков можно отметить, что </w:t>
      </w:r>
      <w:r w:rsidRPr="00802D35">
        <w:rPr>
          <w:rStyle w:val="HTML"/>
          <w:rFonts w:ascii="Times New Roman" w:hAnsi="Times New Roman" w:cs="Times New Roman"/>
          <w:i w:val="0"/>
          <w:sz w:val="28"/>
          <w:szCs w:val="28"/>
          <w:shd w:val="clear" w:color="auto" w:fill="FFFFFF"/>
        </w:rPr>
        <w:t xml:space="preserve">АО Halyk Bank имеет наиболее рациональный долевой состав портфеля фондирования, что позволяет обеспечить его конкурентоустойчивость в банковском секторе Казахстана и быть включенным в список акций по сектору «премиум». В свою очередь, </w:t>
      </w:r>
      <w:r w:rsidRPr="00802D35">
        <w:rPr>
          <w:rFonts w:ascii="Times New Roman" w:hAnsi="Times New Roman" w:cs="Times New Roman"/>
          <w:sz w:val="28"/>
          <w:szCs w:val="28"/>
        </w:rPr>
        <w:t xml:space="preserve">АО </w:t>
      </w:r>
      <w:r w:rsidRPr="00802D35">
        <w:rPr>
          <w:rFonts w:ascii="Times New Roman" w:hAnsi="Times New Roman" w:cs="Times New Roman"/>
          <w:color w:val="000000"/>
          <w:sz w:val="28"/>
          <w:szCs w:val="28"/>
          <w:shd w:val="clear" w:color="auto" w:fill="FFFFFF"/>
        </w:rPr>
        <w:t xml:space="preserve">Kaspi bank испытывает зависимость от вкладов розничных клиентов, хотя и имеет низкую концентрацию депозитов, достаточную диверсификацию. Несмотря на то, что в структуре фондирования </w:t>
      </w:r>
      <w:r w:rsidRPr="00802D35">
        <w:rPr>
          <w:rFonts w:ascii="Times New Roman" w:hAnsi="Times New Roman" w:cs="Times New Roman"/>
          <w:sz w:val="28"/>
          <w:szCs w:val="28"/>
          <w:shd w:val="clear" w:color="auto" w:fill="FFFFFF"/>
        </w:rPr>
        <w:t xml:space="preserve">АО </w:t>
      </w:r>
      <w:r w:rsidRPr="00802D35">
        <w:rPr>
          <w:rFonts w:ascii="Times New Roman" w:hAnsi="Times New Roman" w:cs="Times New Roman"/>
          <w:sz w:val="28"/>
          <w:szCs w:val="28"/>
        </w:rPr>
        <w:t>АТФ</w:t>
      </w:r>
      <w:r w:rsidR="00E97FF6" w:rsidRPr="00802D35">
        <w:rPr>
          <w:rFonts w:ascii="Times New Roman" w:hAnsi="Times New Roman" w:cs="Times New Roman"/>
          <w:sz w:val="28"/>
          <w:szCs w:val="28"/>
        </w:rPr>
        <w:t xml:space="preserve"> </w:t>
      </w:r>
      <w:r w:rsidRPr="00802D35">
        <w:rPr>
          <w:rFonts w:ascii="Times New Roman" w:hAnsi="Times New Roman" w:cs="Times New Roman"/>
          <w:sz w:val="28"/>
          <w:szCs w:val="28"/>
        </w:rPr>
        <w:t>Банка превалируют вклады клиентов, банк достаточно сильно зависим от заемных ресурсов. В результате, можно отметить, что хорошая диверсификация и низкая концентрация источников фондирования обеспечивает устойчивость и эффективность деятельности банка.</w:t>
      </w:r>
    </w:p>
    <w:p w:rsidR="00BF65B9" w:rsidRPr="00802D35" w:rsidRDefault="00BF65B9" w:rsidP="00BF65B9">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 xml:space="preserve">Для анализа влияния факторов на объем вкладов БВУ нами были оценены и исследованы факторы внешней среды функционирования банков и внутренние факторы деятельности банка. </w:t>
      </w:r>
    </w:p>
    <w:p w:rsidR="00BF65B9" w:rsidRPr="00802D35" w:rsidRDefault="00BF65B9" w:rsidP="00BF65B9">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 xml:space="preserve">Как было уже отмечено ранее, линейная регрессия, используемая многими, отражает линейную зависимость между переменными. Это имеет смысл и значимость при создании не очень сложных зависимостей, а также с небольшим объемом данных. Однако экономические отношения все чаще становятся нелинейными. В этом смысле нелинейная регрессия может моделировать сложные отношения. </w:t>
      </w:r>
    </w:p>
    <w:p w:rsidR="00BF65B9" w:rsidRPr="00802D35" w:rsidRDefault="00BF65B9" w:rsidP="00BF65B9">
      <w:pPr>
        <w:pStyle w:val="1"/>
        <w:shd w:val="clear" w:color="auto" w:fill="FFFFFF"/>
        <w:spacing w:before="0" w:line="240" w:lineRule="auto"/>
        <w:ind w:firstLine="567"/>
        <w:jc w:val="both"/>
        <w:rPr>
          <w:rFonts w:ascii="Times New Roman" w:hAnsi="Times New Roman" w:cs="Times New Roman"/>
          <w:b w:val="0"/>
          <w:color w:val="auto"/>
        </w:rPr>
      </w:pPr>
      <w:r w:rsidRPr="00802D35">
        <w:rPr>
          <w:rFonts w:ascii="Times New Roman" w:hAnsi="Times New Roman" w:cs="Times New Roman"/>
          <w:b w:val="0"/>
          <w:color w:val="auto"/>
        </w:rPr>
        <w:t xml:space="preserve">Более того, </w:t>
      </w:r>
      <w:r w:rsidRPr="00802D35">
        <w:rPr>
          <w:rFonts w:ascii="Times New Roman" w:hAnsi="Times New Roman" w:cs="Times New Roman"/>
          <w:b w:val="0"/>
          <w:color w:val="auto"/>
          <w:spacing w:val="-1"/>
          <w:shd w:val="clear" w:color="auto" w:fill="FFFFFF"/>
        </w:rPr>
        <w:t xml:space="preserve">в случаях высокой коллинеарности переменных стандартная линейная и нелинейные регрессии становятся неэффективными. Исходя из этого, нами предлагается применение так называемой ридж-регрессии для описания модели. Ридж-регрессия - это корректирующая мера для снижения коллинеарности среди предикторных переменных в регрессионной модели. </w:t>
      </w:r>
      <w:r w:rsidRPr="00802D35">
        <w:rPr>
          <w:rFonts w:ascii="Times New Roman" w:hAnsi="Times New Roman" w:cs="Times New Roman"/>
          <w:b w:val="0"/>
          <w:color w:val="auto"/>
          <w:spacing w:val="-1"/>
        </w:rPr>
        <w:t xml:space="preserve">Она добавляет небольшой фактор квадратичного смещения для уменьшения дисперсии. </w:t>
      </w:r>
    </w:p>
    <w:p w:rsidR="00BF65B9" w:rsidRPr="00802D35" w:rsidRDefault="00BF65B9" w:rsidP="00BF65B9">
      <w:pPr>
        <w:pStyle w:val="kr"/>
        <w:shd w:val="clear" w:color="auto" w:fill="FFFFFF"/>
        <w:spacing w:before="0" w:beforeAutospacing="0" w:after="0" w:afterAutospacing="0"/>
        <w:ind w:firstLine="567"/>
        <w:jc w:val="both"/>
        <w:rPr>
          <w:sz w:val="28"/>
          <w:szCs w:val="28"/>
        </w:rPr>
      </w:pPr>
      <w:r w:rsidRPr="00802D35">
        <w:rPr>
          <w:sz w:val="28"/>
          <w:szCs w:val="28"/>
        </w:rPr>
        <w:t xml:space="preserve">Основная идея ридж-регрессии заключается в том, чтобы допустить некоторое смещение в оценках коэффициентов регрессии, но за счет этого сократить дисперсию смещенных оценок. </w:t>
      </w:r>
      <w:r w:rsidRPr="00802D35">
        <w:rPr>
          <w:spacing w:val="-1"/>
          <w:sz w:val="28"/>
          <w:szCs w:val="28"/>
          <w:shd w:val="clear" w:color="auto" w:fill="FFFFFF"/>
        </w:rPr>
        <w:t>Допущения данной регрессии такие же, как и в методе наименьших квадратов, кроме того факта, что в ридж-регрессии не предполагается нормальное распределение.</w:t>
      </w:r>
    </w:p>
    <w:p w:rsidR="00BF65B9" w:rsidRPr="00802D35" w:rsidRDefault="00BF65B9" w:rsidP="00BF65B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Ридж-регрессия осуществляет регуляризацию параметров и позволяют преодолеть некоторые недостатки метода наименьших квадратов. Методы регуляризации зачастую позволяют добиться уменьшения дисперсии прогноза за счет незначительного увеличения его смещения. В результате точность прогноза растет и интерпретируемость модели увеличивается [</w:t>
      </w:r>
      <w:r w:rsidR="000B0564" w:rsidRPr="00802D35">
        <w:rPr>
          <w:rFonts w:ascii="Times New Roman" w:hAnsi="Times New Roman" w:cs="Times New Roman"/>
          <w:sz w:val="28"/>
          <w:szCs w:val="28"/>
        </w:rPr>
        <w:t>110</w:t>
      </w:r>
      <w:r w:rsidRPr="00802D35">
        <w:rPr>
          <w:rFonts w:ascii="Times New Roman" w:hAnsi="Times New Roman" w:cs="Times New Roman"/>
          <w:sz w:val="28"/>
          <w:szCs w:val="28"/>
        </w:rPr>
        <w:t>].</w:t>
      </w:r>
    </w:p>
    <w:p w:rsidR="00B5617B" w:rsidRPr="00802D35" w:rsidRDefault="00B5617B" w:rsidP="00B5617B">
      <w:pPr>
        <w:pStyle w:val="a7"/>
        <w:shd w:val="clear" w:color="auto" w:fill="FFFFFF"/>
        <w:spacing w:before="0" w:beforeAutospacing="0" w:after="0" w:afterAutospacing="0"/>
        <w:ind w:firstLine="567"/>
        <w:jc w:val="both"/>
        <w:textAlignment w:val="baseline"/>
        <w:rPr>
          <w:sz w:val="28"/>
          <w:szCs w:val="28"/>
        </w:rPr>
      </w:pPr>
      <w:r w:rsidRPr="00802D35">
        <w:rPr>
          <w:sz w:val="28"/>
          <w:szCs w:val="28"/>
        </w:rPr>
        <w:lastRenderedPageBreak/>
        <w:t>Ридж-регрессия предполагает оценку параметров по следующей формуле:</w:t>
      </w:r>
    </w:p>
    <w:p w:rsidR="00B5617B" w:rsidRPr="00802D35" w:rsidRDefault="00B5617B" w:rsidP="00B5617B">
      <w:pPr>
        <w:pStyle w:val="a7"/>
        <w:shd w:val="clear" w:color="auto" w:fill="FFFFFF"/>
        <w:spacing w:before="0" w:beforeAutospacing="0" w:after="0" w:afterAutospacing="0"/>
        <w:ind w:firstLine="567"/>
        <w:jc w:val="both"/>
        <w:textAlignment w:val="baseline"/>
        <w:rPr>
          <w:sz w:val="28"/>
          <w:szCs w:val="28"/>
        </w:rPr>
      </w:pPr>
    </w:p>
    <w:p w:rsidR="00B5617B" w:rsidRPr="00802D35" w:rsidRDefault="00FF4C7E" w:rsidP="00B5617B">
      <w:pPr>
        <w:pStyle w:val="a7"/>
        <w:shd w:val="clear" w:color="auto" w:fill="FFFFFF"/>
        <w:spacing w:before="0" w:beforeAutospacing="0" w:after="0" w:afterAutospacing="0"/>
        <w:ind w:firstLine="567"/>
        <w:jc w:val="right"/>
        <w:textAlignment w:val="baseline"/>
        <w:rPr>
          <w:sz w:val="28"/>
          <w:szCs w:val="28"/>
        </w:rPr>
      </w:p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λ</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λ</m:t>
                </m:r>
              </m:sub>
              <m:sup>
                <m:r>
                  <w:rPr>
                    <w:rFonts w:ascii="Cambria Math" w:hAnsi="Cambria Math"/>
                    <w:sz w:val="28"/>
                    <w:szCs w:val="28"/>
                  </w:rPr>
                  <m:t>T</m:t>
                </m:r>
              </m:sup>
            </m:sSub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λ</m:t>
                </m:r>
              </m:sub>
            </m:sSub>
            <m:r>
              <w:rPr>
                <w:rFonts w:ascii="Cambria Math" w:hAnsi="Cambria Math"/>
                <w:sz w:val="28"/>
                <w:szCs w:val="28"/>
              </w:rPr>
              <m:t>+λI)</m:t>
            </m:r>
          </m:e>
          <m:sup>
            <m:r>
              <w:rPr>
                <w:rFonts w:ascii="Cambria Math" w:hAnsi="Cambria Math"/>
                <w:sz w:val="28"/>
                <w:szCs w:val="28"/>
              </w:rPr>
              <m:t>-1</m:t>
            </m:r>
          </m:sup>
        </m:sSup>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λ</m:t>
            </m:r>
          </m:sub>
          <m:sup>
            <m:r>
              <w:rPr>
                <w:rFonts w:ascii="Cambria Math" w:hAnsi="Cambria Math"/>
                <w:sz w:val="28"/>
                <w:szCs w:val="28"/>
              </w:rPr>
              <m:t>T</m:t>
            </m:r>
          </m:sup>
        </m:sSub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λ</m:t>
            </m:r>
          </m:sub>
        </m:sSub>
      </m:oMath>
      <w:r w:rsidR="00B5617B" w:rsidRPr="00802D35">
        <w:rPr>
          <w:sz w:val="28"/>
          <w:szCs w:val="28"/>
        </w:rPr>
        <w:t xml:space="preserve">                                              (20),</w:t>
      </w:r>
    </w:p>
    <w:p w:rsidR="00B5617B" w:rsidRPr="00802D35" w:rsidRDefault="00B5617B" w:rsidP="00B5617B">
      <w:pPr>
        <w:pStyle w:val="a7"/>
        <w:shd w:val="clear" w:color="auto" w:fill="FFFFFF"/>
        <w:spacing w:before="0" w:beforeAutospacing="0" w:after="0" w:afterAutospacing="0"/>
        <w:ind w:firstLine="567"/>
        <w:jc w:val="both"/>
        <w:textAlignment w:val="baseline"/>
        <w:rPr>
          <w:rFonts w:ascii="Arial" w:hAnsi="Arial" w:cs="Arial"/>
          <w:color w:val="666666"/>
        </w:rPr>
      </w:pPr>
    </w:p>
    <w:p w:rsidR="00B5617B" w:rsidRPr="00802D35" w:rsidRDefault="00B5617B" w:rsidP="00B5617B">
      <w:pPr>
        <w:pStyle w:val="a7"/>
        <w:shd w:val="clear" w:color="auto" w:fill="FFFFFF"/>
        <w:spacing w:before="0" w:beforeAutospacing="0" w:after="0" w:afterAutospacing="0"/>
        <w:ind w:firstLine="567"/>
        <w:jc w:val="both"/>
        <w:rPr>
          <w:sz w:val="28"/>
          <w:szCs w:val="28"/>
        </w:rPr>
      </w:pPr>
      <w:r w:rsidRPr="00802D35">
        <w:rPr>
          <w:sz w:val="28"/>
          <w:szCs w:val="28"/>
        </w:rPr>
        <w:t>где:</w:t>
      </w:r>
    </w:p>
    <w:p w:rsidR="00B5617B" w:rsidRPr="00802D35" w:rsidRDefault="00B5617B" w:rsidP="00B5617B">
      <w:pPr>
        <w:pStyle w:val="a7"/>
        <w:shd w:val="clear" w:color="auto" w:fill="FFFFFF"/>
        <w:spacing w:before="0" w:beforeAutospacing="0" w:after="0" w:afterAutospacing="0"/>
        <w:ind w:firstLine="567"/>
        <w:jc w:val="both"/>
        <w:rPr>
          <w:sz w:val="28"/>
          <w:szCs w:val="28"/>
        </w:rPr>
      </w:pPr>
      <w:r w:rsidRPr="00802D35">
        <w:rPr>
          <w:sz w:val="28"/>
          <w:szCs w:val="28"/>
        </w:rPr>
        <w:t>Х – факторы регрессии;</w:t>
      </w:r>
    </w:p>
    <w:p w:rsidR="00B5617B" w:rsidRPr="00802D35" w:rsidRDefault="00B5617B" w:rsidP="00B5617B">
      <w:pPr>
        <w:pStyle w:val="a7"/>
        <w:shd w:val="clear" w:color="auto" w:fill="FFFFFF"/>
        <w:spacing w:before="0" w:beforeAutospacing="0" w:after="0" w:afterAutospacing="0"/>
        <w:ind w:firstLine="567"/>
        <w:jc w:val="both"/>
        <w:rPr>
          <w:sz w:val="28"/>
          <w:szCs w:val="28"/>
        </w:rPr>
      </w:pPr>
      <w:r w:rsidRPr="00802D35">
        <w:rPr>
          <w:sz w:val="28"/>
          <w:szCs w:val="28"/>
        </w:rPr>
        <w:t>λ – параметр регрессии.</w:t>
      </w:r>
    </w:p>
    <w:p w:rsidR="00B5617B" w:rsidRPr="00802D35" w:rsidRDefault="00B5617B" w:rsidP="00B5617B">
      <w:pPr>
        <w:pStyle w:val="a7"/>
        <w:shd w:val="clear" w:color="auto" w:fill="FFFFFF"/>
        <w:spacing w:before="0" w:beforeAutospacing="0" w:after="0" w:afterAutospacing="0"/>
        <w:ind w:firstLine="567"/>
        <w:jc w:val="both"/>
        <w:rPr>
          <w:sz w:val="28"/>
          <w:szCs w:val="28"/>
        </w:rPr>
      </w:pPr>
    </w:p>
    <w:p w:rsidR="00B5617B" w:rsidRPr="00802D35" w:rsidRDefault="00B5617B" w:rsidP="00B5617B">
      <w:pPr>
        <w:pStyle w:val="a7"/>
        <w:shd w:val="clear" w:color="auto" w:fill="FFFFFF"/>
        <w:spacing w:before="0" w:beforeAutospacing="0" w:after="0" w:afterAutospacing="0"/>
        <w:ind w:firstLine="567"/>
        <w:jc w:val="both"/>
        <w:rPr>
          <w:sz w:val="28"/>
          <w:szCs w:val="28"/>
        </w:rPr>
      </w:pPr>
      <w:r w:rsidRPr="00802D35">
        <w:rPr>
          <w:sz w:val="28"/>
          <w:szCs w:val="28"/>
        </w:rPr>
        <w:t>Добавление параметра λ решает проблему плохой обусловленности матрицы</w:t>
      </w:r>
      <w:r w:rsidRPr="00802D35">
        <w:rPr>
          <w:rStyle w:val="mwe-math-mathml-inline"/>
          <w:rFonts w:eastAsiaTheme="majorEastAsia"/>
          <w:vanish/>
          <w:sz w:val="28"/>
          <w:szCs w:val="28"/>
        </w:rPr>
        <w:t>X</w:t>
      </w:r>
      <w:r w:rsidRPr="00802D35">
        <w:rPr>
          <w:rStyle w:val="mwe-math-mathml-inline"/>
          <w:rFonts w:eastAsiaTheme="majorEastAsia"/>
          <w:vanish/>
          <w:sz w:val="28"/>
          <w:szCs w:val="28"/>
          <w:vertAlign w:val="superscript"/>
        </w:rPr>
        <w:t>T</w:t>
      </w:r>
      <w:r w:rsidRPr="00802D35">
        <w:rPr>
          <w:rStyle w:val="mwe-math-mathml-inline"/>
          <w:rFonts w:eastAsiaTheme="majorEastAsia"/>
          <w:vanish/>
          <w:sz w:val="28"/>
          <w:szCs w:val="28"/>
        </w:rPr>
        <w:t>X</w:t>
      </w:r>
      <w:r w:rsidRPr="00802D35">
        <w:rPr>
          <w:sz w:val="28"/>
          <w:szCs w:val="28"/>
        </w:rPr>
        <w:t>. Эти оценки </w:t>
      </w:r>
      <w:r w:rsidRPr="00802D35">
        <w:rPr>
          <w:iCs/>
          <w:sz w:val="28"/>
          <w:szCs w:val="28"/>
        </w:rPr>
        <w:t>смещены</w:t>
      </w:r>
      <w:r w:rsidRPr="00802D35">
        <w:rPr>
          <w:sz w:val="28"/>
          <w:szCs w:val="28"/>
        </w:rPr>
        <w:t>, в отличие от МНК-оценок. Однако доказано, что существует такое λ, при котором эти оценки более эффективны, чем оценки МНК (оценки МНК эффективны (имеют наименьшую дисперсию) среди линейных </w:t>
      </w:r>
      <w:r w:rsidRPr="00802D35">
        <w:rPr>
          <w:iCs/>
          <w:sz w:val="28"/>
          <w:szCs w:val="28"/>
        </w:rPr>
        <w:t>несмещенных</w:t>
      </w:r>
      <w:r w:rsidRPr="00802D35">
        <w:rPr>
          <w:sz w:val="28"/>
          <w:szCs w:val="28"/>
        </w:rPr>
        <w:t> оценок).</w:t>
      </w:r>
    </w:p>
    <w:p w:rsidR="00B5617B" w:rsidRPr="00802D35" w:rsidRDefault="00B5617B" w:rsidP="00B5617B">
      <w:pPr>
        <w:pStyle w:val="1"/>
        <w:shd w:val="clear" w:color="auto" w:fill="FFFFFF"/>
        <w:spacing w:before="0" w:line="240" w:lineRule="auto"/>
        <w:ind w:firstLine="567"/>
        <w:jc w:val="both"/>
        <w:textAlignment w:val="baseline"/>
        <w:rPr>
          <w:rFonts w:ascii="Times New Roman" w:hAnsi="Times New Roman" w:cs="Times New Roman"/>
          <w:b w:val="0"/>
          <w:color w:val="auto"/>
        </w:rPr>
      </w:pPr>
      <w:r w:rsidRPr="00802D35">
        <w:rPr>
          <w:rFonts w:ascii="Times New Roman" w:hAnsi="Times New Roman" w:cs="Times New Roman"/>
          <w:b w:val="0"/>
          <w:color w:val="auto"/>
        </w:rPr>
        <w:t>Значение рекомендуется брать от 0,1 до 0,4. Н. Дрейпер, Г. Смит в своей работе приводят один из способов «автоматического» выбора величины λ, предложенный Хоэрлом, Кеннардом и Белдвином</w:t>
      </w:r>
      <w:bookmarkStart w:id="1" w:name="annot_2"/>
      <w:r w:rsidR="00E525B2" w:rsidRPr="00802D35">
        <w:rPr>
          <w:rFonts w:ascii="Times New Roman" w:hAnsi="Times New Roman" w:cs="Times New Roman"/>
          <w:b w:val="0"/>
          <w:color w:val="auto"/>
          <w:vertAlign w:val="superscript"/>
        </w:rPr>
        <w:fldChar w:fldCharType="begin"/>
      </w:r>
      <w:r w:rsidRPr="00802D35">
        <w:rPr>
          <w:rFonts w:ascii="Times New Roman" w:hAnsi="Times New Roman" w:cs="Times New Roman"/>
          <w:b w:val="0"/>
          <w:color w:val="auto"/>
          <w:vertAlign w:val="superscript"/>
        </w:rPr>
        <w:instrText xml:space="preserve"> HYPERLINK "https://studme.org/72647/ekonomika/prognozirovanie_modeli_mnozhestvennoy_regressii" \l "gads_btm" </w:instrText>
      </w:r>
      <w:r w:rsidR="00E525B2" w:rsidRPr="00802D35">
        <w:rPr>
          <w:rFonts w:ascii="Times New Roman" w:hAnsi="Times New Roman" w:cs="Times New Roman"/>
          <w:b w:val="0"/>
          <w:color w:val="auto"/>
          <w:vertAlign w:val="superscript"/>
        </w:rPr>
        <w:fldChar w:fldCharType="end"/>
      </w:r>
      <w:bookmarkEnd w:id="1"/>
      <w:r w:rsidRPr="00802D35">
        <w:rPr>
          <w:rFonts w:ascii="Times New Roman" w:hAnsi="Times New Roman" w:cs="Times New Roman"/>
          <w:b w:val="0"/>
          <w:color w:val="auto"/>
          <w:vertAlign w:val="superscript"/>
        </w:rPr>
        <w:t xml:space="preserve"> </w:t>
      </w:r>
      <w:r w:rsidRPr="00802D35">
        <w:rPr>
          <w:rFonts w:ascii="Times New Roman" w:hAnsi="Times New Roman" w:cs="Times New Roman"/>
          <w:b w:val="0"/>
          <w:color w:val="auto"/>
        </w:rPr>
        <w:t>[</w:t>
      </w:r>
      <w:r w:rsidR="000B0564" w:rsidRPr="00802D35">
        <w:rPr>
          <w:rFonts w:ascii="Times New Roman" w:hAnsi="Times New Roman" w:cs="Times New Roman"/>
          <w:b w:val="0"/>
          <w:color w:val="auto"/>
        </w:rPr>
        <w:t>111</w:t>
      </w:r>
      <w:r w:rsidRPr="00802D35">
        <w:rPr>
          <w:rFonts w:ascii="Times New Roman" w:hAnsi="Times New Roman" w:cs="Times New Roman"/>
          <w:b w:val="0"/>
          <w:color w:val="auto"/>
        </w:rPr>
        <w:t>]:</w:t>
      </w:r>
    </w:p>
    <w:p w:rsidR="00B5617B" w:rsidRPr="00802D35" w:rsidRDefault="00B5617B" w:rsidP="00B5617B">
      <w:pPr>
        <w:spacing w:after="0" w:line="240" w:lineRule="auto"/>
      </w:pPr>
    </w:p>
    <w:p w:rsidR="00B5617B" w:rsidRPr="00802D35" w:rsidRDefault="00B5617B" w:rsidP="00B5617B">
      <w:pPr>
        <w:pStyle w:val="1"/>
        <w:shd w:val="clear" w:color="auto" w:fill="FFFFFF"/>
        <w:spacing w:before="0" w:line="240" w:lineRule="auto"/>
        <w:jc w:val="right"/>
        <w:textAlignment w:val="baseline"/>
        <w:rPr>
          <w:rFonts w:ascii="Times New Roman" w:hAnsi="Times New Roman" w:cs="Times New Roman"/>
          <w:b w:val="0"/>
          <w:color w:val="auto"/>
        </w:rPr>
      </w:pPr>
      <m:oMath>
        <m:r>
          <m:rPr>
            <m:sty m:val="bi"/>
          </m:rPr>
          <w:rPr>
            <w:rFonts w:ascii="Cambria Math" w:hAnsi="Cambria Math" w:cs="Times New Roman"/>
            <w:color w:val="auto"/>
          </w:rPr>
          <m:t xml:space="preserve">λ= </m:t>
        </m:r>
        <m:f>
          <m:fPr>
            <m:ctrlPr>
              <w:rPr>
                <w:rFonts w:ascii="Cambria Math" w:hAnsi="Cambria Math" w:cs="Times New Roman"/>
                <w:b w:val="0"/>
                <w:i/>
                <w:color w:val="auto"/>
              </w:rPr>
            </m:ctrlPr>
          </m:fPr>
          <m:num>
            <m:r>
              <m:rPr>
                <m:sty m:val="bi"/>
              </m:rPr>
              <w:rPr>
                <w:rFonts w:ascii="Cambria Math" w:hAnsi="Cambria Math" w:cs="Times New Roman"/>
                <w:color w:val="auto"/>
              </w:rPr>
              <m:t>m*</m:t>
            </m:r>
            <m:sSub>
              <m:sSubPr>
                <m:ctrlPr>
                  <w:rPr>
                    <w:rFonts w:ascii="Cambria Math" w:hAnsi="Cambria Math" w:cs="Times New Roman"/>
                    <w:b w:val="0"/>
                    <w:i/>
                    <w:color w:val="auto"/>
                  </w:rPr>
                </m:ctrlPr>
              </m:sSubPr>
              <m:e>
                <m:r>
                  <m:rPr>
                    <m:sty m:val="bi"/>
                  </m:rPr>
                  <w:rPr>
                    <w:rFonts w:ascii="Cambria Math" w:hAnsi="Cambria Math" w:cs="Times New Roman"/>
                    <w:color w:val="auto"/>
                  </w:rPr>
                  <m:t>SS</m:t>
                </m:r>
              </m:e>
              <m:sub>
                <m:r>
                  <m:rPr>
                    <m:sty m:val="bi"/>
                  </m:rPr>
                  <w:rPr>
                    <w:rFonts w:ascii="Cambria Math" w:hAnsi="Cambria Math" w:cs="Times New Roman"/>
                    <w:color w:val="auto"/>
                  </w:rPr>
                  <m:t>e</m:t>
                </m:r>
              </m:sub>
            </m:sSub>
          </m:num>
          <m:den>
            <m:r>
              <m:rPr>
                <m:sty m:val="bi"/>
              </m:rPr>
              <w:rPr>
                <w:rFonts w:ascii="Cambria Math" w:hAnsi="Cambria Math" w:cs="Times New Roman"/>
                <w:color w:val="auto"/>
              </w:rPr>
              <m:t>n-m-1</m:t>
            </m:r>
          </m:den>
        </m:f>
        <m:r>
          <m:rPr>
            <m:sty m:val="bi"/>
          </m:rPr>
          <w:rPr>
            <w:rFonts w:ascii="Cambria Math" w:hAnsi="Cambria Math" w:cs="Times New Roman"/>
            <w:color w:val="auto"/>
          </w:rPr>
          <m:t>*</m:t>
        </m:r>
        <m:f>
          <m:fPr>
            <m:ctrlPr>
              <w:rPr>
                <w:rFonts w:ascii="Cambria Math" w:hAnsi="Cambria Math" w:cs="Times New Roman"/>
                <w:b w:val="0"/>
                <w:i/>
                <w:color w:val="auto"/>
              </w:rPr>
            </m:ctrlPr>
          </m:fPr>
          <m:num>
            <m:r>
              <m:rPr>
                <m:sty m:val="bi"/>
              </m:rPr>
              <w:rPr>
                <w:rFonts w:ascii="Cambria Math" w:hAnsi="Cambria Math" w:cs="Times New Roman"/>
                <w:color w:val="auto"/>
              </w:rPr>
              <m:t>1</m:t>
            </m:r>
          </m:num>
          <m:den>
            <m:sSup>
              <m:sSupPr>
                <m:ctrlPr>
                  <w:rPr>
                    <w:rFonts w:ascii="Cambria Math" w:hAnsi="Cambria Math" w:cs="Times New Roman"/>
                    <w:b w:val="0"/>
                    <w:i/>
                    <w:color w:val="auto"/>
                  </w:rPr>
                </m:ctrlPr>
              </m:sSupPr>
              <m:e>
                <m:r>
                  <m:rPr>
                    <m:sty m:val="bi"/>
                  </m:rPr>
                  <w:rPr>
                    <w:rFonts w:ascii="Cambria Math" w:hAnsi="Cambria Math" w:cs="Times New Roman"/>
                    <w:color w:val="auto"/>
                  </w:rPr>
                  <m:t>a</m:t>
                </m:r>
              </m:e>
              <m:sup>
                <m:r>
                  <m:rPr>
                    <m:sty m:val="bi"/>
                  </m:rPr>
                  <w:rPr>
                    <w:rFonts w:ascii="Cambria Math" w:hAnsi="Cambria Math" w:cs="Times New Roman"/>
                    <w:color w:val="auto"/>
                  </w:rPr>
                  <m:t>*T</m:t>
                </m:r>
              </m:sup>
            </m:sSup>
            <m:sSup>
              <m:sSupPr>
                <m:ctrlPr>
                  <w:rPr>
                    <w:rFonts w:ascii="Cambria Math" w:hAnsi="Cambria Math" w:cs="Times New Roman"/>
                    <w:b w:val="0"/>
                    <w:i/>
                    <w:color w:val="auto"/>
                  </w:rPr>
                </m:ctrlPr>
              </m:sSupPr>
              <m:e>
                <m:r>
                  <m:rPr>
                    <m:sty m:val="bi"/>
                  </m:rPr>
                  <w:rPr>
                    <w:rFonts w:ascii="Cambria Math" w:hAnsi="Cambria Math" w:cs="Times New Roman"/>
                    <w:color w:val="auto"/>
                  </w:rPr>
                  <m:t>a</m:t>
                </m:r>
              </m:e>
              <m:sup>
                <m:r>
                  <m:rPr>
                    <m:sty m:val="bi"/>
                  </m:rPr>
                  <w:rPr>
                    <w:rFonts w:ascii="Cambria Math" w:hAnsi="Cambria Math" w:cs="Times New Roman"/>
                    <w:color w:val="auto"/>
                  </w:rPr>
                  <m:t>*</m:t>
                </m:r>
              </m:sup>
            </m:sSup>
          </m:den>
        </m:f>
      </m:oMath>
      <w:r w:rsidRPr="00802D35">
        <w:rPr>
          <w:rFonts w:ascii="Times New Roman" w:hAnsi="Times New Roman" w:cs="Times New Roman"/>
          <w:b w:val="0"/>
          <w:color w:val="auto"/>
        </w:rPr>
        <w:t xml:space="preserve">                                                 (21),</w:t>
      </w:r>
    </w:p>
    <w:p w:rsidR="00B5617B" w:rsidRPr="00802D35" w:rsidRDefault="00B5617B" w:rsidP="00B5617B">
      <w:pPr>
        <w:pStyle w:val="a7"/>
        <w:spacing w:before="0" w:beforeAutospacing="0" w:after="0" w:afterAutospacing="0"/>
        <w:ind w:firstLine="567"/>
        <w:jc w:val="both"/>
        <w:rPr>
          <w:sz w:val="28"/>
          <w:szCs w:val="28"/>
        </w:rPr>
      </w:pPr>
      <w:r w:rsidRPr="00802D35">
        <w:rPr>
          <w:sz w:val="28"/>
          <w:szCs w:val="28"/>
        </w:rPr>
        <w:t>где: </w:t>
      </w:r>
    </w:p>
    <w:p w:rsidR="00B5617B" w:rsidRPr="00802D35" w:rsidRDefault="00B5617B" w:rsidP="00B5617B">
      <w:pPr>
        <w:pStyle w:val="a7"/>
        <w:spacing w:before="0" w:beforeAutospacing="0" w:after="0" w:afterAutospacing="0"/>
        <w:ind w:firstLine="567"/>
        <w:jc w:val="both"/>
        <w:rPr>
          <w:sz w:val="28"/>
          <w:szCs w:val="28"/>
        </w:rPr>
      </w:pPr>
      <w:r w:rsidRPr="00802D35">
        <w:rPr>
          <w:i/>
          <w:iCs/>
          <w:sz w:val="28"/>
          <w:szCs w:val="28"/>
        </w:rPr>
        <w:t>т</w:t>
      </w:r>
      <w:r w:rsidRPr="00802D35">
        <w:rPr>
          <w:sz w:val="28"/>
          <w:szCs w:val="28"/>
        </w:rPr>
        <w:t> – количество параметров (без учета свободного члена) в исходной модели регрессии; </w:t>
      </w:r>
    </w:p>
    <w:p w:rsidR="00B5617B" w:rsidRPr="00802D35" w:rsidRDefault="00B5617B" w:rsidP="00B5617B">
      <w:pPr>
        <w:pStyle w:val="a7"/>
        <w:spacing w:before="0" w:beforeAutospacing="0" w:after="0" w:afterAutospacing="0"/>
        <w:ind w:firstLine="567"/>
        <w:jc w:val="both"/>
        <w:rPr>
          <w:sz w:val="28"/>
          <w:szCs w:val="28"/>
        </w:rPr>
      </w:pPr>
      <w:r w:rsidRPr="00802D35">
        <w:rPr>
          <w:i/>
          <w:iCs/>
          <w:sz w:val="28"/>
          <w:szCs w:val="28"/>
        </w:rPr>
        <w:t>SS</w:t>
      </w:r>
      <w:r w:rsidRPr="00802D35">
        <w:rPr>
          <w:sz w:val="28"/>
          <w:szCs w:val="28"/>
          <w:vertAlign w:val="subscript"/>
        </w:rPr>
        <w:t>e</w:t>
      </w:r>
      <w:r w:rsidRPr="00802D35">
        <w:rPr>
          <w:sz w:val="28"/>
          <w:szCs w:val="28"/>
        </w:rPr>
        <w:t xml:space="preserve"> – остаточная сумма квадратов, полученная по исходной модели регрессии без корректировки на мультиколлинеарность; </w:t>
      </w:r>
    </w:p>
    <w:p w:rsidR="00B5617B" w:rsidRPr="00802D35" w:rsidRDefault="00B5617B" w:rsidP="00B5617B">
      <w:pPr>
        <w:pStyle w:val="a7"/>
        <w:spacing w:before="0" w:beforeAutospacing="0" w:after="0" w:afterAutospacing="0"/>
        <w:ind w:firstLine="567"/>
        <w:jc w:val="both"/>
        <w:rPr>
          <w:sz w:val="28"/>
          <w:szCs w:val="28"/>
        </w:rPr>
      </w:pPr>
      <w:r w:rsidRPr="00802D35">
        <w:rPr>
          <w:i/>
          <w:iCs/>
          <w:sz w:val="28"/>
          <w:szCs w:val="28"/>
        </w:rPr>
        <w:t>а</w:t>
      </w:r>
      <w:r w:rsidRPr="00802D35">
        <w:rPr>
          <w:sz w:val="28"/>
          <w:szCs w:val="28"/>
        </w:rPr>
        <w:t> – вектор-столбец коэффициентов регрессии, преобразованных по формуле:</w:t>
      </w:r>
    </w:p>
    <w:p w:rsidR="00B5617B" w:rsidRPr="00802D35" w:rsidRDefault="00B5617B" w:rsidP="00B5617B">
      <w:pPr>
        <w:pStyle w:val="a7"/>
        <w:spacing w:before="0" w:beforeAutospacing="0" w:after="0" w:afterAutospacing="0"/>
        <w:ind w:firstLine="567"/>
        <w:jc w:val="both"/>
        <w:rPr>
          <w:sz w:val="28"/>
          <w:szCs w:val="28"/>
        </w:rPr>
      </w:pPr>
    </w:p>
    <w:p w:rsidR="00B5617B" w:rsidRPr="00802D35" w:rsidRDefault="00FF4C7E" w:rsidP="00B5617B">
      <w:pPr>
        <w:pStyle w:val="a7"/>
        <w:spacing w:before="0" w:beforeAutospacing="0" w:after="0" w:afterAutospacing="0"/>
        <w:ind w:firstLine="227"/>
        <w:jc w:val="right"/>
        <w:rPr>
          <w:color w:val="000000"/>
          <w:sz w:val="28"/>
          <w:szCs w:val="28"/>
        </w:rPr>
      </w:pPr>
      <m:oMath>
        <m:sSubSup>
          <m:sSubSupPr>
            <m:ctrlPr>
              <w:rPr>
                <w:rFonts w:ascii="Cambria Math" w:hAnsi="Cambria Math"/>
                <w:i/>
                <w:color w:val="000000"/>
                <w:sz w:val="28"/>
                <w:szCs w:val="28"/>
              </w:rPr>
            </m:ctrlPr>
          </m:sSubSupPr>
          <m:e>
            <m:r>
              <w:rPr>
                <w:rFonts w:ascii="Cambria Math" w:hAnsi="Cambria Math"/>
                <w:color w:val="000000"/>
                <w:sz w:val="28"/>
                <w:szCs w:val="28"/>
              </w:rPr>
              <m:t>a</m:t>
            </m:r>
          </m:e>
          <m:sub>
            <m:r>
              <w:rPr>
                <w:rFonts w:ascii="Cambria Math" w:hAnsi="Cambria Math"/>
                <w:color w:val="000000"/>
                <w:sz w:val="28"/>
                <w:szCs w:val="28"/>
              </w:rPr>
              <m:t>j</m:t>
            </m:r>
          </m:sub>
          <m:sup>
            <m:r>
              <w:rPr>
                <w:rFonts w:ascii="Cambria Math" w:hAnsi="Cambria Math"/>
                <w:color w:val="000000"/>
                <w:sz w:val="28"/>
                <w:szCs w:val="28"/>
              </w:rPr>
              <m:t>*</m:t>
            </m:r>
          </m:sup>
        </m:sSubSup>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j</m:t>
            </m:r>
          </m:sub>
        </m:sSub>
        <m:sSup>
          <m:sSupPr>
            <m:ctrlPr>
              <w:rPr>
                <w:rFonts w:ascii="Cambria Math" w:hAnsi="Cambria Math"/>
                <w:i/>
                <w:color w:val="000000"/>
                <w:sz w:val="28"/>
                <w:szCs w:val="28"/>
              </w:rPr>
            </m:ctrlPr>
          </m:sSupPr>
          <m:e>
            <m:rad>
              <m:radPr>
                <m:degHide m:val="1"/>
                <m:ctrlPr>
                  <w:rPr>
                    <w:rFonts w:ascii="Cambria Math" w:hAnsi="Cambria Math"/>
                    <w:i/>
                    <w:color w:val="000000"/>
                    <w:sz w:val="28"/>
                    <w:szCs w:val="28"/>
                  </w:rPr>
                </m:ctrlPr>
              </m:radPr>
              <m:deg/>
              <m:e>
                <m:nary>
                  <m:naryPr>
                    <m:chr m:val="∑"/>
                    <m:limLoc m:val="undOvr"/>
                    <m:subHide m:val="1"/>
                    <m:supHide m:val="1"/>
                    <m:ctrlPr>
                      <w:rPr>
                        <w:rFonts w:ascii="Cambria Math" w:hAnsi="Cambria Math"/>
                        <w:i/>
                        <w:color w:val="000000"/>
                        <w:sz w:val="28"/>
                        <w:szCs w:val="28"/>
                      </w:rPr>
                    </m:ctrlPr>
                  </m:naryPr>
                  <m:sub/>
                  <m:sup/>
                  <m:e>
                    <m:r>
                      <w:rPr>
                        <w:rFonts w:ascii="Cambria Math" w:hAnsi="Cambria Math"/>
                        <w:color w:val="000000"/>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j</m:t>
                        </m:r>
                      </m:sub>
                    </m:sSub>
                  </m:e>
                </m:nary>
              </m:e>
            </m:rad>
            <m:r>
              <w:rPr>
                <w:rFonts w:ascii="Cambria Math" w:hAnsi="Cambria Math"/>
                <w:color w:val="000000"/>
                <w:sz w:val="28"/>
                <w:szCs w:val="28"/>
              </w:rPr>
              <m:t>-</m:t>
            </m:r>
            <m:sSub>
              <m:sSubPr>
                <m:ctrlPr>
                  <w:rPr>
                    <w:rFonts w:ascii="Cambria Math" w:hAnsi="Cambria Math"/>
                    <w:i/>
                    <w:color w:val="000000"/>
                    <w:sz w:val="28"/>
                    <w:szCs w:val="28"/>
                  </w:rPr>
                </m:ctrlPr>
              </m:sSubPr>
              <m:e>
                <m:acc>
                  <m:accPr>
                    <m:chr m:val="̅"/>
                    <m:ctrlPr>
                      <w:rPr>
                        <w:rFonts w:ascii="Cambria Math" w:hAnsi="Cambria Math"/>
                        <w:i/>
                        <w:color w:val="000000"/>
                        <w:sz w:val="28"/>
                        <w:szCs w:val="28"/>
                      </w:rPr>
                    </m:ctrlPr>
                  </m:accPr>
                  <m:e>
                    <m:r>
                      <w:rPr>
                        <w:rFonts w:ascii="Cambria Math" w:hAnsi="Cambria Math"/>
                        <w:color w:val="000000"/>
                        <w:sz w:val="28"/>
                        <w:szCs w:val="28"/>
                      </w:rPr>
                      <m:t>x</m:t>
                    </m:r>
                  </m:e>
                </m:acc>
              </m:e>
              <m:sub>
                <m:r>
                  <w:rPr>
                    <w:rFonts w:ascii="Cambria Math" w:hAnsi="Cambria Math"/>
                    <w:color w:val="000000"/>
                    <w:sz w:val="28"/>
                    <w:szCs w:val="28"/>
                  </w:rPr>
                  <m:t>j</m:t>
                </m:r>
              </m:sub>
            </m:sSub>
            <m:r>
              <w:rPr>
                <w:rFonts w:ascii="Cambria Math" w:hAnsi="Cambria Math"/>
                <w:color w:val="000000"/>
                <w:sz w:val="28"/>
                <w:szCs w:val="28"/>
              </w:rPr>
              <m:t>)</m:t>
            </m:r>
          </m:e>
          <m:sup>
            <m:r>
              <w:rPr>
                <w:rFonts w:ascii="Cambria Math" w:hAnsi="Cambria Math"/>
                <w:color w:val="000000"/>
                <w:sz w:val="28"/>
                <w:szCs w:val="28"/>
              </w:rPr>
              <m:t>2</m:t>
            </m:r>
          </m:sup>
        </m:sSup>
      </m:oMath>
      <w:r w:rsidR="00B5617B" w:rsidRPr="00802D35">
        <w:rPr>
          <w:color w:val="000000"/>
          <w:sz w:val="28"/>
          <w:szCs w:val="28"/>
        </w:rPr>
        <w:t xml:space="preserve">                                        (22),</w:t>
      </w:r>
    </w:p>
    <w:p w:rsidR="00B5617B" w:rsidRPr="00802D35" w:rsidRDefault="00B5617B" w:rsidP="00B5617B">
      <w:pPr>
        <w:pStyle w:val="a7"/>
        <w:spacing w:before="0" w:beforeAutospacing="0" w:after="0" w:afterAutospacing="0"/>
        <w:ind w:firstLine="567"/>
        <w:jc w:val="both"/>
        <w:rPr>
          <w:sz w:val="28"/>
          <w:szCs w:val="28"/>
        </w:rPr>
      </w:pPr>
    </w:p>
    <w:p w:rsidR="00B5617B" w:rsidRPr="00802D35" w:rsidRDefault="00B5617B" w:rsidP="00B5617B">
      <w:pPr>
        <w:pStyle w:val="a7"/>
        <w:spacing w:before="0" w:beforeAutospacing="0" w:after="0" w:afterAutospacing="0"/>
        <w:ind w:firstLine="567"/>
        <w:jc w:val="both"/>
        <w:rPr>
          <w:sz w:val="28"/>
          <w:szCs w:val="28"/>
        </w:rPr>
      </w:pPr>
      <w:r w:rsidRPr="00802D35">
        <w:rPr>
          <w:sz w:val="28"/>
          <w:szCs w:val="28"/>
        </w:rPr>
        <w:t>где:</w:t>
      </w:r>
    </w:p>
    <w:p w:rsidR="00B5617B" w:rsidRPr="00802D35" w:rsidRDefault="00B5617B" w:rsidP="00B5617B">
      <w:pPr>
        <w:pStyle w:val="a7"/>
        <w:spacing w:before="0" w:beforeAutospacing="0" w:after="0" w:afterAutospacing="0"/>
        <w:ind w:firstLine="567"/>
        <w:jc w:val="both"/>
        <w:rPr>
          <w:sz w:val="28"/>
          <w:szCs w:val="28"/>
        </w:rPr>
      </w:pPr>
      <w:r w:rsidRPr="00802D35">
        <w:rPr>
          <w:i/>
          <w:iCs/>
          <w:sz w:val="28"/>
          <w:szCs w:val="28"/>
        </w:rPr>
        <w:t>cij</w:t>
      </w:r>
      <w:r w:rsidRPr="00802D35">
        <w:rPr>
          <w:sz w:val="28"/>
          <w:szCs w:val="28"/>
        </w:rPr>
        <w:t> – параметр при переменной у, в исходной модели регрессии.</w:t>
      </w:r>
    </w:p>
    <w:p w:rsidR="00B5617B" w:rsidRPr="00802D35" w:rsidRDefault="00B5617B" w:rsidP="00B5617B">
      <w:pPr>
        <w:widowControl w:val="0"/>
        <w:tabs>
          <w:tab w:val="left" w:pos="993"/>
        </w:tabs>
        <w:spacing w:after="0" w:line="240" w:lineRule="auto"/>
        <w:ind w:firstLine="567"/>
        <w:jc w:val="both"/>
        <w:rPr>
          <w:rFonts w:ascii="Times New Roman" w:hAnsi="Times New Roman" w:cs="Times New Roman"/>
          <w:sz w:val="28"/>
          <w:szCs w:val="28"/>
        </w:rPr>
      </w:pPr>
    </w:p>
    <w:p w:rsidR="00B5617B" w:rsidRPr="00802D35" w:rsidRDefault="00B5617B" w:rsidP="00B5617B">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Для оценки значимости факторов был применен алгоритм </w:t>
      </w:r>
      <w:r w:rsidRPr="00802D35">
        <w:rPr>
          <w:rFonts w:ascii="Times New Roman" w:eastAsia="Times New Roman" w:hAnsi="Times New Roman" w:cs="Times New Roman"/>
          <w:sz w:val="28"/>
          <w:szCs w:val="28"/>
          <w:shd w:val="clear" w:color="auto" w:fill="FFFFFF"/>
          <w:lang w:eastAsia="ru-RU"/>
        </w:rPr>
        <w:t>Феррара-Глоубера, в рамках которого</w:t>
      </w:r>
      <w:r w:rsidRPr="00802D35">
        <w:rPr>
          <w:rFonts w:ascii="Times New Roman" w:hAnsi="Times New Roman" w:cs="Times New Roman"/>
          <w:sz w:val="28"/>
          <w:szCs w:val="28"/>
        </w:rPr>
        <w:t xml:space="preserve"> оценены критерий Фишера и дисперсионный анализ ANOVA (ANalysis Of VAriance) </w:t>
      </w:r>
      <w:r w:rsidRPr="00802D35">
        <w:rPr>
          <w:rFonts w:ascii="Times New Roman" w:eastAsia="Times New Roman" w:hAnsi="Times New Roman" w:cs="Times New Roman"/>
          <w:sz w:val="28"/>
          <w:szCs w:val="28"/>
          <w:shd w:val="clear" w:color="auto" w:fill="FFFFFF"/>
          <w:lang w:eastAsia="ru-RU"/>
        </w:rPr>
        <w:t>[</w:t>
      </w:r>
      <w:r w:rsidR="000B0564" w:rsidRPr="00802D35">
        <w:rPr>
          <w:rFonts w:ascii="Times New Roman" w:eastAsia="Times New Roman" w:hAnsi="Times New Roman" w:cs="Times New Roman"/>
          <w:sz w:val="28"/>
          <w:szCs w:val="28"/>
          <w:shd w:val="clear" w:color="auto" w:fill="FFFFFF"/>
          <w:lang w:eastAsia="ru-RU"/>
        </w:rPr>
        <w:t>112</w:t>
      </w:r>
      <w:r w:rsidRPr="00802D35">
        <w:rPr>
          <w:rFonts w:ascii="Times New Roman" w:eastAsia="Times New Roman" w:hAnsi="Times New Roman" w:cs="Times New Roman"/>
          <w:sz w:val="28"/>
          <w:szCs w:val="28"/>
          <w:shd w:val="clear" w:color="auto" w:fill="FFFFFF"/>
          <w:lang w:eastAsia="ru-RU"/>
        </w:rPr>
        <w:t>]</w:t>
      </w:r>
      <w:r w:rsidRPr="00802D35">
        <w:rPr>
          <w:rFonts w:ascii="Times New Roman" w:hAnsi="Times New Roman" w:cs="Times New Roman"/>
          <w:sz w:val="28"/>
          <w:szCs w:val="28"/>
        </w:rPr>
        <w:t xml:space="preserve">. </w:t>
      </w:r>
    </w:p>
    <w:p w:rsidR="00B5617B" w:rsidRPr="00802D35" w:rsidRDefault="00B5617B" w:rsidP="00B5617B">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iCs/>
          <w:sz w:val="28"/>
          <w:szCs w:val="28"/>
        </w:rPr>
        <w:t xml:space="preserve">Согласно </w:t>
      </w:r>
      <w:r w:rsidRPr="00802D35">
        <w:rPr>
          <w:rFonts w:ascii="Times New Roman" w:hAnsi="Times New Roman" w:cs="Times New Roman"/>
          <w:sz w:val="28"/>
          <w:szCs w:val="28"/>
        </w:rPr>
        <w:t>ANOVA</w:t>
      </w:r>
      <w:r w:rsidRPr="00802D35">
        <w:rPr>
          <w:rFonts w:ascii="Times New Roman" w:hAnsi="Times New Roman" w:cs="Times New Roman"/>
          <w:iCs/>
          <w:sz w:val="28"/>
          <w:szCs w:val="28"/>
        </w:rPr>
        <w:t xml:space="preserve"> средние вариативности в модели оценены следующим образом:</w:t>
      </w:r>
    </w:p>
    <w:p w:rsidR="00B5617B" w:rsidRPr="00802D35" w:rsidRDefault="00B5617B" w:rsidP="00B5617B">
      <w:pPr>
        <w:widowControl w:val="0"/>
        <w:tabs>
          <w:tab w:val="left" w:pos="993"/>
        </w:tabs>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MST= </m:t>
        </m:r>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num>
          <m:den>
            <m:r>
              <w:rPr>
                <w:rFonts w:ascii="Cambria Math" w:hAnsi="Cambria Math" w:cs="Times New Roman"/>
                <w:sz w:val="28"/>
                <w:szCs w:val="28"/>
              </w:rPr>
              <m:t>dƒ</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SST</m:t>
            </m:r>
          </m:num>
          <m:den>
            <m:r>
              <w:rPr>
                <w:rFonts w:ascii="Cambria Math" w:hAnsi="Cambria Math" w:cs="Times New Roman"/>
                <w:sz w:val="28"/>
                <w:szCs w:val="28"/>
              </w:rPr>
              <m:t>n-1</m:t>
            </m:r>
          </m:den>
        </m:f>
      </m:oMath>
      <w:r w:rsidRPr="00802D35">
        <w:rPr>
          <w:rFonts w:ascii="Times New Roman" w:hAnsi="Times New Roman" w:cs="Times New Roman"/>
          <w:sz w:val="28"/>
          <w:szCs w:val="28"/>
        </w:rPr>
        <w:t xml:space="preserve">                                                 (23),</w:t>
      </w:r>
    </w:p>
    <w:p w:rsidR="00B5617B" w:rsidRPr="00802D35" w:rsidRDefault="00B5617B" w:rsidP="00B5617B">
      <w:pPr>
        <w:widowControl w:val="0"/>
        <w:tabs>
          <w:tab w:val="left" w:pos="993"/>
        </w:tabs>
        <w:spacing w:after="0" w:line="240" w:lineRule="auto"/>
        <w:ind w:firstLine="567"/>
        <w:jc w:val="right"/>
        <w:rPr>
          <w:rFonts w:ascii="Times New Roman" w:hAnsi="Times New Roman" w:cs="Times New Roman"/>
          <w:sz w:val="28"/>
          <w:szCs w:val="28"/>
        </w:rPr>
      </w:pPr>
    </w:p>
    <w:p w:rsidR="00B5617B" w:rsidRPr="00802D35" w:rsidRDefault="00B5617B" w:rsidP="00B5617B">
      <w:pPr>
        <w:widowControl w:val="0"/>
        <w:tabs>
          <w:tab w:val="left" w:pos="993"/>
        </w:tabs>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MSA= </m:t>
        </m:r>
        <m:f>
          <m:fPr>
            <m:ctrlPr>
              <w:rPr>
                <w:rFonts w:ascii="Cambria Math" w:hAnsi="Cambria Math" w:cs="Times New Roman"/>
                <w:i/>
                <w:iCs/>
                <w:sz w:val="28"/>
                <w:szCs w:val="28"/>
              </w:rPr>
            </m:ctrlPr>
          </m:fPr>
          <m:num>
            <m:r>
              <m:rPr>
                <m:sty m:val="p"/>
              </m:rPr>
              <w:rPr>
                <w:rFonts w:ascii="Cambria Math" w:hAnsi="Cambria Math" w:cs="Times New Roman"/>
                <w:sz w:val="28"/>
                <w:szCs w:val="28"/>
              </w:rPr>
              <m:t>S</m:t>
            </m:r>
            <m:r>
              <m:rPr>
                <m:sty m:val="p"/>
              </m:rPr>
              <w:rPr>
                <w:rFonts w:ascii="Cambria Math" w:hAnsi="Cambria Math" w:cs="Times New Roman"/>
                <w:sz w:val="28"/>
                <w:szCs w:val="28"/>
                <w:vertAlign w:val="superscript"/>
              </w:rPr>
              <m:t>2</m:t>
            </m:r>
            <m:r>
              <m:rPr>
                <m:sty m:val="p"/>
              </m:rPr>
              <w:rPr>
                <w:rFonts w:ascii="Cambria Math" w:hAnsi="Cambria Math" w:cs="Times New Roman"/>
                <w:sz w:val="28"/>
                <w:szCs w:val="28"/>
                <w:vertAlign w:val="subscript"/>
              </w:rPr>
              <m:t>A</m:t>
            </m:r>
          </m:num>
          <m:den>
            <m:r>
              <w:rPr>
                <w:rFonts w:ascii="Cambria Math" w:hAnsi="Cambria Math" w:cs="Times New Roman"/>
                <w:sz w:val="28"/>
                <w:szCs w:val="28"/>
              </w:rPr>
              <m:t>dƒ</m:t>
            </m:r>
            <m:r>
              <w:rPr>
                <w:rFonts w:ascii="Cambria Math" w:hAnsi="Cambria Math" w:cs="Times New Roman"/>
                <w:sz w:val="28"/>
                <w:szCs w:val="28"/>
                <w:vertAlign w:val="subscript"/>
              </w:rPr>
              <m:t>A</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SSA</m:t>
            </m:r>
          </m:num>
          <m:den>
            <m:r>
              <w:rPr>
                <w:rFonts w:ascii="Cambria Math" w:hAnsi="Cambria Math" w:cs="Times New Roman"/>
                <w:sz w:val="28"/>
                <w:szCs w:val="28"/>
              </w:rPr>
              <m:t>v-1</m:t>
            </m:r>
          </m:den>
        </m:f>
      </m:oMath>
      <w:r w:rsidRPr="00802D35">
        <w:rPr>
          <w:rFonts w:ascii="Times New Roman" w:hAnsi="Times New Roman" w:cs="Times New Roman"/>
          <w:sz w:val="28"/>
          <w:szCs w:val="28"/>
        </w:rPr>
        <w:t xml:space="preserve">                                               (24),</w:t>
      </w:r>
    </w:p>
    <w:p w:rsidR="00B5617B" w:rsidRPr="00802D35" w:rsidRDefault="00B5617B" w:rsidP="00B5617B">
      <w:pPr>
        <w:widowControl w:val="0"/>
        <w:tabs>
          <w:tab w:val="left" w:pos="993"/>
        </w:tabs>
        <w:spacing w:after="0" w:line="240" w:lineRule="auto"/>
        <w:ind w:firstLine="567"/>
        <w:jc w:val="right"/>
        <w:rPr>
          <w:rFonts w:ascii="Times New Roman" w:hAnsi="Times New Roman" w:cs="Times New Roman"/>
          <w:sz w:val="28"/>
          <w:szCs w:val="28"/>
        </w:rPr>
      </w:pPr>
    </w:p>
    <w:p w:rsidR="00B5617B" w:rsidRPr="00802D35" w:rsidRDefault="00B5617B" w:rsidP="00B5617B">
      <w:pPr>
        <w:widowControl w:val="0"/>
        <w:tabs>
          <w:tab w:val="left" w:pos="993"/>
        </w:tabs>
        <w:spacing w:after="0" w:line="240" w:lineRule="auto"/>
        <w:ind w:firstLine="567"/>
        <w:jc w:val="right"/>
        <w:rPr>
          <w:rFonts w:ascii="Times New Roman" w:hAnsi="Times New Roman" w:cs="Times New Roman"/>
          <w:sz w:val="28"/>
          <w:szCs w:val="28"/>
        </w:rPr>
      </w:pPr>
      <m:oMath>
        <m:r>
          <w:rPr>
            <w:rFonts w:ascii="Cambria Math" w:hAnsi="Cambria Math" w:cs="Times New Roman"/>
            <w:sz w:val="28"/>
            <w:szCs w:val="28"/>
          </w:rPr>
          <m:t>MSW= </m:t>
        </m:r>
        <m:f>
          <m:fPr>
            <m:ctrlPr>
              <w:rPr>
                <w:rFonts w:ascii="Cambria Math" w:hAnsi="Cambria Math" w:cs="Times New Roman"/>
                <w:i/>
                <w:iCs/>
                <w:sz w:val="28"/>
                <w:szCs w:val="28"/>
              </w:rPr>
            </m:ctrlPr>
          </m:fPr>
          <m:num>
            <m:r>
              <m:rPr>
                <m:sty m:val="p"/>
              </m:rPr>
              <w:rPr>
                <w:rFonts w:ascii="Cambria Math" w:hAnsi="Cambria Math" w:cs="Times New Roman"/>
                <w:sz w:val="28"/>
                <w:szCs w:val="28"/>
              </w:rPr>
              <m:t>S</m:t>
            </m:r>
            <m:r>
              <m:rPr>
                <m:sty m:val="p"/>
              </m:rPr>
              <w:rPr>
                <w:rFonts w:ascii="Cambria Math" w:hAnsi="Cambria Math" w:cs="Times New Roman"/>
                <w:sz w:val="28"/>
                <w:szCs w:val="28"/>
                <w:vertAlign w:val="superscript"/>
              </w:rPr>
              <m:t>2</m:t>
            </m:r>
            <m:r>
              <m:rPr>
                <m:sty m:val="p"/>
              </m:rPr>
              <w:rPr>
                <w:rFonts w:ascii="Cambria Math" w:hAnsi="Cambria Math" w:cs="Times New Roman"/>
                <w:sz w:val="28"/>
                <w:szCs w:val="28"/>
                <w:vertAlign w:val="subscript"/>
              </w:rPr>
              <m:t>R</m:t>
            </m:r>
          </m:num>
          <m:den>
            <m:r>
              <w:rPr>
                <w:rFonts w:ascii="Cambria Math" w:hAnsi="Cambria Math" w:cs="Times New Roman"/>
                <w:sz w:val="28"/>
                <w:szCs w:val="28"/>
              </w:rPr>
              <m:t>dƒ</m:t>
            </m:r>
            <m:r>
              <w:rPr>
                <w:rFonts w:ascii="Cambria Math" w:hAnsi="Cambria Math" w:cs="Times New Roman"/>
                <w:sz w:val="28"/>
                <w:szCs w:val="28"/>
                <w:vertAlign w:val="subscript"/>
              </w:rPr>
              <m:t>w</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SSW</m:t>
            </m:r>
          </m:num>
          <m:den>
            <m:r>
              <w:rPr>
                <w:rFonts w:ascii="Cambria Math" w:hAnsi="Cambria Math" w:cs="Times New Roman"/>
                <w:sz w:val="28"/>
                <w:szCs w:val="28"/>
              </w:rPr>
              <m:t>n-v</m:t>
            </m:r>
          </m:den>
        </m:f>
      </m:oMath>
      <w:r w:rsidRPr="00802D35">
        <w:rPr>
          <w:rFonts w:ascii="Times New Roman" w:hAnsi="Times New Roman" w:cs="Times New Roman"/>
          <w:sz w:val="28"/>
          <w:szCs w:val="28"/>
        </w:rPr>
        <w:t xml:space="preserve">                                             (25),</w:t>
      </w:r>
    </w:p>
    <w:p w:rsidR="00B5617B" w:rsidRPr="00802D35" w:rsidRDefault="00B5617B" w:rsidP="00B5617B">
      <w:pPr>
        <w:widowControl w:val="0"/>
        <w:tabs>
          <w:tab w:val="left" w:pos="993"/>
        </w:tabs>
        <w:spacing w:after="0" w:line="240" w:lineRule="auto"/>
        <w:ind w:firstLine="567"/>
        <w:jc w:val="both"/>
        <w:rPr>
          <w:rFonts w:ascii="Times New Roman" w:hAnsi="Times New Roman" w:cs="Times New Roman"/>
          <w:sz w:val="28"/>
          <w:szCs w:val="28"/>
        </w:rPr>
      </w:pPr>
    </w:p>
    <w:p w:rsidR="00B5617B" w:rsidRPr="00802D35" w:rsidRDefault="00B5617B" w:rsidP="00B5617B">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 xml:space="preserve">где: </w:t>
      </w:r>
    </w:p>
    <w:p w:rsidR="00B5617B" w:rsidRPr="00802D35" w:rsidRDefault="00B5617B" w:rsidP="00B5617B">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i/>
          <w:sz w:val="28"/>
          <w:szCs w:val="28"/>
        </w:rPr>
        <w:t xml:space="preserve">SST </w:t>
      </w:r>
      <w:r w:rsidRPr="00802D35">
        <w:rPr>
          <w:rFonts w:ascii="Times New Roman" w:hAnsi="Times New Roman" w:cs="Times New Roman"/>
          <w:sz w:val="28"/>
          <w:szCs w:val="28"/>
        </w:rPr>
        <w:t>– полная вариативность в модели, при которой SST=SSA + SSW;</w:t>
      </w:r>
    </w:p>
    <w:p w:rsidR="00B5617B" w:rsidRPr="00802D35" w:rsidRDefault="00B5617B" w:rsidP="00B5617B">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i/>
          <w:sz w:val="28"/>
          <w:szCs w:val="28"/>
        </w:rPr>
        <w:t>SSA</w:t>
      </w:r>
      <w:r w:rsidRPr="00802D35">
        <w:rPr>
          <w:rFonts w:ascii="Times New Roman" w:hAnsi="Times New Roman" w:cs="Times New Roman"/>
          <w:sz w:val="28"/>
          <w:szCs w:val="28"/>
        </w:rPr>
        <w:t xml:space="preserve"> – межгрупповая вариативность;</w:t>
      </w:r>
    </w:p>
    <w:p w:rsidR="00B5617B" w:rsidRPr="00802D35" w:rsidRDefault="00B5617B" w:rsidP="00B5617B">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i/>
          <w:sz w:val="28"/>
          <w:szCs w:val="28"/>
        </w:rPr>
        <w:t>SSW</w:t>
      </w:r>
      <w:r w:rsidRPr="00802D35">
        <w:rPr>
          <w:rFonts w:ascii="Times New Roman" w:hAnsi="Times New Roman" w:cs="Times New Roman"/>
          <w:sz w:val="28"/>
          <w:szCs w:val="28"/>
        </w:rPr>
        <w:t xml:space="preserve"> – внутригрупповая вариативность;</w:t>
      </w:r>
    </w:p>
    <w:p w:rsidR="00B5617B" w:rsidRPr="00802D35" w:rsidRDefault="00B5617B" w:rsidP="00B5617B">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MST – полная средняя вариативность;</w:t>
      </w:r>
    </w:p>
    <w:p w:rsidR="00B5617B" w:rsidRPr="00802D35" w:rsidRDefault="00B5617B" w:rsidP="00B5617B">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MSA – межгрупповая средняя вариативность;</w:t>
      </w:r>
    </w:p>
    <w:p w:rsidR="00B5617B" w:rsidRPr="00802D35" w:rsidRDefault="00B5617B" w:rsidP="00B5617B">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MSW – внутригрупповая средняя вариативность;</w:t>
      </w:r>
    </w:p>
    <w:p w:rsidR="00B5617B" w:rsidRPr="00802D35" w:rsidRDefault="00B5617B" w:rsidP="00B5617B">
      <w:pPr>
        <w:widowControl w:val="0"/>
        <w:tabs>
          <w:tab w:val="left" w:pos="993"/>
        </w:tabs>
        <w:spacing w:after="0" w:line="240" w:lineRule="auto"/>
        <w:ind w:firstLine="567"/>
        <w:jc w:val="both"/>
        <w:rPr>
          <w:rStyle w:val="af"/>
          <w:rFonts w:ascii="Times New Roman" w:hAnsi="Times New Roman" w:cs="Times New Roman"/>
          <w:b w:val="0"/>
          <w:iCs/>
          <w:color w:val="000000"/>
          <w:sz w:val="28"/>
          <w:szCs w:val="28"/>
        </w:rPr>
      </w:pPr>
      <w:r w:rsidRPr="00802D35">
        <w:rPr>
          <w:rStyle w:val="af"/>
          <w:rFonts w:ascii="Times New Roman" w:hAnsi="Times New Roman" w:cs="Times New Roman"/>
          <w:b w:val="0"/>
          <w:i/>
          <w:iCs/>
          <w:color w:val="000000"/>
          <w:sz w:val="28"/>
          <w:szCs w:val="28"/>
        </w:rPr>
        <w:t>df</w:t>
      </w:r>
      <w:r w:rsidRPr="00802D35">
        <w:rPr>
          <w:rStyle w:val="af"/>
          <w:rFonts w:ascii="Times New Roman" w:hAnsi="Times New Roman" w:cs="Times New Roman"/>
          <w:b w:val="0"/>
          <w:iCs/>
          <w:color w:val="000000"/>
          <w:sz w:val="28"/>
          <w:szCs w:val="28"/>
        </w:rPr>
        <w:t xml:space="preserve"> – число степеней свободы</w:t>
      </w:r>
      <w:r w:rsidRPr="00802D35">
        <w:rPr>
          <w:rStyle w:val="af"/>
          <w:rFonts w:ascii="Times New Roman" w:hAnsi="Times New Roman" w:cs="Times New Roman"/>
          <w:iCs/>
          <w:color w:val="000000"/>
          <w:sz w:val="28"/>
          <w:szCs w:val="28"/>
        </w:rPr>
        <w:t>;</w:t>
      </w:r>
    </w:p>
    <w:p w:rsidR="00B5617B" w:rsidRPr="00802D35" w:rsidRDefault="00B5617B" w:rsidP="00B5617B">
      <w:pPr>
        <w:widowControl w:val="0"/>
        <w:tabs>
          <w:tab w:val="left" w:pos="993"/>
        </w:tabs>
        <w:spacing w:after="0" w:line="240" w:lineRule="auto"/>
        <w:ind w:firstLine="567"/>
        <w:jc w:val="both"/>
        <w:rPr>
          <w:rFonts w:ascii="Times New Roman" w:hAnsi="Times New Roman" w:cs="Times New Roman"/>
          <w:sz w:val="28"/>
          <w:szCs w:val="28"/>
        </w:rPr>
      </w:pPr>
      <w:r w:rsidRPr="00802D35">
        <w:rPr>
          <w:rStyle w:val="af"/>
          <w:rFonts w:ascii="Times New Roman" w:hAnsi="Times New Roman" w:cs="Times New Roman"/>
          <w:b w:val="0"/>
          <w:i/>
          <w:iCs/>
          <w:color w:val="000000"/>
          <w:sz w:val="28"/>
          <w:szCs w:val="28"/>
        </w:rPr>
        <w:t xml:space="preserve">SS </w:t>
      </w:r>
      <w:r w:rsidRPr="00802D35">
        <w:rPr>
          <w:rStyle w:val="af"/>
          <w:rFonts w:ascii="Times New Roman" w:hAnsi="Times New Roman" w:cs="Times New Roman"/>
          <w:b w:val="0"/>
          <w:iCs/>
          <w:color w:val="000000"/>
          <w:sz w:val="28"/>
          <w:szCs w:val="28"/>
        </w:rPr>
        <w:t>–</w:t>
      </w:r>
      <w:r w:rsidRPr="00802D35">
        <w:rPr>
          <w:rStyle w:val="af"/>
          <w:rFonts w:ascii="Times New Roman" w:hAnsi="Times New Roman" w:cs="Times New Roman"/>
          <w:iCs/>
          <w:color w:val="000000"/>
          <w:sz w:val="28"/>
          <w:szCs w:val="28"/>
        </w:rPr>
        <w:t xml:space="preserve"> </w:t>
      </w:r>
      <w:r w:rsidRPr="00802D35">
        <w:rPr>
          <w:rFonts w:ascii="Times New Roman" w:hAnsi="Times New Roman" w:cs="Times New Roman"/>
          <w:sz w:val="28"/>
          <w:szCs w:val="28"/>
        </w:rPr>
        <w:t>сумма квадратов стандартных отклонений;</w:t>
      </w:r>
    </w:p>
    <w:p w:rsidR="00B5617B" w:rsidRPr="00802D35" w:rsidRDefault="00B5617B" w:rsidP="00B5617B">
      <w:pPr>
        <w:spacing w:after="0" w:line="240" w:lineRule="auto"/>
        <w:ind w:firstLine="567"/>
        <w:jc w:val="both"/>
        <w:rPr>
          <w:rFonts w:ascii="Times New Roman" w:hAnsi="Times New Roman" w:cs="Times New Roman"/>
          <w:sz w:val="28"/>
          <w:szCs w:val="28"/>
        </w:rPr>
      </w:pPr>
      <w:r w:rsidRPr="00802D35">
        <w:rPr>
          <w:rStyle w:val="af"/>
          <w:rFonts w:ascii="Times New Roman" w:hAnsi="Times New Roman" w:cs="Times New Roman"/>
          <w:b w:val="0"/>
          <w:i/>
          <w:iCs/>
          <w:color w:val="000000"/>
          <w:sz w:val="28"/>
          <w:szCs w:val="28"/>
        </w:rPr>
        <w:t>MS</w:t>
      </w:r>
      <w:r w:rsidRPr="00802D35">
        <w:rPr>
          <w:rStyle w:val="af"/>
          <w:rFonts w:ascii="Times New Roman" w:hAnsi="Times New Roman" w:cs="Times New Roman"/>
          <w:b w:val="0"/>
          <w:iCs/>
          <w:color w:val="000000"/>
          <w:sz w:val="28"/>
          <w:szCs w:val="28"/>
        </w:rPr>
        <w:t xml:space="preserve"> – значения средних квадратов</w:t>
      </w:r>
      <w:r w:rsidRPr="00802D35">
        <w:rPr>
          <w:rFonts w:ascii="Times New Roman" w:hAnsi="Times New Roman" w:cs="Times New Roman"/>
          <w:sz w:val="28"/>
          <w:szCs w:val="28"/>
        </w:rPr>
        <w:t xml:space="preserve"> [</w:t>
      </w:r>
      <w:r w:rsidR="000B0564" w:rsidRPr="00802D35">
        <w:rPr>
          <w:rFonts w:ascii="Times New Roman" w:hAnsi="Times New Roman" w:cs="Times New Roman"/>
          <w:sz w:val="28"/>
          <w:szCs w:val="28"/>
        </w:rPr>
        <w:t>113</w:t>
      </w:r>
      <w:r w:rsidRPr="00802D35">
        <w:rPr>
          <w:rFonts w:ascii="Times New Roman" w:hAnsi="Times New Roman" w:cs="Times New Roman"/>
          <w:sz w:val="28"/>
          <w:szCs w:val="28"/>
        </w:rPr>
        <w:t>].</w:t>
      </w:r>
    </w:p>
    <w:p w:rsidR="00B5617B" w:rsidRPr="00802D35" w:rsidRDefault="00B5617B" w:rsidP="00B5617B">
      <w:pPr>
        <w:spacing w:after="0" w:line="240" w:lineRule="auto"/>
        <w:ind w:firstLine="567"/>
        <w:jc w:val="both"/>
        <w:rPr>
          <w:rFonts w:ascii="Times New Roman" w:hAnsi="Times New Roman" w:cs="Times New Roman"/>
          <w:sz w:val="28"/>
          <w:szCs w:val="28"/>
        </w:rPr>
      </w:pPr>
    </w:p>
    <w:p w:rsidR="00B5617B" w:rsidRPr="00802D35" w:rsidRDefault="00B5617B" w:rsidP="00B5617B">
      <w:pPr>
        <w:spacing w:after="0" w:line="240" w:lineRule="auto"/>
        <w:ind w:firstLine="567"/>
        <w:jc w:val="both"/>
        <w:rPr>
          <w:rStyle w:val="af"/>
          <w:rFonts w:ascii="Times New Roman" w:hAnsi="Times New Roman" w:cs="Times New Roman"/>
          <w:b w:val="0"/>
          <w:sz w:val="28"/>
          <w:szCs w:val="28"/>
          <w:shd w:val="clear" w:color="auto" w:fill="FFFFFF"/>
        </w:rPr>
      </w:pPr>
      <w:r w:rsidRPr="00802D35">
        <w:rPr>
          <w:rFonts w:ascii="Times New Roman" w:hAnsi="Times New Roman" w:cs="Times New Roman"/>
          <w:sz w:val="28"/>
          <w:szCs w:val="28"/>
        </w:rPr>
        <w:t xml:space="preserve">Для каждой модели также просчитаны </w:t>
      </w:r>
      <w:r w:rsidRPr="00802D35">
        <w:rPr>
          <w:rStyle w:val="af"/>
          <w:rFonts w:ascii="Times New Roman" w:hAnsi="Times New Roman" w:cs="Times New Roman"/>
          <w:b w:val="0"/>
          <w:sz w:val="28"/>
          <w:szCs w:val="28"/>
          <w:shd w:val="clear" w:color="auto" w:fill="FFFFFF"/>
        </w:rPr>
        <w:t>MSE - mean squared error – среднеквадратичная ошибка</w:t>
      </w:r>
      <w:r w:rsidRPr="00802D35">
        <w:rPr>
          <w:rStyle w:val="af"/>
          <w:rFonts w:ascii="Times New Roman" w:hAnsi="Times New Roman" w:cs="Times New Roman"/>
          <w:sz w:val="28"/>
          <w:szCs w:val="28"/>
          <w:shd w:val="clear" w:color="auto" w:fill="FFFFFF"/>
        </w:rPr>
        <w:t>:</w:t>
      </w:r>
    </w:p>
    <w:p w:rsidR="00B5617B" w:rsidRPr="00802D35" w:rsidRDefault="00B5617B" w:rsidP="00B5617B">
      <w:pPr>
        <w:spacing w:after="0" w:line="240" w:lineRule="auto"/>
        <w:ind w:firstLine="567"/>
        <w:jc w:val="both"/>
        <w:rPr>
          <w:rStyle w:val="af"/>
          <w:rFonts w:ascii="Times New Roman" w:hAnsi="Times New Roman" w:cs="Times New Roman"/>
          <w:b w:val="0"/>
          <w:sz w:val="28"/>
          <w:szCs w:val="28"/>
          <w:shd w:val="clear" w:color="auto" w:fill="FFFFFF"/>
        </w:rPr>
      </w:pPr>
    </w:p>
    <w:p w:rsidR="00B5617B" w:rsidRPr="00802D35" w:rsidRDefault="00B5617B" w:rsidP="00B5617B">
      <w:pPr>
        <w:spacing w:after="0" w:line="240" w:lineRule="auto"/>
        <w:ind w:firstLine="567"/>
        <w:jc w:val="right"/>
        <w:rPr>
          <w:rFonts w:ascii="Times New Roman" w:hAnsi="Times New Roman" w:cs="Times New Roman"/>
          <w:sz w:val="28"/>
          <w:szCs w:val="28"/>
        </w:rPr>
      </w:pPr>
      <m:oMath>
        <m:r>
          <w:rPr>
            <w:rFonts w:ascii="Cambria Math" w:hAnsi="Cambria Math"/>
            <w:sz w:val="32"/>
            <w:szCs w:val="32"/>
          </w:rPr>
          <m:t xml:space="preserve">MSE=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n</m:t>
            </m:r>
          </m:den>
        </m:f>
        <m:nary>
          <m:naryPr>
            <m:chr m:val="∑"/>
            <m:limLoc m:val="undOvr"/>
            <m:ctrlPr>
              <w:rPr>
                <w:rFonts w:ascii="Cambria Math" w:hAnsi="Cambria Math"/>
                <w:i/>
                <w:sz w:val="32"/>
                <w:szCs w:val="32"/>
              </w:rPr>
            </m:ctrlPr>
          </m:naryPr>
          <m:sub>
            <m:r>
              <w:rPr>
                <w:rFonts w:ascii="Cambria Math" w:hAnsi="Cambria Math"/>
                <w:sz w:val="32"/>
                <w:szCs w:val="32"/>
              </w:rPr>
              <m:t>i=1</m:t>
            </m:r>
          </m:sub>
          <m:sup>
            <m:r>
              <w:rPr>
                <w:rFonts w:ascii="Cambria Math" w:hAnsi="Cambria Math"/>
                <w:sz w:val="32"/>
                <w:szCs w:val="32"/>
              </w:rPr>
              <m:t>n</m:t>
            </m:r>
          </m:sup>
          <m:e>
            <m:sSub>
              <m:sSubPr>
                <m:ctrlPr>
                  <w:rPr>
                    <w:rFonts w:ascii="Cambria Math" w:hAnsi="Cambria Math"/>
                    <w:i/>
                    <w:sz w:val="32"/>
                    <w:szCs w:val="32"/>
                  </w:rPr>
                </m:ctrlPr>
              </m:sSubPr>
              <m:e>
                <m:r>
                  <w:rPr>
                    <w:rFonts w:ascii="Cambria Math" w:hAnsi="Cambria Math"/>
                    <w:sz w:val="32"/>
                    <w:szCs w:val="32"/>
                  </w:rPr>
                  <m:t>Y</m:t>
                </m:r>
              </m:e>
              <m:sub>
                <m:r>
                  <w:rPr>
                    <w:rFonts w:ascii="Cambria Math" w:hAnsi="Cambria Math"/>
                    <w:sz w:val="32"/>
                    <w:szCs w:val="32"/>
                  </w:rPr>
                  <m:t>t</m:t>
                </m:r>
              </m:sub>
            </m:sSub>
            <m:r>
              <w:rPr>
                <w:rFonts w:ascii="Cambria Math" w:hAnsi="Cambria Math"/>
                <w:sz w:val="32"/>
                <w:szCs w:val="32"/>
              </w:rPr>
              <m:t xml:space="preserve">- </m:t>
            </m:r>
            <m:sSubSup>
              <m:sSubSupPr>
                <m:ctrlPr>
                  <w:rPr>
                    <w:rFonts w:ascii="Cambria Math" w:hAnsi="Cambria Math"/>
                    <w:i/>
                    <w:sz w:val="32"/>
                    <w:szCs w:val="32"/>
                  </w:rPr>
                </m:ctrlPr>
              </m:sSubSupPr>
              <m:e>
                <m:r>
                  <w:rPr>
                    <w:rFonts w:ascii="Cambria Math" w:hAnsi="Cambria Math"/>
                    <w:sz w:val="32"/>
                    <w:szCs w:val="32"/>
                  </w:rPr>
                  <m:t>Y</m:t>
                </m:r>
              </m:e>
              <m:sub>
                <m:r>
                  <w:rPr>
                    <w:rFonts w:ascii="Cambria Math" w:hAnsi="Cambria Math"/>
                    <w:sz w:val="32"/>
                    <w:szCs w:val="32"/>
                  </w:rPr>
                  <m:t>t</m:t>
                </m:r>
              </m:sub>
              <m:sup>
                <m:r>
                  <w:rPr>
                    <w:rFonts w:ascii="Cambria Math" w:hAnsi="Cambria Math"/>
                    <w:sz w:val="32"/>
                    <w:szCs w:val="32"/>
                  </w:rPr>
                  <m:t>^</m:t>
                </m:r>
              </m:sup>
            </m:sSubSup>
          </m:e>
        </m:nary>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σ</m:t>
                </m:r>
              </m:e>
              <m:sup>
                <m:r>
                  <w:rPr>
                    <w:rFonts w:ascii="Cambria Math" w:hAnsi="Cambria Math"/>
                    <w:sz w:val="32"/>
                    <w:szCs w:val="32"/>
                  </w:rPr>
                  <m:t>2</m:t>
                </m:r>
              </m:sup>
            </m:sSup>
          </m:num>
          <m:den>
            <m:r>
              <w:rPr>
                <w:rFonts w:ascii="Cambria Math" w:hAnsi="Cambria Math"/>
                <w:sz w:val="32"/>
                <w:szCs w:val="32"/>
              </w:rPr>
              <m:t>n</m:t>
            </m:r>
          </m:den>
        </m:f>
      </m:oMath>
      <w:r w:rsidRPr="00802D35">
        <w:rPr>
          <w:rFonts w:ascii="Times New Roman" w:eastAsiaTheme="minorEastAsia" w:hAnsi="Times New Roman" w:cs="Times New Roman"/>
          <w:sz w:val="32"/>
          <w:szCs w:val="32"/>
        </w:rPr>
        <w:t xml:space="preserve">                                   </w:t>
      </w:r>
      <w:r w:rsidRPr="00802D35">
        <w:rPr>
          <w:rFonts w:ascii="Times New Roman" w:eastAsiaTheme="minorEastAsia" w:hAnsi="Times New Roman" w:cs="Times New Roman"/>
          <w:sz w:val="28"/>
          <w:szCs w:val="28"/>
        </w:rPr>
        <w:t>(26),</w:t>
      </w:r>
    </w:p>
    <w:p w:rsidR="00B5617B" w:rsidRPr="00802D35" w:rsidRDefault="00B5617B" w:rsidP="00B5617B">
      <w:pPr>
        <w:spacing w:after="0" w:line="240" w:lineRule="auto"/>
        <w:ind w:firstLine="567"/>
        <w:jc w:val="both"/>
        <w:rPr>
          <w:rFonts w:ascii="Times New Roman" w:hAnsi="Times New Roman" w:cs="Times New Roman"/>
          <w:sz w:val="28"/>
          <w:szCs w:val="28"/>
        </w:rPr>
      </w:pPr>
    </w:p>
    <w:p w:rsidR="00B5617B" w:rsidRPr="00802D35" w:rsidRDefault="00B5617B" w:rsidP="00B5617B">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где: </w:t>
      </w:r>
    </w:p>
    <w:p w:rsidR="00B5617B" w:rsidRPr="00802D35" w:rsidRDefault="00B5617B" w:rsidP="00B5617B">
      <w:pPr>
        <w:widowControl w:val="0"/>
        <w:spacing w:after="0" w:line="240" w:lineRule="auto"/>
        <w:ind w:firstLine="567"/>
        <w:jc w:val="both"/>
        <w:rPr>
          <w:rFonts w:ascii="Times New Roman" w:hAnsi="Times New Roman"/>
          <w:sz w:val="28"/>
          <w:szCs w:val="28"/>
        </w:rPr>
      </w:pPr>
      <w:r w:rsidRPr="00802D35">
        <w:rPr>
          <w:rFonts w:ascii="Times New Roman" w:hAnsi="Times New Roman"/>
          <w:i/>
          <w:sz w:val="28"/>
          <w:szCs w:val="28"/>
        </w:rPr>
        <w:t>Y</w:t>
      </w:r>
      <w:r w:rsidRPr="00802D35">
        <w:rPr>
          <w:rFonts w:ascii="Times New Roman" w:hAnsi="Times New Roman"/>
          <w:i/>
          <w:sz w:val="28"/>
          <w:szCs w:val="28"/>
          <w:vertAlign w:val="subscript"/>
        </w:rPr>
        <w:t xml:space="preserve">t </w:t>
      </w:r>
      <w:r w:rsidRPr="00802D35">
        <w:rPr>
          <w:rFonts w:ascii="Times New Roman" w:hAnsi="Times New Roman"/>
          <w:sz w:val="28"/>
          <w:szCs w:val="28"/>
        </w:rPr>
        <w:t>– фактические значения факторов;</w:t>
      </w:r>
    </w:p>
    <w:p w:rsidR="00B5617B" w:rsidRPr="00802D35" w:rsidRDefault="00B5617B" w:rsidP="00B5617B">
      <w:pPr>
        <w:widowControl w:val="0"/>
        <w:spacing w:after="0" w:line="240" w:lineRule="auto"/>
        <w:ind w:firstLine="567"/>
        <w:jc w:val="both"/>
        <w:rPr>
          <w:rFonts w:ascii="Times New Roman" w:hAnsi="Times New Roman"/>
          <w:sz w:val="28"/>
          <w:szCs w:val="28"/>
        </w:rPr>
      </w:pPr>
      <w:r w:rsidRPr="00802D35">
        <w:rPr>
          <w:rFonts w:ascii="Times New Roman" w:hAnsi="Times New Roman"/>
          <w:i/>
          <w:sz w:val="28"/>
          <w:szCs w:val="28"/>
        </w:rPr>
        <w:t>Y</w:t>
      </w:r>
      <w:r w:rsidRPr="00802D35">
        <w:rPr>
          <w:rFonts w:ascii="Times New Roman" w:hAnsi="Times New Roman"/>
          <w:i/>
          <w:sz w:val="28"/>
          <w:szCs w:val="28"/>
          <w:vertAlign w:val="subscript"/>
        </w:rPr>
        <w:t>t</w:t>
      </w:r>
      <w:r w:rsidRPr="00802D35">
        <w:rPr>
          <w:rFonts w:ascii="Times New Roman" w:hAnsi="Times New Roman"/>
          <w:i/>
          <w:sz w:val="28"/>
          <w:szCs w:val="28"/>
          <w:vertAlign w:val="superscript"/>
        </w:rPr>
        <w:t>^</w:t>
      </w:r>
      <w:r w:rsidRPr="00802D35">
        <w:rPr>
          <w:rFonts w:ascii="Times New Roman" w:hAnsi="Times New Roman"/>
          <w:sz w:val="28"/>
          <w:szCs w:val="28"/>
        </w:rPr>
        <w:t>-  прогнозные значения факторов;</w:t>
      </w:r>
    </w:p>
    <w:p w:rsidR="00B5617B" w:rsidRPr="00802D35" w:rsidRDefault="00B5617B" w:rsidP="00B5617B">
      <w:pPr>
        <w:widowControl w:val="0"/>
        <w:spacing w:after="0" w:line="240" w:lineRule="auto"/>
        <w:ind w:firstLine="567"/>
        <w:jc w:val="both"/>
        <w:rPr>
          <w:rFonts w:ascii="Times New Roman" w:hAnsi="Times New Roman"/>
          <w:sz w:val="28"/>
          <w:szCs w:val="28"/>
        </w:rPr>
      </w:pPr>
      <w:r w:rsidRPr="00802D35">
        <w:rPr>
          <w:rFonts w:ascii="Times New Roman" w:hAnsi="Times New Roman"/>
          <w:i/>
          <w:sz w:val="28"/>
          <w:szCs w:val="28"/>
        </w:rPr>
        <w:t>n</w:t>
      </w:r>
      <w:r w:rsidRPr="00802D35">
        <w:rPr>
          <w:rFonts w:ascii="Times New Roman" w:hAnsi="Times New Roman"/>
          <w:sz w:val="28"/>
          <w:szCs w:val="28"/>
        </w:rPr>
        <w:t xml:space="preserve"> – количество рассматриваемых периодов.</w:t>
      </w:r>
    </w:p>
    <w:p w:rsidR="00B5617B" w:rsidRPr="00802D35" w:rsidRDefault="00B5617B" w:rsidP="00B5617B">
      <w:pPr>
        <w:spacing w:after="0" w:line="240" w:lineRule="auto"/>
        <w:ind w:firstLine="567"/>
        <w:jc w:val="both"/>
        <w:rPr>
          <w:rFonts w:ascii="Times New Roman" w:hAnsi="Times New Roman" w:cs="Times New Roman"/>
          <w:sz w:val="28"/>
          <w:szCs w:val="28"/>
        </w:rPr>
      </w:pPr>
    </w:p>
    <w:p w:rsidR="00B5617B" w:rsidRPr="00802D35" w:rsidRDefault="00B5617B" w:rsidP="00B5617B">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Для исследования мультиколлинеарности регрессионной модели были использованы коэффициенты увеличения дисперсии VIF</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 i = 1,…, n:</w:t>
      </w:r>
    </w:p>
    <w:p w:rsidR="00B5617B" w:rsidRPr="00802D35" w:rsidRDefault="00B5617B" w:rsidP="00B5617B">
      <w:pPr>
        <w:spacing w:after="0" w:line="240" w:lineRule="auto"/>
        <w:ind w:firstLine="567"/>
        <w:jc w:val="both"/>
        <w:rPr>
          <w:rFonts w:ascii="Times New Roman" w:hAnsi="Times New Roman" w:cs="Times New Roman"/>
          <w:sz w:val="28"/>
          <w:szCs w:val="28"/>
        </w:rPr>
      </w:pPr>
    </w:p>
    <w:p w:rsidR="00B5617B" w:rsidRPr="00802D35" w:rsidRDefault="00FF4C7E" w:rsidP="00B5617B">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32"/>
                <w:szCs w:val="32"/>
              </w:rPr>
            </m:ctrlPr>
          </m:sSubPr>
          <m:e>
            <m:r>
              <w:rPr>
                <w:rFonts w:ascii="Cambria Math" w:hAnsi="Cambria Math" w:cs="Times New Roman"/>
                <w:sz w:val="32"/>
                <w:szCs w:val="32"/>
              </w:rPr>
              <m:t>VIF</m:t>
            </m:r>
          </m:e>
          <m:sub>
            <m:r>
              <w:rPr>
                <w:rFonts w:ascii="Cambria Math" w:hAnsi="Cambria Math" w:cs="Times New Roman"/>
                <w:sz w:val="32"/>
                <w:szCs w:val="32"/>
              </w:rPr>
              <m:t>i</m:t>
            </m:r>
          </m:sub>
        </m:sSub>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1-</m:t>
            </m:r>
            <m:sSubSup>
              <m:sSubSupPr>
                <m:ctrlPr>
                  <w:rPr>
                    <w:rFonts w:ascii="Cambria Math" w:hAnsi="Cambria Math" w:cs="Times New Roman"/>
                    <w:i/>
                    <w:sz w:val="32"/>
                    <w:szCs w:val="32"/>
                  </w:rPr>
                </m:ctrlPr>
              </m:sSubSupPr>
              <m:e>
                <m:r>
                  <w:rPr>
                    <w:rFonts w:ascii="Cambria Math" w:hAnsi="Cambria Math" w:cs="Times New Roman"/>
                    <w:sz w:val="32"/>
                    <w:szCs w:val="32"/>
                  </w:rPr>
                  <m:t>R</m:t>
                </m:r>
              </m:e>
              <m:sub>
                <m:r>
                  <w:rPr>
                    <w:rFonts w:ascii="Cambria Math" w:hAnsi="Cambria Math" w:cs="Times New Roman"/>
                    <w:sz w:val="32"/>
                    <w:szCs w:val="32"/>
                  </w:rPr>
                  <m:t>i</m:t>
                </m:r>
              </m:sub>
              <m:sup>
                <m:r>
                  <w:rPr>
                    <w:rFonts w:ascii="Cambria Math" w:hAnsi="Cambria Math" w:cs="Times New Roman"/>
                    <w:sz w:val="32"/>
                    <w:szCs w:val="32"/>
                  </w:rPr>
                  <m:t>2</m:t>
                </m:r>
              </m:sup>
            </m:sSubSup>
          </m:den>
        </m:f>
      </m:oMath>
      <w:r w:rsidR="00B5617B" w:rsidRPr="00802D35">
        <w:rPr>
          <w:rFonts w:ascii="Times New Roman" w:eastAsiaTheme="minorEastAsia" w:hAnsi="Times New Roman" w:cs="Times New Roman"/>
          <w:sz w:val="28"/>
          <w:szCs w:val="28"/>
        </w:rPr>
        <w:t xml:space="preserve">                                                        (27),</w:t>
      </w:r>
    </w:p>
    <w:p w:rsidR="00B5617B" w:rsidRPr="00802D35" w:rsidRDefault="00B5617B" w:rsidP="00B5617B">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где: </w:t>
      </w:r>
    </w:p>
    <w:p w:rsidR="00B5617B" w:rsidRPr="00802D35" w:rsidRDefault="00B5617B" w:rsidP="00B5617B">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i/>
          <w:sz w:val="28"/>
          <w:szCs w:val="28"/>
        </w:rPr>
        <w:t>R</w:t>
      </w:r>
      <w:r w:rsidRPr="00802D35">
        <w:rPr>
          <w:rFonts w:ascii="Times New Roman" w:hAnsi="Times New Roman" w:cs="Times New Roman"/>
          <w:i/>
          <w:sz w:val="28"/>
          <w:szCs w:val="28"/>
          <w:vertAlign w:val="subscript"/>
        </w:rPr>
        <w:t>i</w:t>
      </w:r>
      <w:r w:rsidRPr="00802D35">
        <w:rPr>
          <w:rFonts w:ascii="Times New Roman" w:hAnsi="Times New Roman" w:cs="Times New Roman"/>
          <w:i/>
          <w:sz w:val="28"/>
          <w:szCs w:val="28"/>
          <w:vertAlign w:val="superscript"/>
        </w:rPr>
        <w:t>2</w:t>
      </w:r>
      <w:r w:rsidRPr="00802D35">
        <w:rPr>
          <w:rFonts w:ascii="Times New Roman" w:hAnsi="Times New Roman" w:cs="Times New Roman"/>
          <w:sz w:val="28"/>
          <w:szCs w:val="28"/>
        </w:rPr>
        <w:t xml:space="preserve"> – коэффициент детерминации.</w:t>
      </w:r>
    </w:p>
    <w:p w:rsidR="00B5617B" w:rsidRPr="00802D35" w:rsidRDefault="00B5617B" w:rsidP="00B5617B">
      <w:pPr>
        <w:spacing w:after="0" w:line="240" w:lineRule="auto"/>
        <w:ind w:firstLine="567"/>
        <w:jc w:val="both"/>
        <w:rPr>
          <w:rFonts w:ascii="Times New Roman" w:hAnsi="Times New Roman" w:cs="Times New Roman"/>
          <w:sz w:val="28"/>
          <w:szCs w:val="28"/>
        </w:rPr>
      </w:pPr>
    </w:p>
    <w:p w:rsidR="00B5617B" w:rsidRPr="00802D35" w:rsidRDefault="00B5617B" w:rsidP="00B5617B">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Если VIF</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&gt; 5, по крайней мере для одного i, считается, что мультиколлинеарность регрессионной матрицы X велика. При значении VIF</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&gt; 10, мультиколлинеарность считается критичной.</w:t>
      </w:r>
    </w:p>
    <w:p w:rsidR="00B5617B" w:rsidRPr="00802D35" w:rsidRDefault="00B5617B" w:rsidP="00B5617B">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Применение ридж-регрессии позволит осуществить регуляризацию параметров и увеличить интерпретируемость модели.</w:t>
      </w:r>
    </w:p>
    <w:p w:rsidR="00B5617B" w:rsidRPr="00802D35" w:rsidRDefault="00B5617B" w:rsidP="00B5617B">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В качестве факторов, оказывающих влияние на изменение объема вкладов в банках Казахстана были взяты темпы роста как внешних для банка, так и внутренних показателей (таблица 6).</w:t>
      </w:r>
    </w:p>
    <w:p w:rsidR="00B5617B" w:rsidRPr="00802D35" w:rsidRDefault="00B5617B" w:rsidP="00B5617B">
      <w:pPr>
        <w:pStyle w:val="Default"/>
        <w:ind w:firstLine="567"/>
        <w:jc w:val="both"/>
        <w:rPr>
          <w:rStyle w:val="HTML"/>
          <w:i w:val="0"/>
          <w:color w:val="auto"/>
          <w:sz w:val="28"/>
          <w:szCs w:val="28"/>
          <w:shd w:val="clear" w:color="auto" w:fill="FFFFFF"/>
        </w:rPr>
      </w:pPr>
      <w:r w:rsidRPr="00802D35">
        <w:rPr>
          <w:rStyle w:val="HTML"/>
          <w:i w:val="0"/>
          <w:color w:val="auto"/>
          <w:sz w:val="28"/>
          <w:szCs w:val="28"/>
          <w:shd w:val="clear" w:color="auto" w:fill="FFFFFF"/>
        </w:rPr>
        <w:t>Таким образом, в общей сложности для анализа нами было использован 21 фактор, степень влияния которых на уровень депозитов в отдельных банках следует оценить [</w:t>
      </w:r>
      <w:r w:rsidR="000B0564" w:rsidRPr="00802D35">
        <w:rPr>
          <w:rStyle w:val="HTML"/>
          <w:i w:val="0"/>
          <w:color w:val="auto"/>
          <w:sz w:val="28"/>
          <w:szCs w:val="28"/>
          <w:shd w:val="clear" w:color="auto" w:fill="FFFFFF"/>
        </w:rPr>
        <w:t>114</w:t>
      </w:r>
      <w:r w:rsidRPr="00802D35">
        <w:rPr>
          <w:rStyle w:val="HTML"/>
          <w:i w:val="0"/>
          <w:color w:val="auto"/>
          <w:sz w:val="28"/>
          <w:szCs w:val="28"/>
          <w:shd w:val="clear" w:color="auto" w:fill="FFFFFF"/>
        </w:rPr>
        <w:t>].</w:t>
      </w:r>
    </w:p>
    <w:p w:rsidR="00B5617B" w:rsidRPr="00802D35" w:rsidRDefault="00B5617B" w:rsidP="00B5617B">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Для анализа были использованы данные Национального банка Республики Казахстан, Бюро по статистике Республики Казахстан, а также показатели деятельности на основании данных информационной системы Bloomberg по АО Halyk Bank, 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 xml:space="preserve">Банк, АО </w:t>
      </w:r>
      <w:r w:rsidRPr="00802D35">
        <w:rPr>
          <w:rFonts w:ascii="Times New Roman" w:hAnsi="Times New Roman" w:cs="Times New Roman"/>
          <w:color w:val="000000"/>
          <w:sz w:val="28"/>
          <w:szCs w:val="28"/>
          <w:shd w:val="clear" w:color="auto" w:fill="FFFFFF"/>
        </w:rPr>
        <w:t>Kaspi bank</w:t>
      </w:r>
      <w:r w:rsidRPr="00802D35">
        <w:rPr>
          <w:rStyle w:val="HTML"/>
          <w:rFonts w:ascii="Times New Roman" w:hAnsi="Times New Roman" w:cs="Times New Roman"/>
          <w:i w:val="0"/>
          <w:sz w:val="28"/>
          <w:szCs w:val="28"/>
          <w:shd w:val="clear" w:color="auto" w:fill="FFFFFF"/>
        </w:rPr>
        <w:t xml:space="preserve"> за период с 2010 по 2020 гг.</w:t>
      </w:r>
    </w:p>
    <w:p w:rsidR="00B5617B" w:rsidRPr="00802D35" w:rsidRDefault="00B5617B" w:rsidP="00B5617B">
      <w:pPr>
        <w:spacing w:after="0" w:line="240" w:lineRule="auto"/>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lastRenderedPageBreak/>
        <w:t>Таблица 6 – Факторы ридж-регрессии</w:t>
      </w:r>
    </w:p>
    <w:p w:rsidR="00B5617B" w:rsidRPr="00802D35" w:rsidRDefault="00B5617B" w:rsidP="00B5617B">
      <w:pPr>
        <w:spacing w:after="0" w:line="240" w:lineRule="auto"/>
        <w:jc w:val="both"/>
        <w:rPr>
          <w:rStyle w:val="HTML"/>
          <w:rFonts w:ascii="Times New Roman" w:hAnsi="Times New Roman" w:cs="Times New Roman"/>
          <w:i w:val="0"/>
          <w:sz w:val="28"/>
          <w:szCs w:val="28"/>
          <w:shd w:val="clear" w:color="auto" w:fill="FFFFFF"/>
        </w:rPr>
      </w:pPr>
    </w:p>
    <w:tbl>
      <w:tblPr>
        <w:tblStyle w:val="af1"/>
        <w:tblW w:w="0" w:type="auto"/>
        <w:tblLook w:val="04A0" w:firstRow="1" w:lastRow="0" w:firstColumn="1" w:lastColumn="0" w:noHBand="0" w:noVBand="1"/>
      </w:tblPr>
      <w:tblGrid>
        <w:gridCol w:w="1552"/>
        <w:gridCol w:w="3372"/>
        <w:gridCol w:w="1552"/>
        <w:gridCol w:w="3095"/>
      </w:tblGrid>
      <w:tr w:rsidR="00B5617B" w:rsidRPr="00802D35" w:rsidTr="000306C6">
        <w:tc>
          <w:tcPr>
            <w:tcW w:w="4924" w:type="dxa"/>
            <w:gridSpan w:val="2"/>
          </w:tcPr>
          <w:p w:rsidR="00B5617B" w:rsidRPr="00802D35" w:rsidRDefault="00B5617B"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Внешние для банка</w:t>
            </w:r>
          </w:p>
        </w:tc>
        <w:tc>
          <w:tcPr>
            <w:tcW w:w="4647" w:type="dxa"/>
            <w:gridSpan w:val="2"/>
          </w:tcPr>
          <w:p w:rsidR="00B5617B" w:rsidRPr="00802D35" w:rsidRDefault="00B5617B"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Внутренние для банка</w:t>
            </w:r>
          </w:p>
        </w:tc>
      </w:tr>
      <w:tr w:rsidR="00B5617B" w:rsidRPr="00802D35" w:rsidTr="000306C6">
        <w:tc>
          <w:tcPr>
            <w:tcW w:w="1552"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 xml:space="preserve">Обозначение </w:t>
            </w:r>
          </w:p>
        </w:tc>
        <w:tc>
          <w:tcPr>
            <w:tcW w:w="3372"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Показатель, темп роста в %</w:t>
            </w:r>
          </w:p>
        </w:tc>
        <w:tc>
          <w:tcPr>
            <w:tcW w:w="1552"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 xml:space="preserve">Обозначение </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Показатель, темп роста в %</w:t>
            </w:r>
          </w:p>
        </w:tc>
      </w:tr>
      <w:tr w:rsidR="00B5617B" w:rsidRPr="00802D35" w:rsidTr="000306C6">
        <w:tc>
          <w:tcPr>
            <w:tcW w:w="1552" w:type="dxa"/>
          </w:tcPr>
          <w:p w:rsidR="00B5617B" w:rsidRPr="00802D35" w:rsidRDefault="00B5617B" w:rsidP="000306C6">
            <w:pPr>
              <w:jc w:val="both"/>
              <w:rPr>
                <w:rStyle w:val="HTML"/>
                <w:rFonts w:ascii="Times New Roman" w:hAnsi="Times New Roman" w:cs="Times New Roman"/>
                <w:i w:val="0"/>
                <w:sz w:val="24"/>
                <w:szCs w:val="24"/>
                <w:shd w:val="clear" w:color="auto" w:fill="FFFFFF"/>
                <w:vertAlign w:val="subscript"/>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1</w:t>
            </w:r>
          </w:p>
        </w:tc>
        <w:tc>
          <w:tcPr>
            <w:tcW w:w="3372"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Уровень доходов населения</w:t>
            </w:r>
            <w:r w:rsidRPr="00802D35">
              <w:rPr>
                <w:rStyle w:val="HTML"/>
                <w:rFonts w:ascii="Times New Roman" w:hAnsi="Times New Roman" w:cs="Times New Roman"/>
                <w:sz w:val="24"/>
                <w:szCs w:val="24"/>
                <w:shd w:val="clear" w:color="auto" w:fill="FFFFFF"/>
              </w:rPr>
              <w:t xml:space="preserve"> </w:t>
            </w:r>
          </w:p>
        </w:tc>
        <w:tc>
          <w:tcPr>
            <w:tcW w:w="1552" w:type="dxa"/>
          </w:tcPr>
          <w:p w:rsidR="00B5617B" w:rsidRPr="00802D35" w:rsidRDefault="00B5617B" w:rsidP="000306C6">
            <w:pPr>
              <w:jc w:val="both"/>
              <w:rPr>
                <w:rStyle w:val="HTML"/>
                <w:rFonts w:ascii="Times New Roman" w:hAnsi="Times New Roman" w:cs="Times New Roman"/>
                <w:i w:val="0"/>
                <w:sz w:val="24"/>
                <w:szCs w:val="24"/>
                <w:shd w:val="clear" w:color="auto" w:fill="FFFFFF"/>
                <w:vertAlign w:val="subscript"/>
              </w:rPr>
            </w:pPr>
            <w:r w:rsidRPr="00802D35">
              <w:rPr>
                <w:rStyle w:val="HTML"/>
                <w:rFonts w:ascii="Times New Roman" w:hAnsi="Times New Roman" w:cs="Times New Roman"/>
                <w:sz w:val="24"/>
                <w:szCs w:val="24"/>
                <w:shd w:val="clear" w:color="auto" w:fill="FFFFFF"/>
              </w:rPr>
              <w:t>IN</w:t>
            </w:r>
            <w:r w:rsidRPr="00802D35">
              <w:rPr>
                <w:rStyle w:val="HTML"/>
                <w:rFonts w:ascii="Times New Roman" w:hAnsi="Times New Roman" w:cs="Times New Roman"/>
                <w:sz w:val="24"/>
                <w:szCs w:val="24"/>
                <w:shd w:val="clear" w:color="auto" w:fill="FFFFFF"/>
                <w:vertAlign w:val="subscript"/>
              </w:rPr>
              <w:t>1</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Чистые активы</w:t>
            </w:r>
          </w:p>
        </w:tc>
      </w:tr>
      <w:tr w:rsidR="00B5617B" w:rsidRPr="00802D35" w:rsidTr="000306C6">
        <w:trPr>
          <w:trHeight w:val="176"/>
        </w:trPr>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2</w:t>
            </w:r>
          </w:p>
        </w:tc>
        <w:tc>
          <w:tcPr>
            <w:tcW w:w="3372" w:type="dxa"/>
          </w:tcPr>
          <w:p w:rsidR="00B5617B" w:rsidRPr="00802D35" w:rsidRDefault="00B5617B" w:rsidP="000306C6">
            <w:pPr>
              <w:rPr>
                <w:rStyle w:val="HTML"/>
                <w:rFonts w:ascii="Times New Roman" w:hAnsi="Times New Roman" w:cs="Times New Roman"/>
                <w:i w:val="0"/>
                <w:sz w:val="24"/>
                <w:szCs w:val="24"/>
                <w:shd w:val="clear" w:color="auto" w:fill="FFFFFF"/>
              </w:rPr>
            </w:pPr>
            <w:r w:rsidRPr="00802D35">
              <w:rPr>
                <w:rFonts w:ascii="Times New Roman" w:eastAsia="Times New Roman" w:hAnsi="Times New Roman" w:cs="Times New Roman"/>
                <w:sz w:val="24"/>
                <w:szCs w:val="24"/>
                <w:lang w:eastAsia="ru-RU"/>
              </w:rPr>
              <w:t>Ставка рефинансирования</w:t>
            </w:r>
          </w:p>
        </w:tc>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IN</w:t>
            </w:r>
            <w:r w:rsidRPr="00802D35">
              <w:rPr>
                <w:rStyle w:val="HTML"/>
                <w:rFonts w:ascii="Times New Roman" w:hAnsi="Times New Roman" w:cs="Times New Roman"/>
                <w:sz w:val="24"/>
                <w:szCs w:val="24"/>
                <w:shd w:val="clear" w:color="auto" w:fill="FFFFFF"/>
                <w:vertAlign w:val="subscript"/>
              </w:rPr>
              <w:t>2</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 xml:space="preserve">Капитал </w:t>
            </w: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3</w:t>
            </w:r>
          </w:p>
        </w:tc>
        <w:tc>
          <w:tcPr>
            <w:tcW w:w="3372" w:type="dxa"/>
          </w:tcPr>
          <w:p w:rsidR="00B5617B" w:rsidRPr="00802D35" w:rsidRDefault="00B5617B" w:rsidP="000306C6">
            <w:pP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Инфляция</w:t>
            </w:r>
          </w:p>
          <w:p w:rsidR="00B5617B" w:rsidRPr="00802D35" w:rsidRDefault="00B5617B" w:rsidP="000306C6">
            <w:pPr>
              <w:jc w:val="both"/>
              <w:rPr>
                <w:rStyle w:val="HTML"/>
                <w:rFonts w:ascii="Times New Roman" w:hAnsi="Times New Roman" w:cs="Times New Roman"/>
                <w:i w:val="0"/>
                <w:sz w:val="24"/>
                <w:szCs w:val="24"/>
                <w:shd w:val="clear" w:color="auto" w:fill="FFFFFF"/>
              </w:rPr>
            </w:pPr>
          </w:p>
        </w:tc>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IN</w:t>
            </w:r>
            <w:r w:rsidRPr="00802D35">
              <w:rPr>
                <w:rStyle w:val="HTML"/>
                <w:rFonts w:ascii="Times New Roman" w:hAnsi="Times New Roman" w:cs="Times New Roman"/>
                <w:sz w:val="24"/>
                <w:szCs w:val="24"/>
                <w:shd w:val="clear" w:color="auto" w:fill="FFFFFF"/>
                <w:vertAlign w:val="subscript"/>
              </w:rPr>
              <w:t>3</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Уровень проблемных кредитов</w:t>
            </w: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4</w:t>
            </w:r>
          </w:p>
        </w:tc>
        <w:tc>
          <w:tcPr>
            <w:tcW w:w="3372" w:type="dxa"/>
          </w:tcPr>
          <w:p w:rsidR="00B5617B" w:rsidRPr="00802D35" w:rsidRDefault="00B5617B" w:rsidP="000306C6">
            <w:pPr>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Внешние займы</w:t>
            </w:r>
          </w:p>
        </w:tc>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IN</w:t>
            </w:r>
            <w:r w:rsidRPr="00802D35">
              <w:rPr>
                <w:rStyle w:val="HTML"/>
                <w:rFonts w:ascii="Times New Roman" w:hAnsi="Times New Roman" w:cs="Times New Roman"/>
                <w:sz w:val="24"/>
                <w:szCs w:val="24"/>
                <w:shd w:val="clear" w:color="auto" w:fill="FFFFFF"/>
                <w:vertAlign w:val="subscript"/>
              </w:rPr>
              <w:t>4</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Ликвидность</w:t>
            </w: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5</w:t>
            </w:r>
          </w:p>
        </w:tc>
        <w:tc>
          <w:tcPr>
            <w:tcW w:w="3372"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Трудоспособное население</w:t>
            </w:r>
          </w:p>
        </w:tc>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IN</w:t>
            </w:r>
            <w:r w:rsidRPr="00802D35">
              <w:rPr>
                <w:rStyle w:val="HTML"/>
                <w:rFonts w:ascii="Times New Roman" w:hAnsi="Times New Roman" w:cs="Times New Roman"/>
                <w:sz w:val="24"/>
                <w:szCs w:val="24"/>
                <w:shd w:val="clear" w:color="auto" w:fill="FFFFFF"/>
                <w:vertAlign w:val="subscript"/>
              </w:rPr>
              <w:t>5</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Объем выпуска облигаций</w:t>
            </w: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6</w:t>
            </w:r>
          </w:p>
        </w:tc>
        <w:tc>
          <w:tcPr>
            <w:tcW w:w="3372"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ВВП</w:t>
            </w:r>
          </w:p>
        </w:tc>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IN</w:t>
            </w:r>
            <w:r w:rsidRPr="00802D35">
              <w:rPr>
                <w:rStyle w:val="HTML"/>
                <w:rFonts w:ascii="Times New Roman" w:hAnsi="Times New Roman" w:cs="Times New Roman"/>
                <w:sz w:val="24"/>
                <w:szCs w:val="24"/>
                <w:shd w:val="clear" w:color="auto" w:fill="FFFFFF"/>
                <w:vertAlign w:val="subscript"/>
              </w:rPr>
              <w:t>6</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Ставка межбанковского кредита</w:t>
            </w: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7</w:t>
            </w:r>
          </w:p>
        </w:tc>
        <w:tc>
          <w:tcPr>
            <w:tcW w:w="3372" w:type="dxa"/>
          </w:tcPr>
          <w:p w:rsidR="00B5617B" w:rsidRPr="00802D35" w:rsidRDefault="00B5617B" w:rsidP="000306C6">
            <w:pPr>
              <w:rPr>
                <w:rFonts w:ascii="Times New Roman" w:hAnsi="Times New Roman" w:cs="Times New Roman"/>
                <w:sz w:val="24"/>
                <w:szCs w:val="24"/>
              </w:rPr>
            </w:pPr>
            <w:r w:rsidRPr="00802D35">
              <w:rPr>
                <w:rFonts w:ascii="Times New Roman" w:hAnsi="Times New Roman" w:cs="Times New Roman"/>
                <w:sz w:val="24"/>
                <w:szCs w:val="24"/>
              </w:rPr>
              <w:t>Безработица</w:t>
            </w:r>
          </w:p>
          <w:p w:rsidR="00B5617B" w:rsidRPr="00802D35" w:rsidRDefault="00B5617B" w:rsidP="000306C6">
            <w:pPr>
              <w:jc w:val="both"/>
              <w:rPr>
                <w:rFonts w:ascii="Times New Roman" w:hAnsi="Times New Roman" w:cs="Times New Roman"/>
                <w:sz w:val="24"/>
                <w:szCs w:val="24"/>
              </w:rPr>
            </w:pPr>
          </w:p>
        </w:tc>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IN</w:t>
            </w:r>
            <w:r w:rsidRPr="00802D35">
              <w:rPr>
                <w:rStyle w:val="HTML"/>
                <w:rFonts w:ascii="Times New Roman" w:hAnsi="Times New Roman" w:cs="Times New Roman"/>
                <w:sz w:val="24"/>
                <w:szCs w:val="24"/>
                <w:shd w:val="clear" w:color="auto" w:fill="FFFFFF"/>
                <w:vertAlign w:val="subscript"/>
              </w:rPr>
              <w:t>7</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color w:val="000000"/>
                <w:sz w:val="24"/>
                <w:szCs w:val="24"/>
              </w:rPr>
              <w:t>Процент ставка по депозитам</w:t>
            </w: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8</w:t>
            </w:r>
          </w:p>
        </w:tc>
        <w:tc>
          <w:tcPr>
            <w:tcW w:w="3372" w:type="dxa"/>
          </w:tcPr>
          <w:p w:rsidR="00B5617B" w:rsidRPr="00802D35" w:rsidRDefault="00B5617B" w:rsidP="000306C6">
            <w:pPr>
              <w:rPr>
                <w:rFonts w:ascii="Times New Roman" w:hAnsi="Times New Roman" w:cs="Times New Roman"/>
                <w:sz w:val="24"/>
                <w:szCs w:val="24"/>
              </w:rPr>
            </w:pPr>
            <w:r w:rsidRPr="00802D35">
              <w:rPr>
                <w:rFonts w:ascii="Times New Roman" w:hAnsi="Times New Roman" w:cs="Times New Roman"/>
                <w:sz w:val="24"/>
                <w:szCs w:val="24"/>
              </w:rPr>
              <w:t>Курс доллар/тенге</w:t>
            </w:r>
          </w:p>
        </w:tc>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IN</w:t>
            </w:r>
            <w:r w:rsidRPr="00802D35">
              <w:rPr>
                <w:rStyle w:val="HTML"/>
                <w:rFonts w:ascii="Times New Roman" w:hAnsi="Times New Roman" w:cs="Times New Roman"/>
                <w:sz w:val="24"/>
                <w:szCs w:val="24"/>
                <w:shd w:val="clear" w:color="auto" w:fill="FFFFFF"/>
                <w:vertAlign w:val="subscript"/>
              </w:rPr>
              <w:t>8</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Рентабельность активов</w:t>
            </w: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9</w:t>
            </w:r>
          </w:p>
        </w:tc>
        <w:tc>
          <w:tcPr>
            <w:tcW w:w="3372" w:type="dxa"/>
          </w:tcPr>
          <w:p w:rsidR="00B5617B" w:rsidRPr="00802D35" w:rsidRDefault="00B5617B" w:rsidP="000306C6">
            <w:pPr>
              <w:rPr>
                <w:rFonts w:ascii="Times New Roman" w:hAnsi="Times New Roman" w:cs="Times New Roman"/>
                <w:sz w:val="24"/>
                <w:szCs w:val="24"/>
              </w:rPr>
            </w:pPr>
            <w:r w:rsidRPr="00802D35">
              <w:rPr>
                <w:rFonts w:ascii="Times New Roman" w:hAnsi="Times New Roman" w:cs="Times New Roman"/>
                <w:sz w:val="24"/>
                <w:szCs w:val="24"/>
              </w:rPr>
              <w:t>Курс евро/тенге</w:t>
            </w:r>
          </w:p>
        </w:tc>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IN</w:t>
            </w:r>
            <w:r w:rsidRPr="00802D35">
              <w:rPr>
                <w:rStyle w:val="HTML"/>
                <w:rFonts w:ascii="Times New Roman" w:hAnsi="Times New Roman" w:cs="Times New Roman"/>
                <w:sz w:val="24"/>
                <w:szCs w:val="24"/>
                <w:shd w:val="clear" w:color="auto" w:fill="FFFFFF"/>
                <w:vertAlign w:val="subscript"/>
              </w:rPr>
              <w:t>9</w:t>
            </w: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Рентабельность капитала</w:t>
            </w: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10</w:t>
            </w:r>
          </w:p>
        </w:tc>
        <w:tc>
          <w:tcPr>
            <w:tcW w:w="3372" w:type="dxa"/>
          </w:tcPr>
          <w:p w:rsidR="00B5617B" w:rsidRPr="00802D35" w:rsidRDefault="00B5617B" w:rsidP="000306C6">
            <w:pPr>
              <w:rPr>
                <w:rFonts w:ascii="Times New Roman" w:hAnsi="Times New Roman" w:cs="Times New Roman"/>
                <w:sz w:val="24"/>
                <w:szCs w:val="24"/>
              </w:rPr>
            </w:pPr>
            <w:r w:rsidRPr="00802D35">
              <w:rPr>
                <w:rFonts w:ascii="Times New Roman" w:hAnsi="Times New Roman" w:cs="Times New Roman"/>
                <w:sz w:val="24"/>
                <w:szCs w:val="24"/>
              </w:rPr>
              <w:t>Курс рубль/тенге</w:t>
            </w:r>
          </w:p>
        </w:tc>
        <w:tc>
          <w:tcPr>
            <w:tcW w:w="1552"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11</w:t>
            </w:r>
          </w:p>
        </w:tc>
        <w:tc>
          <w:tcPr>
            <w:tcW w:w="3372" w:type="dxa"/>
          </w:tcPr>
          <w:p w:rsidR="00B5617B" w:rsidRPr="00802D35" w:rsidRDefault="00B5617B" w:rsidP="000306C6">
            <w:pPr>
              <w:rPr>
                <w:rFonts w:ascii="Times New Roman" w:hAnsi="Times New Roman" w:cs="Times New Roman"/>
                <w:sz w:val="24"/>
                <w:szCs w:val="24"/>
              </w:rPr>
            </w:pPr>
            <w:r w:rsidRPr="00802D35">
              <w:rPr>
                <w:rFonts w:ascii="Times New Roman" w:hAnsi="Times New Roman" w:cs="Times New Roman"/>
                <w:sz w:val="24"/>
                <w:szCs w:val="24"/>
              </w:rPr>
              <w:t>Уровень экономической активности</w:t>
            </w:r>
          </w:p>
        </w:tc>
        <w:tc>
          <w:tcPr>
            <w:tcW w:w="1552"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p>
        </w:tc>
      </w:tr>
      <w:tr w:rsidR="00B5617B" w:rsidRPr="00802D35" w:rsidTr="000306C6">
        <w:tc>
          <w:tcPr>
            <w:tcW w:w="1552" w:type="dxa"/>
          </w:tcPr>
          <w:p w:rsidR="00B5617B" w:rsidRPr="00802D35" w:rsidRDefault="00B5617B" w:rsidP="000306C6">
            <w:pP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ЕХ</w:t>
            </w:r>
            <w:r w:rsidRPr="00802D35">
              <w:rPr>
                <w:rStyle w:val="HTML"/>
                <w:rFonts w:ascii="Times New Roman" w:hAnsi="Times New Roman" w:cs="Times New Roman"/>
                <w:sz w:val="24"/>
                <w:szCs w:val="24"/>
                <w:shd w:val="clear" w:color="auto" w:fill="FFFFFF"/>
                <w:vertAlign w:val="subscript"/>
              </w:rPr>
              <w:t>12</w:t>
            </w:r>
          </w:p>
        </w:tc>
        <w:tc>
          <w:tcPr>
            <w:tcW w:w="3372" w:type="dxa"/>
          </w:tcPr>
          <w:p w:rsidR="00B5617B" w:rsidRPr="00802D35" w:rsidRDefault="00B5617B" w:rsidP="000306C6">
            <w:pPr>
              <w:rPr>
                <w:rFonts w:ascii="Times New Roman" w:hAnsi="Times New Roman" w:cs="Times New Roman"/>
                <w:sz w:val="24"/>
                <w:szCs w:val="24"/>
              </w:rPr>
            </w:pPr>
            <w:r w:rsidRPr="00802D35">
              <w:rPr>
                <w:rFonts w:ascii="Times New Roman" w:hAnsi="Times New Roman" w:cs="Times New Roman"/>
                <w:sz w:val="24"/>
                <w:szCs w:val="24"/>
              </w:rPr>
              <w:t>Среднемесячная заработная плата</w:t>
            </w:r>
          </w:p>
        </w:tc>
        <w:tc>
          <w:tcPr>
            <w:tcW w:w="1552"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p>
        </w:tc>
        <w:tc>
          <w:tcPr>
            <w:tcW w:w="3095" w:type="dxa"/>
          </w:tcPr>
          <w:p w:rsidR="00B5617B" w:rsidRPr="00802D35" w:rsidRDefault="00B5617B" w:rsidP="000306C6">
            <w:pPr>
              <w:jc w:val="both"/>
              <w:rPr>
                <w:rStyle w:val="HTML"/>
                <w:rFonts w:ascii="Times New Roman" w:hAnsi="Times New Roman" w:cs="Times New Roman"/>
                <w:i w:val="0"/>
                <w:sz w:val="24"/>
                <w:szCs w:val="24"/>
                <w:shd w:val="clear" w:color="auto" w:fill="FFFFFF"/>
              </w:rPr>
            </w:pPr>
          </w:p>
        </w:tc>
      </w:tr>
      <w:tr w:rsidR="00B5617B" w:rsidRPr="00802D35" w:rsidTr="000306C6">
        <w:tc>
          <w:tcPr>
            <w:tcW w:w="9571" w:type="dxa"/>
            <w:gridSpan w:val="4"/>
          </w:tcPr>
          <w:p w:rsidR="00B5617B" w:rsidRPr="00802D35" w:rsidRDefault="00B5617B" w:rsidP="001F130A">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Примечание</w:t>
            </w:r>
            <w:r w:rsidR="001F130A" w:rsidRPr="00802D35">
              <w:rPr>
                <w:rStyle w:val="HTML"/>
                <w:rFonts w:ascii="Times New Roman" w:hAnsi="Times New Roman" w:cs="Times New Roman"/>
                <w:i w:val="0"/>
                <w:sz w:val="24"/>
                <w:szCs w:val="24"/>
                <w:shd w:val="clear" w:color="auto" w:fill="FFFFFF"/>
              </w:rPr>
              <w:t xml:space="preserve"> -</w:t>
            </w:r>
            <w:r w:rsidRPr="00802D35">
              <w:rPr>
                <w:rStyle w:val="HTML"/>
                <w:rFonts w:ascii="Times New Roman" w:hAnsi="Times New Roman" w:cs="Times New Roman"/>
                <w:i w:val="0"/>
                <w:sz w:val="24"/>
                <w:szCs w:val="24"/>
                <w:shd w:val="clear" w:color="auto" w:fill="FFFFFF"/>
              </w:rPr>
              <w:t xml:space="preserve"> составлено автором </w:t>
            </w:r>
          </w:p>
        </w:tc>
      </w:tr>
    </w:tbl>
    <w:p w:rsidR="00B5617B" w:rsidRPr="00802D35" w:rsidRDefault="00B5617B" w:rsidP="00B5617B">
      <w:pPr>
        <w:spacing w:after="0" w:line="240" w:lineRule="auto"/>
        <w:ind w:firstLine="567"/>
        <w:jc w:val="both"/>
        <w:rPr>
          <w:rStyle w:val="HTML"/>
          <w:rFonts w:ascii="Times New Roman" w:hAnsi="Times New Roman" w:cs="Times New Roman"/>
          <w:i w:val="0"/>
          <w:sz w:val="28"/>
          <w:szCs w:val="28"/>
          <w:shd w:val="clear" w:color="auto" w:fill="FFFFFF"/>
        </w:rPr>
      </w:pPr>
    </w:p>
    <w:p w:rsidR="00B5617B" w:rsidRPr="00802D35" w:rsidRDefault="00B5617B" w:rsidP="00B5617B">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Представленные в таблице 6 факторы были использованы для оценки влияния на объем привлекаемых вкладов казахстанскими банками АО Halyk Bank, 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 xml:space="preserve">Банк, АО </w:t>
      </w:r>
      <w:r w:rsidRPr="00802D35">
        <w:rPr>
          <w:rFonts w:ascii="Times New Roman" w:hAnsi="Times New Roman" w:cs="Times New Roman"/>
          <w:color w:val="000000"/>
          <w:sz w:val="28"/>
          <w:szCs w:val="28"/>
          <w:shd w:val="clear" w:color="auto" w:fill="FFFFFF"/>
        </w:rPr>
        <w:t>Kaspi bank</w:t>
      </w:r>
      <w:r w:rsidRPr="00802D35">
        <w:rPr>
          <w:rStyle w:val="HTML"/>
          <w:rFonts w:ascii="Times New Roman" w:hAnsi="Times New Roman" w:cs="Times New Roman"/>
          <w:i w:val="0"/>
          <w:sz w:val="28"/>
          <w:szCs w:val="28"/>
          <w:shd w:val="clear" w:color="auto" w:fill="FFFFFF"/>
        </w:rPr>
        <w:t xml:space="preserve"> в отдельности. Результаты представлены в таблицах ниже.</w:t>
      </w:r>
    </w:p>
    <w:p w:rsidR="00F433D8" w:rsidRPr="00802D35" w:rsidRDefault="00F433D8" w:rsidP="00F433D8">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 xml:space="preserve">С целью коррекции корреляционной модели в ридж-регрессии в случае оценки влияния показателей на объемы депозитов АО Halyk Bank в качестве λ был выбран показатель, при котором </w:t>
      </w:r>
      <w:r w:rsidRPr="00802D35">
        <w:rPr>
          <w:rFonts w:ascii="Times New Roman" w:hAnsi="Times New Roman" w:cs="Times New Roman"/>
          <w:sz w:val="28"/>
          <w:szCs w:val="28"/>
        </w:rPr>
        <w:t>MSE</w:t>
      </w:r>
      <w:r w:rsidRPr="00802D35">
        <w:rPr>
          <w:rFonts w:ascii="Times New Roman" w:hAnsi="Times New Roman" w:cs="Times New Roman"/>
          <w:sz w:val="28"/>
          <w:szCs w:val="28"/>
          <w:vertAlign w:val="subscript"/>
        </w:rPr>
        <w:t>λ</w:t>
      </w:r>
      <w:r w:rsidRPr="00802D35">
        <w:rPr>
          <w:rFonts w:ascii="Times New Roman" w:hAnsi="Times New Roman" w:cs="Times New Roman"/>
          <w:sz w:val="28"/>
          <w:szCs w:val="28"/>
        </w:rPr>
        <w:t xml:space="preserve"> оказалась минимальной</w:t>
      </w:r>
      <w:r w:rsidRPr="00802D35">
        <w:rPr>
          <w:rStyle w:val="HTML"/>
          <w:rFonts w:ascii="Times New Roman" w:hAnsi="Times New Roman" w:cs="Times New Roman"/>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λ = 0,024. Итоговые результаты корреляционной оценки по АО Halyk Bank представлены в таблице 7.</w:t>
      </w:r>
    </w:p>
    <w:p w:rsidR="00F433D8" w:rsidRPr="00802D35" w:rsidRDefault="00F433D8" w:rsidP="00F433D8">
      <w:pPr>
        <w:spacing w:after="0" w:line="240" w:lineRule="auto"/>
        <w:jc w:val="both"/>
        <w:rPr>
          <w:rStyle w:val="HTML"/>
          <w:rFonts w:ascii="Times New Roman" w:hAnsi="Times New Roman" w:cs="Times New Roman"/>
          <w:i w:val="0"/>
          <w:sz w:val="28"/>
          <w:szCs w:val="28"/>
          <w:shd w:val="clear" w:color="auto" w:fill="FFFFFF"/>
        </w:rPr>
      </w:pPr>
    </w:p>
    <w:p w:rsidR="00F433D8" w:rsidRPr="00802D35" w:rsidRDefault="00F433D8" w:rsidP="00F433D8">
      <w:pPr>
        <w:spacing w:after="0" w:line="240" w:lineRule="auto"/>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 xml:space="preserve">Таблица 7 – Показатели оценки влияния факторов на уровень вкладов АО Halyk Bank </w:t>
      </w:r>
    </w:p>
    <w:p w:rsidR="00F433D8" w:rsidRPr="00802D35" w:rsidRDefault="00F433D8" w:rsidP="00F433D8">
      <w:pPr>
        <w:spacing w:after="0" w:line="240" w:lineRule="auto"/>
        <w:jc w:val="both"/>
        <w:rPr>
          <w:rStyle w:val="HTML"/>
          <w:rFonts w:ascii="Times New Roman" w:hAnsi="Times New Roman" w:cs="Times New Roman"/>
          <w:i w:val="0"/>
          <w:sz w:val="28"/>
          <w:szCs w:val="28"/>
          <w:shd w:val="clear" w:color="auto" w:fill="FFFFFF"/>
        </w:rPr>
      </w:pPr>
    </w:p>
    <w:tbl>
      <w:tblPr>
        <w:tblStyle w:val="af1"/>
        <w:tblW w:w="0" w:type="auto"/>
        <w:tblLayout w:type="fixed"/>
        <w:tblLook w:val="04A0" w:firstRow="1" w:lastRow="0" w:firstColumn="1" w:lastColumn="0" w:noHBand="0" w:noVBand="1"/>
      </w:tblPr>
      <w:tblGrid>
        <w:gridCol w:w="4077"/>
        <w:gridCol w:w="1373"/>
        <w:gridCol w:w="1374"/>
        <w:gridCol w:w="1373"/>
        <w:gridCol w:w="1374"/>
      </w:tblGrid>
      <w:tr w:rsidR="00F433D8" w:rsidRPr="00802D35" w:rsidTr="000306C6">
        <w:tc>
          <w:tcPr>
            <w:tcW w:w="4077"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Показатели</w:t>
            </w:r>
          </w:p>
        </w:tc>
        <w:tc>
          <w:tcPr>
            <w:tcW w:w="1373" w:type="dxa"/>
          </w:tcPr>
          <w:p w:rsidR="00F433D8" w:rsidRPr="00802D35" w:rsidRDefault="00F433D8" w:rsidP="000306C6">
            <w:pPr>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Corr</w:t>
            </w:r>
          </w:p>
        </w:tc>
        <w:tc>
          <w:tcPr>
            <w:tcW w:w="1374" w:type="dxa"/>
          </w:tcPr>
          <w:p w:rsidR="00F433D8" w:rsidRPr="00802D35" w:rsidRDefault="00F433D8" w:rsidP="000306C6">
            <w:pPr>
              <w:jc w:val="center"/>
              <w:rPr>
                <w:rStyle w:val="HTML"/>
                <w:rFonts w:ascii="Times New Roman" w:hAnsi="Times New Roman" w:cs="Times New Roman"/>
                <w:sz w:val="24"/>
                <w:szCs w:val="24"/>
                <w:shd w:val="clear" w:color="auto" w:fill="FFFFFF"/>
                <w:vertAlign w:val="superscript"/>
              </w:rPr>
            </w:pPr>
            <w:r w:rsidRPr="00802D35">
              <w:rPr>
                <w:rFonts w:ascii="Times New Roman" w:hAnsi="Times New Roman" w:cs="Times New Roman"/>
                <w:i/>
                <w:sz w:val="24"/>
                <w:szCs w:val="24"/>
              </w:rPr>
              <w:t>R</w:t>
            </w:r>
            <w:r w:rsidRPr="00802D35">
              <w:rPr>
                <w:rFonts w:ascii="Times New Roman" w:hAnsi="Times New Roman" w:cs="Times New Roman"/>
                <w:i/>
                <w:sz w:val="24"/>
                <w:szCs w:val="24"/>
                <w:vertAlign w:val="superscript"/>
              </w:rPr>
              <w:t>2</w:t>
            </w:r>
          </w:p>
        </w:tc>
        <w:tc>
          <w:tcPr>
            <w:tcW w:w="1373" w:type="dxa"/>
          </w:tcPr>
          <w:p w:rsidR="00F433D8" w:rsidRPr="00802D35" w:rsidRDefault="00F433D8" w:rsidP="000306C6">
            <w:pPr>
              <w:jc w:val="center"/>
              <w:rPr>
                <w:rStyle w:val="HTML"/>
                <w:rFonts w:ascii="Times New Roman" w:hAnsi="Times New Roman" w:cs="Times New Roman"/>
                <w:sz w:val="24"/>
                <w:szCs w:val="24"/>
                <w:shd w:val="clear" w:color="auto" w:fill="FFFFFF"/>
              </w:rPr>
            </w:pPr>
            <w:r w:rsidRPr="00802D35">
              <w:rPr>
                <w:rFonts w:ascii="Times New Roman" w:hAnsi="Times New Roman" w:cs="Times New Roman"/>
                <w:i/>
                <w:sz w:val="24"/>
                <w:szCs w:val="24"/>
              </w:rPr>
              <w:t>VIF</w:t>
            </w:r>
          </w:p>
        </w:tc>
        <w:tc>
          <w:tcPr>
            <w:tcW w:w="1374" w:type="dxa"/>
          </w:tcPr>
          <w:p w:rsidR="00F433D8" w:rsidRPr="00802D35" w:rsidRDefault="00F433D8" w:rsidP="000306C6">
            <w:pPr>
              <w:jc w:val="center"/>
              <w:rPr>
                <w:rFonts w:ascii="Times New Roman" w:hAnsi="Times New Roman" w:cs="Times New Roman"/>
                <w:i/>
                <w:sz w:val="24"/>
                <w:szCs w:val="24"/>
              </w:rPr>
            </w:pPr>
            <w:r w:rsidRPr="00802D35">
              <w:rPr>
                <w:rFonts w:ascii="Times New Roman" w:hAnsi="Times New Roman" w:cs="Times New Roman"/>
                <w:i/>
                <w:sz w:val="24"/>
                <w:szCs w:val="24"/>
              </w:rPr>
              <w:t>MSE</w:t>
            </w:r>
          </w:p>
        </w:tc>
      </w:tr>
      <w:tr w:rsidR="00F433D8" w:rsidRPr="00802D35" w:rsidTr="000306C6">
        <w:tc>
          <w:tcPr>
            <w:tcW w:w="4077"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1</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2</w:t>
            </w:r>
          </w:p>
        </w:tc>
        <w:tc>
          <w:tcPr>
            <w:tcW w:w="1374" w:type="dxa"/>
          </w:tcPr>
          <w:p w:rsidR="00F433D8" w:rsidRPr="00802D35" w:rsidRDefault="00F433D8" w:rsidP="000306C6">
            <w:pPr>
              <w:jc w:val="center"/>
              <w:rPr>
                <w:rFonts w:ascii="Times New Roman" w:hAnsi="Times New Roman" w:cs="Times New Roman"/>
                <w:sz w:val="24"/>
                <w:szCs w:val="24"/>
              </w:rPr>
            </w:pPr>
            <w:r w:rsidRPr="00802D35">
              <w:rPr>
                <w:rFonts w:ascii="Times New Roman" w:hAnsi="Times New Roman" w:cs="Times New Roman"/>
                <w:sz w:val="24"/>
                <w:szCs w:val="24"/>
              </w:rPr>
              <w:t>3</w:t>
            </w:r>
          </w:p>
        </w:tc>
        <w:tc>
          <w:tcPr>
            <w:tcW w:w="1373" w:type="dxa"/>
          </w:tcPr>
          <w:p w:rsidR="00F433D8" w:rsidRPr="00802D35" w:rsidRDefault="00F433D8" w:rsidP="000306C6">
            <w:pPr>
              <w:jc w:val="center"/>
              <w:rPr>
                <w:rFonts w:ascii="Times New Roman" w:hAnsi="Times New Roman" w:cs="Times New Roman"/>
                <w:sz w:val="24"/>
                <w:szCs w:val="24"/>
              </w:rPr>
            </w:pPr>
            <w:r w:rsidRPr="00802D35">
              <w:rPr>
                <w:rFonts w:ascii="Times New Roman" w:hAnsi="Times New Roman" w:cs="Times New Roman"/>
                <w:sz w:val="24"/>
                <w:szCs w:val="24"/>
              </w:rPr>
              <w:t>4</w:t>
            </w:r>
          </w:p>
        </w:tc>
        <w:tc>
          <w:tcPr>
            <w:tcW w:w="1374" w:type="dxa"/>
          </w:tcPr>
          <w:p w:rsidR="00F433D8" w:rsidRPr="00802D35" w:rsidRDefault="00F433D8" w:rsidP="000306C6">
            <w:pPr>
              <w:jc w:val="center"/>
              <w:rPr>
                <w:rFonts w:ascii="Times New Roman" w:hAnsi="Times New Roman" w:cs="Times New Roman"/>
                <w:sz w:val="24"/>
                <w:szCs w:val="24"/>
              </w:rPr>
            </w:pPr>
            <w:r w:rsidRPr="00802D35">
              <w:rPr>
                <w:rFonts w:ascii="Times New Roman" w:hAnsi="Times New Roman" w:cs="Times New Roman"/>
                <w:sz w:val="24"/>
                <w:szCs w:val="24"/>
              </w:rPr>
              <w:t>5</w:t>
            </w:r>
          </w:p>
        </w:tc>
      </w:tr>
      <w:tr w:rsidR="00F433D8" w:rsidRPr="00802D35" w:rsidTr="000306C6">
        <w:tc>
          <w:tcPr>
            <w:tcW w:w="9571" w:type="dxa"/>
            <w:gridSpan w:val="5"/>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sz w:val="24"/>
                <w:szCs w:val="24"/>
                <w:shd w:val="clear" w:color="auto" w:fill="FFFFFF"/>
              </w:rPr>
              <w:t>Внешние факторы</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Уровень доходов населения</w:t>
            </w:r>
            <w:r w:rsidRPr="00802D35">
              <w:rPr>
                <w:rStyle w:val="HTML"/>
                <w:rFonts w:ascii="Times New Roman" w:hAnsi="Times New Roman" w:cs="Times New Roman"/>
                <w:sz w:val="24"/>
                <w:szCs w:val="24"/>
                <w:shd w:val="clear" w:color="auto" w:fill="FFFFFF"/>
              </w:rPr>
              <w:t xml:space="preserve"> </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0,510</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0,260</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1,333</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0,258</w:t>
            </w:r>
          </w:p>
        </w:tc>
      </w:tr>
      <w:tr w:rsidR="00F433D8" w:rsidRPr="00802D35" w:rsidTr="000306C6">
        <w:tc>
          <w:tcPr>
            <w:tcW w:w="4077" w:type="dxa"/>
          </w:tcPr>
          <w:p w:rsidR="00F433D8" w:rsidRPr="00802D35" w:rsidRDefault="00F433D8" w:rsidP="000306C6">
            <w:pPr>
              <w:rPr>
                <w:rStyle w:val="HTML"/>
                <w:rFonts w:ascii="Times New Roman" w:hAnsi="Times New Roman" w:cs="Times New Roman"/>
                <w:i w:val="0"/>
                <w:sz w:val="24"/>
                <w:szCs w:val="24"/>
                <w:shd w:val="clear" w:color="auto" w:fill="FFFFFF"/>
              </w:rPr>
            </w:pPr>
            <w:r w:rsidRPr="00802D35">
              <w:rPr>
                <w:rFonts w:ascii="Times New Roman" w:eastAsia="Times New Roman" w:hAnsi="Times New Roman" w:cs="Times New Roman"/>
                <w:sz w:val="24"/>
                <w:szCs w:val="24"/>
                <w:lang w:eastAsia="ru-RU"/>
              </w:rPr>
              <w:t>Ставка рефинансирования</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0,831</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0,691</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2,148</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0,160</w:t>
            </w:r>
          </w:p>
        </w:tc>
      </w:tr>
      <w:tr w:rsidR="00F433D8" w:rsidRPr="00802D35" w:rsidTr="000306C6">
        <w:tc>
          <w:tcPr>
            <w:tcW w:w="4077" w:type="dxa"/>
          </w:tcPr>
          <w:p w:rsidR="00F433D8" w:rsidRPr="00802D35" w:rsidRDefault="00F433D8" w:rsidP="000306C6">
            <w:pPr>
              <w:rPr>
                <w:rStyle w:val="HTML"/>
                <w:rFonts w:ascii="Times New Roman" w:hAnsi="Times New Roman" w:cs="Times New Roman"/>
                <w:i w:val="0"/>
                <w:sz w:val="24"/>
                <w:szCs w:val="24"/>
                <w:shd w:val="clear" w:color="auto" w:fill="FFFFFF"/>
              </w:rPr>
            </w:pPr>
            <w:r w:rsidRPr="00802D35">
              <w:rPr>
                <w:rFonts w:ascii="Times New Roman" w:eastAsia="Times New Roman" w:hAnsi="Times New Roman" w:cs="Times New Roman"/>
                <w:sz w:val="24"/>
                <w:szCs w:val="24"/>
                <w:lang w:eastAsia="ru-RU"/>
              </w:rPr>
              <w:t>Инфляция</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-0,195</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0,038</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1,037</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0,332</w:t>
            </w:r>
          </w:p>
        </w:tc>
      </w:tr>
      <w:tr w:rsidR="00F433D8" w:rsidRPr="00802D35" w:rsidTr="000306C6">
        <w:tc>
          <w:tcPr>
            <w:tcW w:w="4077" w:type="dxa"/>
          </w:tcPr>
          <w:p w:rsidR="00F433D8" w:rsidRPr="00802D35" w:rsidRDefault="00F433D8" w:rsidP="000306C6">
            <w:pPr>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Внешние займы</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-0,095</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0,009</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1,009</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0,341</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Трудоспособное население</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0,513</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0,264</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1,358</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0,253</w:t>
            </w:r>
          </w:p>
        </w:tc>
      </w:tr>
      <w:tr w:rsidR="00F433D8" w:rsidRPr="00802D35" w:rsidTr="008C0E8A">
        <w:tc>
          <w:tcPr>
            <w:tcW w:w="4077" w:type="dxa"/>
            <w:tcBorders>
              <w:bottom w:val="single" w:sz="4" w:space="0" w:color="auto"/>
            </w:tcBorders>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ВВП</w:t>
            </w:r>
          </w:p>
        </w:tc>
        <w:tc>
          <w:tcPr>
            <w:tcW w:w="1373" w:type="dxa"/>
            <w:tcBorders>
              <w:bottom w:val="single" w:sz="4" w:space="0" w:color="auto"/>
            </w:tcBorders>
            <w:vAlign w:val="center"/>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0,411</w:t>
            </w:r>
          </w:p>
        </w:tc>
        <w:tc>
          <w:tcPr>
            <w:tcW w:w="1374" w:type="dxa"/>
            <w:tcBorders>
              <w:bottom w:val="single" w:sz="4" w:space="0" w:color="auto"/>
            </w:tcBorders>
            <w:vAlign w:val="center"/>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0,169</w:t>
            </w:r>
          </w:p>
        </w:tc>
        <w:tc>
          <w:tcPr>
            <w:tcW w:w="1373" w:type="dxa"/>
            <w:tcBorders>
              <w:bottom w:val="single" w:sz="4" w:space="0" w:color="auto"/>
            </w:tcBorders>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1,204</w:t>
            </w:r>
          </w:p>
        </w:tc>
        <w:tc>
          <w:tcPr>
            <w:tcW w:w="1374" w:type="dxa"/>
            <w:tcBorders>
              <w:bottom w:val="single" w:sz="4" w:space="0" w:color="auto"/>
            </w:tcBorders>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0,286</w:t>
            </w:r>
          </w:p>
        </w:tc>
      </w:tr>
      <w:tr w:rsidR="00F433D8" w:rsidRPr="00802D35" w:rsidTr="008C0E8A">
        <w:tc>
          <w:tcPr>
            <w:tcW w:w="4077" w:type="dxa"/>
            <w:tcBorders>
              <w:bottom w:val="single" w:sz="4" w:space="0" w:color="auto"/>
            </w:tcBorders>
          </w:tcPr>
          <w:p w:rsidR="00F433D8" w:rsidRPr="00802D35" w:rsidRDefault="00F433D8" w:rsidP="00F433D8">
            <w:pPr>
              <w:rPr>
                <w:rFonts w:ascii="Times New Roman" w:hAnsi="Times New Roman" w:cs="Times New Roman"/>
                <w:sz w:val="24"/>
                <w:szCs w:val="24"/>
              </w:rPr>
            </w:pPr>
            <w:r w:rsidRPr="00802D35">
              <w:rPr>
                <w:rFonts w:ascii="Times New Roman" w:hAnsi="Times New Roman" w:cs="Times New Roman"/>
                <w:sz w:val="24"/>
                <w:szCs w:val="24"/>
              </w:rPr>
              <w:t>Безработица</w:t>
            </w:r>
          </w:p>
        </w:tc>
        <w:tc>
          <w:tcPr>
            <w:tcW w:w="1373" w:type="dxa"/>
            <w:tcBorders>
              <w:bottom w:val="single" w:sz="4" w:space="0" w:color="auto"/>
            </w:tcBorders>
          </w:tcPr>
          <w:p w:rsidR="00F433D8" w:rsidRPr="00802D35" w:rsidRDefault="00F433D8" w:rsidP="00F433D8">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-0,390</w:t>
            </w:r>
          </w:p>
        </w:tc>
        <w:tc>
          <w:tcPr>
            <w:tcW w:w="1374" w:type="dxa"/>
            <w:tcBorders>
              <w:bottom w:val="single" w:sz="4" w:space="0" w:color="auto"/>
            </w:tcBorders>
          </w:tcPr>
          <w:p w:rsidR="00F433D8" w:rsidRPr="00802D35" w:rsidRDefault="00F433D8" w:rsidP="00F433D8">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0,152</w:t>
            </w:r>
          </w:p>
        </w:tc>
        <w:tc>
          <w:tcPr>
            <w:tcW w:w="1373" w:type="dxa"/>
            <w:tcBorders>
              <w:bottom w:val="single" w:sz="4" w:space="0" w:color="auto"/>
            </w:tcBorders>
          </w:tcPr>
          <w:p w:rsidR="00F433D8" w:rsidRPr="00802D35" w:rsidRDefault="00F433D8" w:rsidP="00F433D8">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1,179</w:t>
            </w:r>
          </w:p>
        </w:tc>
        <w:tc>
          <w:tcPr>
            <w:tcW w:w="1374" w:type="dxa"/>
            <w:tcBorders>
              <w:bottom w:val="single" w:sz="4" w:space="0" w:color="auto"/>
            </w:tcBorders>
          </w:tcPr>
          <w:p w:rsidR="00F433D8" w:rsidRPr="00802D35" w:rsidRDefault="00F433D8" w:rsidP="00F433D8">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0,292</w:t>
            </w:r>
          </w:p>
        </w:tc>
      </w:tr>
      <w:tr w:rsidR="00F433D8" w:rsidRPr="00802D35" w:rsidTr="008C0E8A">
        <w:tc>
          <w:tcPr>
            <w:tcW w:w="4077" w:type="dxa"/>
            <w:tcBorders>
              <w:top w:val="single" w:sz="4" w:space="0" w:color="auto"/>
              <w:bottom w:val="single" w:sz="4" w:space="0" w:color="auto"/>
            </w:tcBorders>
          </w:tcPr>
          <w:p w:rsidR="00F433D8" w:rsidRPr="00802D35" w:rsidRDefault="00F433D8" w:rsidP="000306C6">
            <w:pPr>
              <w:rPr>
                <w:rFonts w:ascii="Times New Roman" w:hAnsi="Times New Roman" w:cs="Times New Roman"/>
                <w:sz w:val="24"/>
                <w:szCs w:val="24"/>
              </w:rPr>
            </w:pPr>
            <w:r w:rsidRPr="00802D35">
              <w:rPr>
                <w:rFonts w:ascii="Times New Roman" w:hAnsi="Times New Roman" w:cs="Times New Roman"/>
                <w:sz w:val="24"/>
                <w:szCs w:val="24"/>
              </w:rPr>
              <w:t>Курс доллар/тенге</w:t>
            </w:r>
          </w:p>
        </w:tc>
        <w:tc>
          <w:tcPr>
            <w:tcW w:w="1373" w:type="dxa"/>
            <w:tcBorders>
              <w:top w:val="single" w:sz="4" w:space="0" w:color="auto"/>
              <w:bottom w:val="single" w:sz="4" w:space="0" w:color="auto"/>
            </w:tcBorders>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0,786</w:t>
            </w:r>
          </w:p>
        </w:tc>
        <w:tc>
          <w:tcPr>
            <w:tcW w:w="1374" w:type="dxa"/>
            <w:tcBorders>
              <w:top w:val="single" w:sz="4" w:space="0" w:color="auto"/>
              <w:bottom w:val="single" w:sz="4" w:space="0" w:color="auto"/>
            </w:tcBorders>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0,617</w:t>
            </w:r>
          </w:p>
        </w:tc>
        <w:tc>
          <w:tcPr>
            <w:tcW w:w="1373" w:type="dxa"/>
            <w:tcBorders>
              <w:top w:val="single" w:sz="4" w:space="0" w:color="auto"/>
              <w:bottom w:val="single" w:sz="4" w:space="0" w:color="auto"/>
            </w:tcBorders>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2,611</w:t>
            </w:r>
          </w:p>
        </w:tc>
        <w:tc>
          <w:tcPr>
            <w:tcW w:w="1374" w:type="dxa"/>
            <w:tcBorders>
              <w:top w:val="single" w:sz="4" w:space="0" w:color="auto"/>
              <w:bottom w:val="single" w:sz="4" w:space="0" w:color="auto"/>
            </w:tcBorders>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0,132</w:t>
            </w:r>
          </w:p>
        </w:tc>
      </w:tr>
      <w:tr w:rsidR="00F433D8" w:rsidRPr="00802D35" w:rsidTr="008C0E8A">
        <w:tc>
          <w:tcPr>
            <w:tcW w:w="4077" w:type="dxa"/>
            <w:tcBorders>
              <w:top w:val="single" w:sz="4" w:space="0" w:color="auto"/>
              <w:left w:val="single" w:sz="4" w:space="0" w:color="auto"/>
              <w:bottom w:val="nil"/>
              <w:right w:val="single" w:sz="4" w:space="0" w:color="auto"/>
            </w:tcBorders>
          </w:tcPr>
          <w:p w:rsidR="00F433D8" w:rsidRPr="00802D35" w:rsidRDefault="00F433D8" w:rsidP="000306C6">
            <w:pPr>
              <w:rPr>
                <w:rFonts w:ascii="Times New Roman" w:hAnsi="Times New Roman" w:cs="Times New Roman"/>
                <w:sz w:val="24"/>
                <w:szCs w:val="24"/>
              </w:rPr>
            </w:pPr>
            <w:r w:rsidRPr="00802D35">
              <w:rPr>
                <w:rFonts w:ascii="Times New Roman" w:hAnsi="Times New Roman" w:cs="Times New Roman"/>
                <w:sz w:val="24"/>
                <w:szCs w:val="24"/>
              </w:rPr>
              <w:t>Курс евро/тенге</w:t>
            </w:r>
          </w:p>
        </w:tc>
        <w:tc>
          <w:tcPr>
            <w:tcW w:w="1373" w:type="dxa"/>
            <w:tcBorders>
              <w:top w:val="single" w:sz="4" w:space="0" w:color="auto"/>
              <w:left w:val="single" w:sz="4" w:space="0" w:color="auto"/>
              <w:bottom w:val="nil"/>
              <w:right w:val="single" w:sz="4" w:space="0" w:color="auto"/>
            </w:tcBorders>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0,302</w:t>
            </w:r>
          </w:p>
        </w:tc>
        <w:tc>
          <w:tcPr>
            <w:tcW w:w="1374" w:type="dxa"/>
            <w:tcBorders>
              <w:top w:val="single" w:sz="4" w:space="0" w:color="auto"/>
              <w:left w:val="single" w:sz="4" w:space="0" w:color="auto"/>
              <w:bottom w:val="nil"/>
              <w:right w:val="single" w:sz="4" w:space="0" w:color="auto"/>
            </w:tcBorders>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0,091</w:t>
            </w:r>
          </w:p>
        </w:tc>
        <w:tc>
          <w:tcPr>
            <w:tcW w:w="1373" w:type="dxa"/>
            <w:tcBorders>
              <w:top w:val="single" w:sz="4" w:space="0" w:color="auto"/>
              <w:left w:val="single" w:sz="4" w:space="0" w:color="auto"/>
              <w:bottom w:val="nil"/>
              <w:right w:val="single" w:sz="4" w:space="0" w:color="auto"/>
            </w:tcBorders>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1,100</w:t>
            </w:r>
          </w:p>
        </w:tc>
        <w:tc>
          <w:tcPr>
            <w:tcW w:w="1374" w:type="dxa"/>
            <w:tcBorders>
              <w:top w:val="single" w:sz="4" w:space="0" w:color="auto"/>
              <w:left w:val="single" w:sz="4" w:space="0" w:color="auto"/>
              <w:bottom w:val="nil"/>
              <w:right w:val="single" w:sz="4" w:space="0" w:color="auto"/>
            </w:tcBorders>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0,313</w:t>
            </w:r>
          </w:p>
        </w:tc>
      </w:tr>
      <w:tr w:rsidR="00F433D8" w:rsidRPr="00802D35" w:rsidTr="008C0E8A">
        <w:tc>
          <w:tcPr>
            <w:tcW w:w="9571" w:type="dxa"/>
            <w:gridSpan w:val="5"/>
            <w:tcBorders>
              <w:top w:val="nil"/>
              <w:left w:val="nil"/>
              <w:bottom w:val="single" w:sz="4" w:space="0" w:color="auto"/>
              <w:right w:val="nil"/>
            </w:tcBorders>
          </w:tcPr>
          <w:p w:rsidR="00F433D8" w:rsidRPr="00802D35" w:rsidRDefault="00F433D8" w:rsidP="000306C6">
            <w:pPr>
              <w:jc w:val="both"/>
              <w:rPr>
                <w:rFonts w:ascii="Times New Roman" w:hAnsi="Times New Roman" w:cs="Times New Roman"/>
                <w:color w:val="000000"/>
                <w:sz w:val="28"/>
                <w:szCs w:val="28"/>
              </w:rPr>
            </w:pPr>
            <w:r w:rsidRPr="00802D35">
              <w:rPr>
                <w:rFonts w:ascii="Times New Roman" w:hAnsi="Times New Roman" w:cs="Times New Roman"/>
                <w:color w:val="000000"/>
                <w:sz w:val="28"/>
                <w:szCs w:val="28"/>
              </w:rPr>
              <w:lastRenderedPageBreak/>
              <w:t>Продолжение таблицы 7</w:t>
            </w:r>
          </w:p>
          <w:p w:rsidR="00F433D8" w:rsidRPr="00802D35" w:rsidRDefault="00F433D8" w:rsidP="000306C6">
            <w:pPr>
              <w:jc w:val="both"/>
              <w:rPr>
                <w:rFonts w:ascii="Times New Roman" w:hAnsi="Times New Roman" w:cs="Times New Roman"/>
                <w:color w:val="000000"/>
                <w:sz w:val="28"/>
                <w:szCs w:val="28"/>
              </w:rPr>
            </w:pPr>
          </w:p>
        </w:tc>
      </w:tr>
      <w:tr w:rsidR="00F433D8" w:rsidRPr="00802D35" w:rsidTr="000306C6">
        <w:tc>
          <w:tcPr>
            <w:tcW w:w="4077"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1</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2</w:t>
            </w:r>
          </w:p>
        </w:tc>
        <w:tc>
          <w:tcPr>
            <w:tcW w:w="1374" w:type="dxa"/>
          </w:tcPr>
          <w:p w:rsidR="00F433D8" w:rsidRPr="00802D35" w:rsidRDefault="00F433D8" w:rsidP="000306C6">
            <w:pPr>
              <w:jc w:val="center"/>
              <w:rPr>
                <w:rFonts w:ascii="Times New Roman" w:hAnsi="Times New Roman" w:cs="Times New Roman"/>
                <w:sz w:val="24"/>
                <w:szCs w:val="24"/>
              </w:rPr>
            </w:pPr>
            <w:r w:rsidRPr="00802D35">
              <w:rPr>
                <w:rFonts w:ascii="Times New Roman" w:hAnsi="Times New Roman" w:cs="Times New Roman"/>
                <w:sz w:val="24"/>
                <w:szCs w:val="24"/>
              </w:rPr>
              <w:t>3</w:t>
            </w:r>
          </w:p>
        </w:tc>
        <w:tc>
          <w:tcPr>
            <w:tcW w:w="1373" w:type="dxa"/>
          </w:tcPr>
          <w:p w:rsidR="00F433D8" w:rsidRPr="00802D35" w:rsidRDefault="00F433D8" w:rsidP="000306C6">
            <w:pPr>
              <w:jc w:val="center"/>
              <w:rPr>
                <w:rFonts w:ascii="Times New Roman" w:hAnsi="Times New Roman" w:cs="Times New Roman"/>
                <w:sz w:val="24"/>
                <w:szCs w:val="24"/>
              </w:rPr>
            </w:pPr>
            <w:r w:rsidRPr="00802D35">
              <w:rPr>
                <w:rFonts w:ascii="Times New Roman" w:hAnsi="Times New Roman" w:cs="Times New Roman"/>
                <w:sz w:val="24"/>
                <w:szCs w:val="24"/>
              </w:rPr>
              <w:t>4</w:t>
            </w:r>
          </w:p>
        </w:tc>
        <w:tc>
          <w:tcPr>
            <w:tcW w:w="1374" w:type="dxa"/>
          </w:tcPr>
          <w:p w:rsidR="00F433D8" w:rsidRPr="00802D35" w:rsidRDefault="00F433D8" w:rsidP="000306C6">
            <w:pPr>
              <w:jc w:val="center"/>
              <w:rPr>
                <w:rFonts w:ascii="Times New Roman" w:hAnsi="Times New Roman" w:cs="Times New Roman"/>
                <w:sz w:val="24"/>
                <w:szCs w:val="24"/>
              </w:rPr>
            </w:pPr>
            <w:r w:rsidRPr="00802D35">
              <w:rPr>
                <w:rFonts w:ascii="Times New Roman" w:hAnsi="Times New Roman" w:cs="Times New Roman"/>
                <w:sz w:val="24"/>
                <w:szCs w:val="24"/>
              </w:rPr>
              <w:t>5</w:t>
            </w:r>
          </w:p>
        </w:tc>
      </w:tr>
      <w:tr w:rsidR="00F433D8" w:rsidRPr="00802D35" w:rsidTr="000306C6">
        <w:tc>
          <w:tcPr>
            <w:tcW w:w="4077" w:type="dxa"/>
          </w:tcPr>
          <w:p w:rsidR="00F433D8" w:rsidRPr="00802D35" w:rsidRDefault="00F433D8" w:rsidP="000306C6">
            <w:pPr>
              <w:rPr>
                <w:rFonts w:ascii="Times New Roman" w:hAnsi="Times New Roman" w:cs="Times New Roman"/>
                <w:sz w:val="24"/>
                <w:szCs w:val="24"/>
              </w:rPr>
            </w:pPr>
            <w:r w:rsidRPr="00802D35">
              <w:rPr>
                <w:rFonts w:ascii="Times New Roman" w:hAnsi="Times New Roman" w:cs="Times New Roman"/>
                <w:sz w:val="24"/>
                <w:szCs w:val="24"/>
              </w:rPr>
              <w:t>Курс рубль/тенге</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0,400</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0,160</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1,191</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0,289</w:t>
            </w:r>
          </w:p>
        </w:tc>
      </w:tr>
      <w:tr w:rsidR="00F433D8" w:rsidRPr="00802D35" w:rsidTr="000306C6">
        <w:tc>
          <w:tcPr>
            <w:tcW w:w="4077" w:type="dxa"/>
          </w:tcPr>
          <w:p w:rsidR="00F433D8" w:rsidRPr="00802D35" w:rsidRDefault="00F433D8" w:rsidP="000306C6">
            <w:pPr>
              <w:rPr>
                <w:rFonts w:ascii="Times New Roman" w:hAnsi="Times New Roman" w:cs="Times New Roman"/>
                <w:sz w:val="24"/>
                <w:szCs w:val="24"/>
              </w:rPr>
            </w:pPr>
            <w:r w:rsidRPr="00802D35">
              <w:rPr>
                <w:rFonts w:ascii="Times New Roman" w:hAnsi="Times New Roman" w:cs="Times New Roman"/>
                <w:sz w:val="24"/>
                <w:szCs w:val="24"/>
              </w:rPr>
              <w:t>Уровень экономической активности</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0,601</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0,362</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1,566</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0,220</w:t>
            </w:r>
          </w:p>
        </w:tc>
      </w:tr>
      <w:tr w:rsidR="00F433D8" w:rsidRPr="00802D35" w:rsidTr="000306C6">
        <w:tc>
          <w:tcPr>
            <w:tcW w:w="4077" w:type="dxa"/>
          </w:tcPr>
          <w:p w:rsidR="00F433D8" w:rsidRPr="00802D35" w:rsidRDefault="00F433D8" w:rsidP="000306C6">
            <w:pPr>
              <w:rPr>
                <w:rFonts w:ascii="Times New Roman" w:hAnsi="Times New Roman" w:cs="Times New Roman"/>
                <w:sz w:val="24"/>
                <w:szCs w:val="24"/>
              </w:rPr>
            </w:pPr>
            <w:r w:rsidRPr="00802D35">
              <w:rPr>
                <w:rFonts w:ascii="Times New Roman" w:hAnsi="Times New Roman" w:cs="Times New Roman"/>
                <w:sz w:val="24"/>
                <w:szCs w:val="24"/>
              </w:rPr>
              <w:t>Среднемесячная заработная плата</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0,352</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0,124</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1,142</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0,301</w:t>
            </w:r>
          </w:p>
        </w:tc>
      </w:tr>
      <w:tr w:rsidR="00F433D8" w:rsidRPr="00802D35" w:rsidTr="000306C6">
        <w:tc>
          <w:tcPr>
            <w:tcW w:w="9571" w:type="dxa"/>
            <w:gridSpan w:val="5"/>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sz w:val="24"/>
                <w:szCs w:val="24"/>
                <w:shd w:val="clear" w:color="auto" w:fill="FFFFFF"/>
              </w:rPr>
              <w:t>Внутренние факторы</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Чистые активы</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0,210</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0,044</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1,046</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0,329</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 xml:space="preserve">Капитал </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0,632</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0,399</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1,664</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0,207</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Уровень проблемных кредитов</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0,083</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0,007</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1,007</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0,342</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Ликвидность</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0,503</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0,253</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1,339</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0,257</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Объем выпуска облигаций</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-0,478</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0,229</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1,296</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0,265</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Ставка межбанковского кредита</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-0,366</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0,134</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1,155</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0,298</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color w:val="000000"/>
                <w:sz w:val="24"/>
                <w:szCs w:val="24"/>
              </w:rPr>
              <w:t>Процент ставка по вкладам</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0,703</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0,495</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1,978</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0,174</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Рентабельность активов</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0,312</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0,097</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1,108</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0,311</w:t>
            </w:r>
          </w:p>
        </w:tc>
      </w:tr>
      <w:tr w:rsidR="00F433D8" w:rsidRPr="00802D35" w:rsidTr="000306C6">
        <w:tc>
          <w:tcPr>
            <w:tcW w:w="4077" w:type="dxa"/>
          </w:tcPr>
          <w:p w:rsidR="00F433D8" w:rsidRPr="00802D35" w:rsidRDefault="00F433D8"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Рентабельность капитала</w:t>
            </w:r>
          </w:p>
        </w:tc>
        <w:tc>
          <w:tcPr>
            <w:tcW w:w="1373"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0,293</w:t>
            </w:r>
          </w:p>
        </w:tc>
        <w:tc>
          <w:tcPr>
            <w:tcW w:w="1374" w:type="dxa"/>
          </w:tcPr>
          <w:p w:rsidR="00F433D8" w:rsidRPr="00802D35" w:rsidRDefault="00F433D8"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0,086</w:t>
            </w:r>
          </w:p>
        </w:tc>
        <w:tc>
          <w:tcPr>
            <w:tcW w:w="1373"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1,094</w:t>
            </w:r>
          </w:p>
        </w:tc>
        <w:tc>
          <w:tcPr>
            <w:tcW w:w="1374" w:type="dxa"/>
            <w:vAlign w:val="bottom"/>
          </w:tcPr>
          <w:p w:rsidR="00F433D8" w:rsidRPr="00802D35" w:rsidRDefault="00F433D8"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0,314</w:t>
            </w:r>
          </w:p>
        </w:tc>
      </w:tr>
      <w:tr w:rsidR="00F433D8" w:rsidRPr="00802D35" w:rsidTr="000306C6">
        <w:tc>
          <w:tcPr>
            <w:tcW w:w="9571" w:type="dxa"/>
            <w:gridSpan w:val="5"/>
          </w:tcPr>
          <w:p w:rsidR="00F433D8" w:rsidRPr="00802D35" w:rsidRDefault="00F433D8" w:rsidP="000306C6">
            <w:pPr>
              <w:jc w:val="both"/>
              <w:rPr>
                <w:rFonts w:ascii="Times New Roman" w:hAnsi="Times New Roman" w:cs="Times New Roman"/>
                <w:color w:val="000000"/>
                <w:sz w:val="24"/>
                <w:szCs w:val="24"/>
              </w:rPr>
            </w:pPr>
            <w:r w:rsidRPr="00802D35">
              <w:rPr>
                <w:rFonts w:ascii="Times New Roman" w:hAnsi="Times New Roman" w:cs="Times New Roman"/>
                <w:color w:val="000000"/>
                <w:sz w:val="24"/>
                <w:szCs w:val="24"/>
              </w:rPr>
              <w:t xml:space="preserve">Примечание – составлено автором на основании расчетов </w:t>
            </w:r>
          </w:p>
        </w:tc>
      </w:tr>
    </w:tbl>
    <w:p w:rsidR="00F433D8" w:rsidRPr="00802D35" w:rsidRDefault="00F433D8" w:rsidP="00F433D8">
      <w:pPr>
        <w:spacing w:after="0" w:line="240" w:lineRule="auto"/>
        <w:jc w:val="both"/>
        <w:rPr>
          <w:rStyle w:val="HTML"/>
          <w:rFonts w:ascii="Times New Roman" w:hAnsi="Times New Roman" w:cs="Times New Roman"/>
          <w:b/>
          <w:i w:val="0"/>
          <w:sz w:val="28"/>
          <w:szCs w:val="28"/>
          <w:shd w:val="clear" w:color="auto" w:fill="FFFFFF"/>
        </w:rPr>
      </w:pPr>
    </w:p>
    <w:p w:rsidR="00F433D8" w:rsidRPr="00802D35" w:rsidRDefault="00F433D8" w:rsidP="00F433D8">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Полученные данные показывают, что наиболее сильное влияние из внешних факторов на уровень депозитов банка оказывают влияние ставка рефинансирования (0,83), курс доллар/тенге (0,786), уровень экономической активности (0,601), трудоспособное население (0,513) и уровень доходности населения (0,51). Среди внутренних факторов наиболее сильная зависимость наблюдается по таким факторам как:  процентная ставка по вкладам (0,703), прирост капитала банка (0,632), ликвидность банка (0,503).</w:t>
      </w:r>
    </w:p>
    <w:p w:rsidR="00F433D8" w:rsidRPr="00802D35" w:rsidRDefault="00F433D8" w:rsidP="00F433D8">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Данные показатели можно объяснить со следующей точки зрения. Ставка рефинансирования оказывает влияние на изменение ставки по вкладам банка, что оказывает непосредственное влияние на привлечение вкладов клиентов. Заметно сильное влияние курса доллара США к тенге на объемы вкладов в БВУ. В большей степени это касается выбора клиентов банка в какой валюте держать свои сбережения. Получается, что здесь одновременное влияние стоимости фондирования и валютного курса. Также, влияние курса доллар/тенге объясняется и тем, что в случае высокой волатильности валютного курса данный рынок становится более привлекательным владельцам капиталов, которые охотно предпочитают спекуляции с курсом, поскольку это может принести более высокие доходности. В результате, постоянная высокая волатильность валютных курсов может стать причиной оттока вкладов клиентов в банках.</w:t>
      </w:r>
    </w:p>
    <w:p w:rsidR="006C122C" w:rsidRPr="00802D35" w:rsidRDefault="006C122C" w:rsidP="006C122C">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Социально-экономические факторы, влияющие на решения населения об инвестициях и возможности сбережений, также влияют на рост вкладов. Это может свидетельствовать о значительном рейтинге и доверии к банку, поскольку увеличение возможностей сбережений способствует росту вкладов в АО Halyk Bank.</w:t>
      </w:r>
    </w:p>
    <w:p w:rsidR="006C122C" w:rsidRPr="00802D35" w:rsidRDefault="006C122C" w:rsidP="006C122C">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 xml:space="preserve">Рост трудоспособного населения также способен оказывать влияние на увеличение вкладов в БВУ. Действительно с увеличением количества людей, способных зарабатывать, а, следовательно, и осуществлять сбережения, </w:t>
      </w:r>
      <w:r w:rsidRPr="00802D35">
        <w:rPr>
          <w:rStyle w:val="HTML"/>
          <w:rFonts w:ascii="Times New Roman" w:hAnsi="Times New Roman" w:cs="Times New Roman"/>
          <w:i w:val="0"/>
          <w:sz w:val="28"/>
          <w:szCs w:val="28"/>
          <w:shd w:val="clear" w:color="auto" w:fill="FFFFFF"/>
        </w:rPr>
        <w:lastRenderedPageBreak/>
        <w:t xml:space="preserve">побуждает к росту внесения вкладов в банки как самые надежные и уже к настоящему моменту доверяемые источники вложения средств. </w:t>
      </w:r>
    </w:p>
    <w:p w:rsidR="006C122C" w:rsidRPr="00802D35" w:rsidRDefault="006C122C" w:rsidP="006C122C">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Аналогично увеличение доходов населения оказывает влияние на рост вкладов в банках. Действительно, рост доходов увеличивает сбережения населения, которые посредством вкладов трансформируются в накопления и обеспечивают рост розничного фондирования в БВУ.</w:t>
      </w:r>
    </w:p>
    <w:p w:rsidR="006C122C" w:rsidRPr="00802D35" w:rsidRDefault="006C122C" w:rsidP="006C122C">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Для оценки значимости вероятность ошибки (p) принималась в размере не более 0,05. Оценка значимости факторов АО Halyk Bank методом ANOVA представлена в таблице 8.</w:t>
      </w:r>
    </w:p>
    <w:p w:rsidR="006C122C" w:rsidRPr="00802D35" w:rsidRDefault="006C122C" w:rsidP="006C122C">
      <w:pPr>
        <w:spacing w:after="0" w:line="240" w:lineRule="auto"/>
        <w:ind w:firstLine="567"/>
        <w:jc w:val="both"/>
        <w:rPr>
          <w:rStyle w:val="HTML"/>
          <w:rFonts w:ascii="Times New Roman" w:hAnsi="Times New Roman" w:cs="Times New Roman"/>
          <w:i w:val="0"/>
          <w:sz w:val="28"/>
          <w:szCs w:val="28"/>
          <w:shd w:val="clear" w:color="auto" w:fill="FFFFFF"/>
        </w:rPr>
      </w:pPr>
    </w:p>
    <w:p w:rsidR="006C122C" w:rsidRPr="00802D35" w:rsidRDefault="006C122C" w:rsidP="006C122C">
      <w:pPr>
        <w:spacing w:after="0" w:line="240" w:lineRule="auto"/>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Таблица 8 - Анализ значимости факторов АО Halyk Bank ANOVA</w:t>
      </w:r>
    </w:p>
    <w:p w:rsidR="006C122C" w:rsidRPr="00802D35" w:rsidRDefault="006C122C" w:rsidP="006C122C">
      <w:pPr>
        <w:spacing w:after="0" w:line="240" w:lineRule="auto"/>
        <w:jc w:val="both"/>
        <w:rPr>
          <w:rStyle w:val="HTML"/>
          <w:rFonts w:ascii="Times New Roman" w:hAnsi="Times New Roman" w:cs="Times New Roman"/>
          <w:i w:val="0"/>
          <w:sz w:val="28"/>
          <w:szCs w:val="28"/>
          <w:shd w:val="clear" w:color="auto" w:fill="FFFFFF"/>
        </w:rPr>
      </w:pPr>
    </w:p>
    <w:tbl>
      <w:tblPr>
        <w:tblStyle w:val="af1"/>
        <w:tblW w:w="0" w:type="auto"/>
        <w:tblInd w:w="108" w:type="dxa"/>
        <w:tblLook w:val="04A0" w:firstRow="1" w:lastRow="0" w:firstColumn="1" w:lastColumn="0" w:noHBand="0" w:noVBand="1"/>
      </w:tblPr>
      <w:tblGrid>
        <w:gridCol w:w="1448"/>
        <w:gridCol w:w="1966"/>
        <w:gridCol w:w="1716"/>
        <w:gridCol w:w="1275"/>
        <w:gridCol w:w="1596"/>
        <w:gridCol w:w="1462"/>
      </w:tblGrid>
      <w:tr w:rsidR="006C122C" w:rsidRPr="00802D35" w:rsidTr="000306C6">
        <w:tc>
          <w:tcPr>
            <w:tcW w:w="1448" w:type="dxa"/>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Группы факторов</w:t>
            </w:r>
          </w:p>
        </w:tc>
        <w:tc>
          <w:tcPr>
            <w:tcW w:w="1966" w:type="dxa"/>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 xml:space="preserve">Вариабельность </w:t>
            </w:r>
          </w:p>
        </w:tc>
        <w:tc>
          <w:tcPr>
            <w:tcW w:w="1716" w:type="dxa"/>
          </w:tcPr>
          <w:p w:rsidR="006C122C" w:rsidRPr="00802D35" w:rsidRDefault="006C122C" w:rsidP="000306C6">
            <w:pPr>
              <w:pStyle w:val="Default"/>
              <w:widowControl w:val="0"/>
              <w:jc w:val="center"/>
              <w:rPr>
                <w:b/>
              </w:rPr>
            </w:pPr>
            <w:r w:rsidRPr="00802D35">
              <w:rPr>
                <w:rStyle w:val="af"/>
                <w:i/>
                <w:iCs/>
              </w:rPr>
              <w:t>SS</w:t>
            </w:r>
          </w:p>
        </w:tc>
        <w:tc>
          <w:tcPr>
            <w:tcW w:w="1275" w:type="dxa"/>
          </w:tcPr>
          <w:p w:rsidR="006C122C" w:rsidRPr="00802D35" w:rsidRDefault="006C122C" w:rsidP="000306C6">
            <w:pPr>
              <w:widowControl w:val="0"/>
              <w:jc w:val="center"/>
              <w:rPr>
                <w:rFonts w:ascii="Times New Roman" w:hAnsi="Times New Roman" w:cs="Times New Roman"/>
                <w:b/>
                <w:color w:val="000000"/>
                <w:sz w:val="24"/>
                <w:szCs w:val="24"/>
              </w:rPr>
            </w:pPr>
            <w:r w:rsidRPr="00802D35">
              <w:rPr>
                <w:rStyle w:val="af"/>
                <w:rFonts w:ascii="Times New Roman" w:hAnsi="Times New Roman" w:cs="Times New Roman"/>
                <w:i/>
                <w:iCs/>
                <w:color w:val="000000"/>
                <w:sz w:val="24"/>
                <w:szCs w:val="24"/>
              </w:rPr>
              <w:t>df</w:t>
            </w:r>
          </w:p>
        </w:tc>
        <w:tc>
          <w:tcPr>
            <w:tcW w:w="1596" w:type="dxa"/>
          </w:tcPr>
          <w:p w:rsidR="006C122C" w:rsidRPr="00802D35" w:rsidRDefault="006C122C" w:rsidP="000306C6">
            <w:pPr>
              <w:widowControl w:val="0"/>
              <w:jc w:val="center"/>
              <w:rPr>
                <w:rFonts w:ascii="Times New Roman" w:hAnsi="Times New Roman" w:cs="Times New Roman"/>
                <w:b/>
                <w:color w:val="000000"/>
                <w:sz w:val="24"/>
                <w:szCs w:val="24"/>
              </w:rPr>
            </w:pPr>
            <w:r w:rsidRPr="00802D35">
              <w:rPr>
                <w:rStyle w:val="af"/>
                <w:rFonts w:ascii="Times New Roman" w:hAnsi="Times New Roman" w:cs="Times New Roman"/>
                <w:i/>
                <w:iCs/>
                <w:color w:val="000000"/>
                <w:sz w:val="24"/>
                <w:szCs w:val="24"/>
              </w:rPr>
              <w:t>MS</w:t>
            </w:r>
          </w:p>
        </w:tc>
        <w:tc>
          <w:tcPr>
            <w:tcW w:w="1462" w:type="dxa"/>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F- ratio</w:t>
            </w:r>
          </w:p>
        </w:tc>
      </w:tr>
      <w:tr w:rsidR="006C122C" w:rsidRPr="00802D35" w:rsidTr="000306C6">
        <w:tc>
          <w:tcPr>
            <w:tcW w:w="1448" w:type="dxa"/>
            <w:vMerge w:val="restart"/>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Внешние факторы</w:t>
            </w:r>
          </w:p>
        </w:tc>
        <w:tc>
          <w:tcPr>
            <w:tcW w:w="1966" w:type="dxa"/>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MSA</w:t>
            </w:r>
          </w:p>
        </w:tc>
        <w:tc>
          <w:tcPr>
            <w:tcW w:w="171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4087606,23</w:t>
            </w:r>
          </w:p>
        </w:tc>
        <w:tc>
          <w:tcPr>
            <w:tcW w:w="1275"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66</w:t>
            </w:r>
          </w:p>
        </w:tc>
        <w:tc>
          <w:tcPr>
            <w:tcW w:w="159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2043803,12</w:t>
            </w:r>
          </w:p>
        </w:tc>
        <w:tc>
          <w:tcPr>
            <w:tcW w:w="1462" w:type="dxa"/>
            <w:vMerge w:val="restart"/>
            <w:shd w:val="clear" w:color="auto" w:fill="auto"/>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F =9,067</w:t>
            </w:r>
          </w:p>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р&lt;0,004</w:t>
            </w:r>
          </w:p>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значим</w:t>
            </w:r>
          </w:p>
        </w:tc>
      </w:tr>
      <w:tr w:rsidR="006C122C" w:rsidRPr="00802D35" w:rsidTr="000306C6">
        <w:tc>
          <w:tcPr>
            <w:tcW w:w="1448" w:type="dxa"/>
            <w:vMerge/>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p>
        </w:tc>
        <w:tc>
          <w:tcPr>
            <w:tcW w:w="1966" w:type="dxa"/>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MSW</w:t>
            </w:r>
          </w:p>
        </w:tc>
        <w:tc>
          <w:tcPr>
            <w:tcW w:w="171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4875368,81</w:t>
            </w:r>
          </w:p>
        </w:tc>
        <w:tc>
          <w:tcPr>
            <w:tcW w:w="1275"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1881</w:t>
            </w:r>
          </w:p>
        </w:tc>
        <w:tc>
          <w:tcPr>
            <w:tcW w:w="159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85562,01</w:t>
            </w:r>
          </w:p>
        </w:tc>
        <w:tc>
          <w:tcPr>
            <w:tcW w:w="1462" w:type="dxa"/>
            <w:vMerge/>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p>
        </w:tc>
      </w:tr>
      <w:tr w:rsidR="006C122C" w:rsidRPr="00802D35" w:rsidTr="000306C6">
        <w:tc>
          <w:tcPr>
            <w:tcW w:w="1448" w:type="dxa"/>
            <w:vMerge/>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p>
        </w:tc>
        <w:tc>
          <w:tcPr>
            <w:tcW w:w="1966" w:type="dxa"/>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MST</w:t>
            </w:r>
          </w:p>
        </w:tc>
        <w:tc>
          <w:tcPr>
            <w:tcW w:w="171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8966231,33</w:t>
            </w:r>
          </w:p>
        </w:tc>
        <w:tc>
          <w:tcPr>
            <w:tcW w:w="1275"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1947</w:t>
            </w:r>
          </w:p>
        </w:tc>
        <w:tc>
          <w:tcPr>
            <w:tcW w:w="1596" w:type="dxa"/>
            <w:vAlign w:val="center"/>
          </w:tcPr>
          <w:p w:rsidR="006C122C" w:rsidRPr="00802D35" w:rsidRDefault="006C122C" w:rsidP="000306C6">
            <w:pPr>
              <w:widowControl w:val="0"/>
              <w:jc w:val="center"/>
              <w:rPr>
                <w:rFonts w:ascii="Times New Roman" w:hAnsi="Times New Roman" w:cs="Times New Roman"/>
                <w:color w:val="000000"/>
                <w:sz w:val="24"/>
                <w:szCs w:val="24"/>
              </w:rPr>
            </w:pPr>
          </w:p>
        </w:tc>
        <w:tc>
          <w:tcPr>
            <w:tcW w:w="1462" w:type="dxa"/>
            <w:vMerge/>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p>
        </w:tc>
      </w:tr>
      <w:tr w:rsidR="006C122C" w:rsidRPr="00802D35" w:rsidTr="000306C6">
        <w:tc>
          <w:tcPr>
            <w:tcW w:w="1448" w:type="dxa"/>
            <w:vMerge w:val="restart"/>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Внутренние факторы</w:t>
            </w:r>
          </w:p>
        </w:tc>
        <w:tc>
          <w:tcPr>
            <w:tcW w:w="1966" w:type="dxa"/>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MSA</w:t>
            </w:r>
          </w:p>
        </w:tc>
        <w:tc>
          <w:tcPr>
            <w:tcW w:w="171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2431166,42</w:t>
            </w:r>
          </w:p>
        </w:tc>
        <w:tc>
          <w:tcPr>
            <w:tcW w:w="1275"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36</w:t>
            </w:r>
          </w:p>
        </w:tc>
        <w:tc>
          <w:tcPr>
            <w:tcW w:w="159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607791,61</w:t>
            </w:r>
          </w:p>
        </w:tc>
        <w:tc>
          <w:tcPr>
            <w:tcW w:w="1462" w:type="dxa"/>
            <w:vMerge w:val="restart"/>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F =5,143</w:t>
            </w:r>
          </w:p>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Р=0,01323</w:t>
            </w:r>
          </w:p>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значим</w:t>
            </w:r>
          </w:p>
        </w:tc>
      </w:tr>
      <w:tr w:rsidR="006C122C" w:rsidRPr="00802D35" w:rsidTr="000306C6">
        <w:tc>
          <w:tcPr>
            <w:tcW w:w="1448" w:type="dxa"/>
            <w:vMerge/>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p>
        </w:tc>
        <w:tc>
          <w:tcPr>
            <w:tcW w:w="1966" w:type="dxa"/>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MSW</w:t>
            </w:r>
          </w:p>
        </w:tc>
        <w:tc>
          <w:tcPr>
            <w:tcW w:w="171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9267731,33</w:t>
            </w:r>
          </w:p>
        </w:tc>
        <w:tc>
          <w:tcPr>
            <w:tcW w:w="1275"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810</w:t>
            </w:r>
          </w:p>
        </w:tc>
        <w:tc>
          <w:tcPr>
            <w:tcW w:w="159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102974,79</w:t>
            </w:r>
          </w:p>
        </w:tc>
        <w:tc>
          <w:tcPr>
            <w:tcW w:w="1462" w:type="dxa"/>
            <w:vMerge/>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p>
        </w:tc>
      </w:tr>
      <w:tr w:rsidR="006C122C" w:rsidRPr="00802D35" w:rsidTr="000306C6">
        <w:tc>
          <w:tcPr>
            <w:tcW w:w="1448" w:type="dxa"/>
            <w:vMerge/>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p>
        </w:tc>
        <w:tc>
          <w:tcPr>
            <w:tcW w:w="1966" w:type="dxa"/>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MST</w:t>
            </w:r>
          </w:p>
        </w:tc>
        <w:tc>
          <w:tcPr>
            <w:tcW w:w="1716"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12797663,72</w:t>
            </w:r>
          </w:p>
        </w:tc>
        <w:tc>
          <w:tcPr>
            <w:tcW w:w="1275" w:type="dxa"/>
            <w:vAlign w:val="center"/>
          </w:tcPr>
          <w:p w:rsidR="006C122C" w:rsidRPr="00802D35" w:rsidRDefault="006C122C" w:rsidP="000306C6">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846</w:t>
            </w:r>
          </w:p>
        </w:tc>
        <w:tc>
          <w:tcPr>
            <w:tcW w:w="1596" w:type="dxa"/>
            <w:vAlign w:val="center"/>
          </w:tcPr>
          <w:p w:rsidR="006C122C" w:rsidRPr="00802D35" w:rsidRDefault="006C122C" w:rsidP="000306C6">
            <w:pPr>
              <w:widowControl w:val="0"/>
              <w:jc w:val="center"/>
              <w:rPr>
                <w:rFonts w:ascii="Times New Roman" w:hAnsi="Times New Roman" w:cs="Times New Roman"/>
                <w:color w:val="000000"/>
                <w:sz w:val="24"/>
                <w:szCs w:val="24"/>
              </w:rPr>
            </w:pPr>
          </w:p>
        </w:tc>
        <w:tc>
          <w:tcPr>
            <w:tcW w:w="1462" w:type="dxa"/>
            <w:vMerge/>
          </w:tcPr>
          <w:p w:rsidR="006C122C" w:rsidRPr="00802D35" w:rsidRDefault="006C122C" w:rsidP="000306C6">
            <w:pPr>
              <w:widowControl w:val="0"/>
              <w:tabs>
                <w:tab w:val="left" w:pos="851"/>
                <w:tab w:val="left" w:pos="993"/>
              </w:tabs>
              <w:jc w:val="center"/>
              <w:rPr>
                <w:rFonts w:ascii="Times New Roman" w:hAnsi="Times New Roman" w:cs="Times New Roman"/>
                <w:sz w:val="24"/>
                <w:szCs w:val="24"/>
              </w:rPr>
            </w:pPr>
          </w:p>
        </w:tc>
      </w:tr>
      <w:tr w:rsidR="006C122C" w:rsidRPr="00802D35" w:rsidTr="000306C6">
        <w:tc>
          <w:tcPr>
            <w:tcW w:w="9463" w:type="dxa"/>
            <w:gridSpan w:val="6"/>
          </w:tcPr>
          <w:p w:rsidR="006C122C" w:rsidRPr="00802D35" w:rsidRDefault="006C122C" w:rsidP="000306C6">
            <w:pPr>
              <w:jc w:val="both"/>
              <w:rPr>
                <w:rFonts w:ascii="Times New Roman" w:hAnsi="Times New Roman" w:cs="Times New Roman"/>
                <w:color w:val="000000"/>
                <w:sz w:val="24"/>
                <w:szCs w:val="24"/>
              </w:rPr>
            </w:pPr>
            <w:r w:rsidRPr="00802D35">
              <w:rPr>
                <w:rFonts w:ascii="Times New Roman" w:hAnsi="Times New Roman" w:cs="Times New Roman"/>
                <w:color w:val="000000"/>
                <w:sz w:val="24"/>
                <w:szCs w:val="24"/>
              </w:rPr>
              <w:t>Примечание – составлено автором на основании расчетов</w:t>
            </w:r>
          </w:p>
        </w:tc>
      </w:tr>
    </w:tbl>
    <w:p w:rsidR="006C122C" w:rsidRPr="00802D35" w:rsidRDefault="006C122C" w:rsidP="006C122C">
      <w:pPr>
        <w:spacing w:after="0" w:line="240" w:lineRule="auto"/>
        <w:ind w:firstLine="567"/>
        <w:jc w:val="both"/>
        <w:rPr>
          <w:rStyle w:val="HTML"/>
          <w:rFonts w:ascii="Times New Roman" w:hAnsi="Times New Roman" w:cs="Times New Roman"/>
          <w:i w:val="0"/>
          <w:sz w:val="28"/>
          <w:szCs w:val="28"/>
          <w:shd w:val="clear" w:color="auto" w:fill="FFFFFF"/>
        </w:rPr>
      </w:pPr>
    </w:p>
    <w:p w:rsidR="006C122C" w:rsidRPr="00802D35" w:rsidRDefault="006C122C" w:rsidP="006C122C">
      <w:pPr>
        <w:spacing w:after="0" w:line="240" w:lineRule="auto"/>
        <w:ind w:firstLine="567"/>
        <w:jc w:val="both"/>
        <w:rPr>
          <w:rFonts w:ascii="Times New Roman" w:hAnsi="Times New Roman" w:cs="Times New Roman"/>
          <w:color w:val="000000"/>
          <w:sz w:val="28"/>
          <w:szCs w:val="28"/>
          <w:shd w:val="clear" w:color="auto" w:fill="FFFFFF"/>
        </w:rPr>
      </w:pPr>
      <w:r w:rsidRPr="00802D35">
        <w:rPr>
          <w:rStyle w:val="HTML"/>
          <w:rFonts w:ascii="Times New Roman" w:hAnsi="Times New Roman" w:cs="Times New Roman"/>
          <w:i w:val="0"/>
          <w:sz w:val="28"/>
          <w:szCs w:val="28"/>
          <w:shd w:val="clear" w:color="auto" w:fill="FFFFFF"/>
        </w:rPr>
        <w:t>Дисперсионный анализ ANOVA показал значимость групп факторов и то, что выборки независимы между собой за небольшим исключением внутри самих групп, несмотря на то, что некоторые из рассматриваемых факторов практически не влияют на уровень вкладов клиентов в АО Halyk Bank</w:t>
      </w:r>
      <w:r w:rsidRPr="00802D35">
        <w:rPr>
          <w:rFonts w:ascii="Times New Roman" w:hAnsi="Times New Roman" w:cs="Times New Roman"/>
          <w:sz w:val="28"/>
          <w:szCs w:val="28"/>
          <w:shd w:val="clear" w:color="auto" w:fill="FFFFFF"/>
        </w:rPr>
        <w:t xml:space="preserve">. В результате, показатель </w:t>
      </w:r>
      <w:r w:rsidRPr="00802D35">
        <w:rPr>
          <w:rFonts w:ascii="Times New Roman" w:hAnsi="Times New Roman" w:cs="Times New Roman"/>
          <w:color w:val="000000"/>
          <w:sz w:val="28"/>
          <w:szCs w:val="28"/>
          <w:shd w:val="clear" w:color="auto" w:fill="FFFFFF"/>
        </w:rPr>
        <w:t>дисперсии, оцениваемый между группами факторов, оказывает большее влияние на сумму дисперсий, чем дисперсия, оцениваемая между факторами самих  групп. Иными словами, обозначенные факторы внутри групп оказывают влияние на результирующий фактор, которым выступает объем вкладов клиентов банка.</w:t>
      </w:r>
    </w:p>
    <w:p w:rsidR="000306C6" w:rsidRPr="00802D35" w:rsidRDefault="000306C6" w:rsidP="000306C6">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было сказано ранее, при VIF</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&gt; 5, по крайней мере для одного фактора, считается, что высоко значение мультиколлинеарности регрессионной модели. А при значении VIF</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&gt; 10, мультиколлинеарность является критичной критичной. В нашем случае по </w:t>
      </w:r>
      <w:r w:rsidRPr="00802D35">
        <w:rPr>
          <w:rStyle w:val="HTML"/>
          <w:rFonts w:ascii="Times New Roman" w:hAnsi="Times New Roman" w:cs="Times New Roman"/>
          <w:i w:val="0"/>
          <w:sz w:val="28"/>
          <w:szCs w:val="28"/>
          <w:shd w:val="clear" w:color="auto" w:fill="FFFFFF"/>
        </w:rPr>
        <w:t>АО Halyk Bank все значения коэффициентов увеличения регрессии оказались в пределах нормы и не превысили значение 3. Следовательно, мультиколлинеарность можно исключить.</w:t>
      </w:r>
    </w:p>
    <w:p w:rsidR="000306C6" w:rsidRPr="00802D35" w:rsidRDefault="000306C6" w:rsidP="000306C6">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Результаты по анализу влияния факторов по 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 xml:space="preserve">Банк представлены в таблице 9. При этом, в качестве λ был выбран показатель, при котором </w:t>
      </w:r>
      <w:r w:rsidRPr="00802D35">
        <w:rPr>
          <w:rFonts w:ascii="Times New Roman" w:hAnsi="Times New Roman" w:cs="Times New Roman"/>
          <w:sz w:val="28"/>
          <w:szCs w:val="28"/>
        </w:rPr>
        <w:t>MSE</w:t>
      </w:r>
      <w:r w:rsidRPr="00802D35">
        <w:rPr>
          <w:rFonts w:ascii="Times New Roman" w:hAnsi="Times New Roman" w:cs="Times New Roman"/>
          <w:sz w:val="28"/>
          <w:szCs w:val="28"/>
          <w:vertAlign w:val="subscript"/>
        </w:rPr>
        <w:t>λ</w:t>
      </w:r>
      <w:r w:rsidRPr="00802D35">
        <w:rPr>
          <w:rFonts w:ascii="Times New Roman" w:hAnsi="Times New Roman" w:cs="Times New Roman"/>
          <w:sz w:val="28"/>
          <w:szCs w:val="28"/>
        </w:rPr>
        <w:t xml:space="preserve"> оказалась минимальной</w:t>
      </w:r>
      <w:r w:rsidRPr="00802D35">
        <w:rPr>
          <w:rStyle w:val="HTML"/>
          <w:rFonts w:ascii="Times New Roman" w:hAnsi="Times New Roman" w:cs="Times New Roman"/>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λ = 0,0186.</w:t>
      </w:r>
    </w:p>
    <w:p w:rsidR="000306C6" w:rsidRPr="00802D35" w:rsidRDefault="000306C6" w:rsidP="000306C6">
      <w:pPr>
        <w:spacing w:after="0" w:line="240" w:lineRule="auto"/>
        <w:ind w:firstLine="567"/>
        <w:jc w:val="both"/>
        <w:rPr>
          <w:rStyle w:val="HTML"/>
          <w:rFonts w:ascii="Times New Roman" w:hAnsi="Times New Roman" w:cs="Times New Roman"/>
          <w:b/>
          <w:i w:val="0"/>
          <w:sz w:val="28"/>
          <w:szCs w:val="28"/>
          <w:shd w:val="clear" w:color="auto" w:fill="FFFFFF"/>
        </w:rPr>
      </w:pPr>
      <w:r w:rsidRPr="00802D35">
        <w:rPr>
          <w:rStyle w:val="HTML"/>
          <w:rFonts w:ascii="Times New Roman" w:hAnsi="Times New Roman" w:cs="Times New Roman"/>
          <w:i w:val="0"/>
          <w:sz w:val="28"/>
          <w:szCs w:val="28"/>
          <w:shd w:val="clear" w:color="auto" w:fill="FFFFFF"/>
        </w:rPr>
        <w:t>Полученные данные показывают, что наиболее сильное влияние из внешних факторов на уровень вкладов банка оказывают влияние ставка рефинансирования (0,720), курс доллар/тенге (0,644), валютный курс рубль/тенге (0,510), уровень экономической активности (0,553).</w:t>
      </w:r>
    </w:p>
    <w:p w:rsidR="000306C6" w:rsidRPr="00802D35" w:rsidRDefault="000306C6" w:rsidP="000306C6">
      <w:pPr>
        <w:spacing w:after="0" w:line="240" w:lineRule="auto"/>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lastRenderedPageBreak/>
        <w:t>Таблица 9 – Показатели оценки влияния факторов на уровень вкладов 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 xml:space="preserve">Банк </w:t>
      </w:r>
    </w:p>
    <w:p w:rsidR="000306C6" w:rsidRPr="00802D35" w:rsidRDefault="000306C6" w:rsidP="000306C6">
      <w:pPr>
        <w:spacing w:after="0" w:line="240" w:lineRule="auto"/>
        <w:jc w:val="both"/>
        <w:rPr>
          <w:rStyle w:val="HTML"/>
          <w:rFonts w:ascii="Times New Roman" w:hAnsi="Times New Roman" w:cs="Times New Roman"/>
          <w:i w:val="0"/>
          <w:sz w:val="28"/>
          <w:szCs w:val="28"/>
          <w:shd w:val="clear" w:color="auto" w:fill="FFFFFF"/>
        </w:rPr>
      </w:pPr>
    </w:p>
    <w:tbl>
      <w:tblPr>
        <w:tblStyle w:val="af1"/>
        <w:tblW w:w="0" w:type="auto"/>
        <w:tblLayout w:type="fixed"/>
        <w:tblLook w:val="04A0" w:firstRow="1" w:lastRow="0" w:firstColumn="1" w:lastColumn="0" w:noHBand="0" w:noVBand="1"/>
      </w:tblPr>
      <w:tblGrid>
        <w:gridCol w:w="4077"/>
        <w:gridCol w:w="1373"/>
        <w:gridCol w:w="1374"/>
        <w:gridCol w:w="1373"/>
        <w:gridCol w:w="1374"/>
      </w:tblGrid>
      <w:tr w:rsidR="000306C6" w:rsidRPr="00802D35" w:rsidTr="000306C6">
        <w:tc>
          <w:tcPr>
            <w:tcW w:w="4077" w:type="dxa"/>
          </w:tcPr>
          <w:p w:rsidR="000306C6" w:rsidRPr="00802D35" w:rsidRDefault="000306C6"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Показатели</w:t>
            </w:r>
          </w:p>
        </w:tc>
        <w:tc>
          <w:tcPr>
            <w:tcW w:w="1373" w:type="dxa"/>
          </w:tcPr>
          <w:p w:rsidR="000306C6" w:rsidRPr="00802D35" w:rsidRDefault="000306C6" w:rsidP="000306C6">
            <w:pPr>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Corr</w:t>
            </w:r>
          </w:p>
        </w:tc>
        <w:tc>
          <w:tcPr>
            <w:tcW w:w="1374" w:type="dxa"/>
          </w:tcPr>
          <w:p w:rsidR="000306C6" w:rsidRPr="00802D35" w:rsidRDefault="000306C6" w:rsidP="000306C6">
            <w:pPr>
              <w:jc w:val="center"/>
              <w:rPr>
                <w:rStyle w:val="HTML"/>
                <w:rFonts w:ascii="Times New Roman" w:hAnsi="Times New Roman" w:cs="Times New Roman"/>
                <w:sz w:val="24"/>
                <w:szCs w:val="24"/>
                <w:shd w:val="clear" w:color="auto" w:fill="FFFFFF"/>
                <w:vertAlign w:val="superscript"/>
              </w:rPr>
            </w:pPr>
            <w:r w:rsidRPr="00802D35">
              <w:rPr>
                <w:rFonts w:ascii="Times New Roman" w:hAnsi="Times New Roman" w:cs="Times New Roman"/>
                <w:i/>
                <w:sz w:val="24"/>
                <w:szCs w:val="24"/>
              </w:rPr>
              <w:t>R</w:t>
            </w:r>
            <w:r w:rsidRPr="00802D35">
              <w:rPr>
                <w:rFonts w:ascii="Times New Roman" w:hAnsi="Times New Roman" w:cs="Times New Roman"/>
                <w:i/>
                <w:sz w:val="24"/>
                <w:szCs w:val="24"/>
                <w:vertAlign w:val="superscript"/>
              </w:rPr>
              <w:t>2</w:t>
            </w:r>
          </w:p>
        </w:tc>
        <w:tc>
          <w:tcPr>
            <w:tcW w:w="1373" w:type="dxa"/>
          </w:tcPr>
          <w:p w:rsidR="000306C6" w:rsidRPr="00802D35" w:rsidRDefault="000306C6" w:rsidP="000306C6">
            <w:pPr>
              <w:jc w:val="center"/>
              <w:rPr>
                <w:rStyle w:val="HTML"/>
                <w:rFonts w:ascii="Times New Roman" w:hAnsi="Times New Roman" w:cs="Times New Roman"/>
                <w:sz w:val="24"/>
                <w:szCs w:val="24"/>
                <w:shd w:val="clear" w:color="auto" w:fill="FFFFFF"/>
              </w:rPr>
            </w:pPr>
            <w:r w:rsidRPr="00802D35">
              <w:rPr>
                <w:rFonts w:ascii="Times New Roman" w:hAnsi="Times New Roman" w:cs="Times New Roman"/>
                <w:i/>
                <w:sz w:val="24"/>
                <w:szCs w:val="24"/>
              </w:rPr>
              <w:t>VIF</w:t>
            </w:r>
          </w:p>
        </w:tc>
        <w:tc>
          <w:tcPr>
            <w:tcW w:w="1374" w:type="dxa"/>
          </w:tcPr>
          <w:p w:rsidR="000306C6" w:rsidRPr="00802D35" w:rsidRDefault="000306C6" w:rsidP="000306C6">
            <w:pPr>
              <w:jc w:val="center"/>
              <w:rPr>
                <w:rFonts w:ascii="Times New Roman" w:hAnsi="Times New Roman" w:cs="Times New Roman"/>
                <w:i/>
                <w:sz w:val="24"/>
                <w:szCs w:val="24"/>
              </w:rPr>
            </w:pPr>
            <w:r w:rsidRPr="00802D35">
              <w:rPr>
                <w:rFonts w:ascii="Times New Roman" w:hAnsi="Times New Roman" w:cs="Times New Roman"/>
                <w:i/>
                <w:sz w:val="24"/>
                <w:szCs w:val="24"/>
              </w:rPr>
              <w:t>MSE</w:t>
            </w:r>
          </w:p>
        </w:tc>
      </w:tr>
      <w:tr w:rsidR="000306C6" w:rsidRPr="00802D35" w:rsidTr="000306C6">
        <w:tc>
          <w:tcPr>
            <w:tcW w:w="9571" w:type="dxa"/>
            <w:gridSpan w:val="5"/>
          </w:tcPr>
          <w:p w:rsidR="000306C6" w:rsidRPr="00802D35" w:rsidRDefault="000306C6"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sz w:val="24"/>
                <w:szCs w:val="24"/>
                <w:shd w:val="clear" w:color="auto" w:fill="FFFFFF"/>
              </w:rPr>
              <w:t>Внешние факторы</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Уровень доходов населения</w:t>
            </w:r>
            <w:r w:rsidRPr="00802D35">
              <w:rPr>
                <w:rStyle w:val="HTML"/>
                <w:rFonts w:ascii="Times New Roman" w:hAnsi="Times New Roman" w:cs="Times New Roman"/>
                <w:sz w:val="24"/>
                <w:szCs w:val="24"/>
                <w:shd w:val="clear" w:color="auto" w:fill="FFFFFF"/>
              </w:rPr>
              <w:t xml:space="preserve"> </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0,410</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0,168</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1,202</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0,286</w:t>
            </w:r>
          </w:p>
        </w:tc>
      </w:tr>
      <w:tr w:rsidR="000306C6" w:rsidRPr="00802D35" w:rsidTr="000306C6">
        <w:tc>
          <w:tcPr>
            <w:tcW w:w="4077" w:type="dxa"/>
          </w:tcPr>
          <w:p w:rsidR="000306C6" w:rsidRPr="00802D35" w:rsidRDefault="000306C6" w:rsidP="000306C6">
            <w:pPr>
              <w:rPr>
                <w:rStyle w:val="HTML"/>
                <w:rFonts w:ascii="Times New Roman" w:hAnsi="Times New Roman" w:cs="Times New Roman"/>
                <w:i w:val="0"/>
                <w:sz w:val="24"/>
                <w:szCs w:val="24"/>
                <w:shd w:val="clear" w:color="auto" w:fill="FFFFFF"/>
              </w:rPr>
            </w:pPr>
            <w:r w:rsidRPr="00802D35">
              <w:rPr>
                <w:rFonts w:ascii="Times New Roman" w:eastAsia="Times New Roman" w:hAnsi="Times New Roman" w:cs="Times New Roman"/>
                <w:sz w:val="24"/>
                <w:szCs w:val="24"/>
                <w:lang w:eastAsia="ru-RU"/>
              </w:rPr>
              <w:t>Ставка рефинансирования</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0,720</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0,518</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2,076</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0,166</w:t>
            </w:r>
          </w:p>
        </w:tc>
      </w:tr>
      <w:tr w:rsidR="000306C6" w:rsidRPr="00802D35" w:rsidTr="000306C6">
        <w:tc>
          <w:tcPr>
            <w:tcW w:w="4077" w:type="dxa"/>
          </w:tcPr>
          <w:p w:rsidR="000306C6" w:rsidRPr="00802D35" w:rsidRDefault="000306C6" w:rsidP="000306C6">
            <w:pPr>
              <w:rPr>
                <w:rStyle w:val="HTML"/>
                <w:rFonts w:ascii="Times New Roman" w:hAnsi="Times New Roman" w:cs="Times New Roman"/>
                <w:i w:val="0"/>
                <w:sz w:val="24"/>
                <w:szCs w:val="24"/>
                <w:shd w:val="clear" w:color="auto" w:fill="FFFFFF"/>
              </w:rPr>
            </w:pPr>
            <w:r w:rsidRPr="00802D35">
              <w:rPr>
                <w:rFonts w:ascii="Times New Roman" w:eastAsia="Times New Roman" w:hAnsi="Times New Roman" w:cs="Times New Roman"/>
                <w:sz w:val="24"/>
                <w:szCs w:val="24"/>
                <w:lang w:eastAsia="ru-RU"/>
              </w:rPr>
              <w:t>Инфляция</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-0,045</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0,002</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1,002</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0,344</w:t>
            </w:r>
          </w:p>
        </w:tc>
      </w:tr>
      <w:tr w:rsidR="000306C6" w:rsidRPr="00802D35" w:rsidTr="000306C6">
        <w:tc>
          <w:tcPr>
            <w:tcW w:w="4077" w:type="dxa"/>
          </w:tcPr>
          <w:p w:rsidR="000306C6" w:rsidRPr="00802D35" w:rsidRDefault="000306C6" w:rsidP="000306C6">
            <w:pPr>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Внешние займы</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-0,080</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0,006</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1,006</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0,342</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Трудоспособное население</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0,399</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0,160</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1,190</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0,289</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ВВП</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0,370</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0,137</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1,159</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0,297</w:t>
            </w:r>
          </w:p>
        </w:tc>
      </w:tr>
      <w:tr w:rsidR="000306C6" w:rsidRPr="00802D35" w:rsidTr="000306C6">
        <w:tc>
          <w:tcPr>
            <w:tcW w:w="4077" w:type="dxa"/>
          </w:tcPr>
          <w:p w:rsidR="000306C6" w:rsidRPr="00802D35" w:rsidRDefault="000306C6" w:rsidP="000306C6">
            <w:pPr>
              <w:rPr>
                <w:rFonts w:ascii="Times New Roman" w:hAnsi="Times New Roman" w:cs="Times New Roman"/>
                <w:sz w:val="24"/>
                <w:szCs w:val="24"/>
              </w:rPr>
            </w:pPr>
            <w:r w:rsidRPr="00802D35">
              <w:rPr>
                <w:rFonts w:ascii="Times New Roman" w:hAnsi="Times New Roman" w:cs="Times New Roman"/>
                <w:sz w:val="24"/>
                <w:szCs w:val="24"/>
              </w:rPr>
              <w:t>Безработица</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-0,041</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0,002</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1,002</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0,344</w:t>
            </w:r>
          </w:p>
        </w:tc>
      </w:tr>
      <w:tr w:rsidR="000306C6" w:rsidRPr="00802D35" w:rsidTr="000306C6">
        <w:tc>
          <w:tcPr>
            <w:tcW w:w="4077" w:type="dxa"/>
          </w:tcPr>
          <w:p w:rsidR="000306C6" w:rsidRPr="00802D35" w:rsidRDefault="000306C6" w:rsidP="000306C6">
            <w:pPr>
              <w:rPr>
                <w:rFonts w:ascii="Times New Roman" w:hAnsi="Times New Roman" w:cs="Times New Roman"/>
                <w:sz w:val="24"/>
                <w:szCs w:val="24"/>
              </w:rPr>
            </w:pPr>
            <w:r w:rsidRPr="00802D35">
              <w:rPr>
                <w:rFonts w:ascii="Times New Roman" w:hAnsi="Times New Roman" w:cs="Times New Roman"/>
                <w:sz w:val="24"/>
                <w:szCs w:val="24"/>
              </w:rPr>
              <w:t>Курс доллар/тенге</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0,644</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0,415</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1,710</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0,201</w:t>
            </w:r>
          </w:p>
        </w:tc>
      </w:tr>
      <w:tr w:rsidR="000306C6" w:rsidRPr="00802D35" w:rsidTr="000306C6">
        <w:tc>
          <w:tcPr>
            <w:tcW w:w="4077" w:type="dxa"/>
          </w:tcPr>
          <w:p w:rsidR="000306C6" w:rsidRPr="00802D35" w:rsidRDefault="000306C6" w:rsidP="000306C6">
            <w:pPr>
              <w:rPr>
                <w:rFonts w:ascii="Times New Roman" w:hAnsi="Times New Roman" w:cs="Times New Roman"/>
                <w:sz w:val="24"/>
                <w:szCs w:val="24"/>
              </w:rPr>
            </w:pPr>
            <w:r w:rsidRPr="00802D35">
              <w:rPr>
                <w:rFonts w:ascii="Times New Roman" w:hAnsi="Times New Roman" w:cs="Times New Roman"/>
                <w:sz w:val="24"/>
                <w:szCs w:val="24"/>
              </w:rPr>
              <w:t>Курс евро/тенге</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0,288</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0,083</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1,090</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0,316</w:t>
            </w:r>
          </w:p>
        </w:tc>
      </w:tr>
      <w:tr w:rsidR="000306C6" w:rsidRPr="00802D35" w:rsidTr="000306C6">
        <w:tc>
          <w:tcPr>
            <w:tcW w:w="4077" w:type="dxa"/>
          </w:tcPr>
          <w:p w:rsidR="000306C6" w:rsidRPr="00802D35" w:rsidRDefault="000306C6" w:rsidP="000306C6">
            <w:pPr>
              <w:rPr>
                <w:rFonts w:ascii="Times New Roman" w:hAnsi="Times New Roman" w:cs="Times New Roman"/>
                <w:sz w:val="24"/>
                <w:szCs w:val="24"/>
              </w:rPr>
            </w:pPr>
            <w:r w:rsidRPr="00802D35">
              <w:rPr>
                <w:rFonts w:ascii="Times New Roman" w:hAnsi="Times New Roman" w:cs="Times New Roman"/>
                <w:sz w:val="24"/>
                <w:szCs w:val="24"/>
              </w:rPr>
              <w:t>Курс рубль/тенге</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0,510</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0,260</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1,352</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0,255</w:t>
            </w:r>
          </w:p>
        </w:tc>
      </w:tr>
      <w:tr w:rsidR="000306C6" w:rsidRPr="00802D35" w:rsidTr="000306C6">
        <w:tc>
          <w:tcPr>
            <w:tcW w:w="4077" w:type="dxa"/>
          </w:tcPr>
          <w:p w:rsidR="000306C6" w:rsidRPr="00802D35" w:rsidRDefault="000306C6" w:rsidP="000306C6">
            <w:pPr>
              <w:rPr>
                <w:rFonts w:ascii="Times New Roman" w:hAnsi="Times New Roman" w:cs="Times New Roman"/>
                <w:sz w:val="24"/>
                <w:szCs w:val="24"/>
              </w:rPr>
            </w:pPr>
            <w:r w:rsidRPr="00802D35">
              <w:rPr>
                <w:rFonts w:ascii="Times New Roman" w:hAnsi="Times New Roman" w:cs="Times New Roman"/>
                <w:sz w:val="24"/>
                <w:szCs w:val="24"/>
              </w:rPr>
              <w:t>Уровень экономической активности</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0,553</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0,306</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1,441</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0,239</w:t>
            </w:r>
          </w:p>
        </w:tc>
      </w:tr>
      <w:tr w:rsidR="000306C6" w:rsidRPr="00802D35" w:rsidTr="000306C6">
        <w:tc>
          <w:tcPr>
            <w:tcW w:w="4077" w:type="dxa"/>
          </w:tcPr>
          <w:p w:rsidR="000306C6" w:rsidRPr="00802D35" w:rsidRDefault="000306C6" w:rsidP="000306C6">
            <w:pPr>
              <w:rPr>
                <w:rFonts w:ascii="Times New Roman" w:hAnsi="Times New Roman" w:cs="Times New Roman"/>
                <w:sz w:val="24"/>
                <w:szCs w:val="24"/>
              </w:rPr>
            </w:pPr>
            <w:r w:rsidRPr="00802D35">
              <w:rPr>
                <w:rFonts w:ascii="Times New Roman" w:hAnsi="Times New Roman" w:cs="Times New Roman"/>
                <w:sz w:val="24"/>
                <w:szCs w:val="24"/>
              </w:rPr>
              <w:t>Среднемесячная заработная плата</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0,362</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0,131</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1,151</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0,2999</w:t>
            </w:r>
          </w:p>
        </w:tc>
      </w:tr>
      <w:tr w:rsidR="000306C6" w:rsidRPr="00802D35" w:rsidTr="000306C6">
        <w:tc>
          <w:tcPr>
            <w:tcW w:w="9571" w:type="dxa"/>
            <w:gridSpan w:val="5"/>
          </w:tcPr>
          <w:p w:rsidR="000306C6" w:rsidRPr="00802D35" w:rsidRDefault="000306C6" w:rsidP="000306C6">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sz w:val="24"/>
                <w:szCs w:val="24"/>
                <w:shd w:val="clear" w:color="auto" w:fill="FFFFFF"/>
              </w:rPr>
              <w:t>Внутренние факторы</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Чистые активы</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0,652</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0,425</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1,741</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0,198</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 xml:space="preserve">Капитал </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0,701</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0,492</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1,968</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0,175</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Уровень проблемных кредитов</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0,297</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0,088</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1,097</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0,314</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Ликвидность</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0,412</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0,170</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1,204</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0,286</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Объем выпуска облигаций</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-0,528</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0,279</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1,387</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0,248</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Ставка межбанковского кредита</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-0,135</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0,018</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1,019</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0,338</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color w:val="000000"/>
                <w:sz w:val="24"/>
                <w:szCs w:val="24"/>
              </w:rPr>
              <w:t>Процент ставка по вкладам</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0,687</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0,473</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1,896</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0,181</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Рентабельность активов</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0,414</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0,171</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1,206</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0,285</w:t>
            </w:r>
          </w:p>
        </w:tc>
      </w:tr>
      <w:tr w:rsidR="000306C6" w:rsidRPr="00802D35" w:rsidTr="000306C6">
        <w:tc>
          <w:tcPr>
            <w:tcW w:w="4077" w:type="dxa"/>
          </w:tcPr>
          <w:p w:rsidR="000306C6" w:rsidRPr="00802D35" w:rsidRDefault="000306C6" w:rsidP="000306C6">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Рентабельность капитала</w:t>
            </w:r>
          </w:p>
        </w:tc>
        <w:tc>
          <w:tcPr>
            <w:tcW w:w="1373"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0,299</w:t>
            </w:r>
          </w:p>
        </w:tc>
        <w:tc>
          <w:tcPr>
            <w:tcW w:w="1374" w:type="dxa"/>
            <w:vAlign w:val="center"/>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0,090</w:t>
            </w:r>
          </w:p>
        </w:tc>
        <w:tc>
          <w:tcPr>
            <w:tcW w:w="1373"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1,099</w:t>
            </w:r>
          </w:p>
        </w:tc>
        <w:tc>
          <w:tcPr>
            <w:tcW w:w="1374" w:type="dxa"/>
            <w:vAlign w:val="bottom"/>
          </w:tcPr>
          <w:p w:rsidR="000306C6" w:rsidRPr="00802D35" w:rsidRDefault="000306C6" w:rsidP="000306C6">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0,313</w:t>
            </w:r>
          </w:p>
        </w:tc>
      </w:tr>
      <w:tr w:rsidR="000306C6" w:rsidRPr="00802D35" w:rsidTr="000306C6">
        <w:tc>
          <w:tcPr>
            <w:tcW w:w="9571" w:type="dxa"/>
            <w:gridSpan w:val="5"/>
          </w:tcPr>
          <w:p w:rsidR="000306C6" w:rsidRPr="00802D35" w:rsidRDefault="000306C6" w:rsidP="000306C6">
            <w:pPr>
              <w:jc w:val="both"/>
              <w:rPr>
                <w:rFonts w:ascii="Times New Roman" w:hAnsi="Times New Roman" w:cs="Times New Roman"/>
                <w:color w:val="000000"/>
                <w:sz w:val="24"/>
                <w:szCs w:val="24"/>
              </w:rPr>
            </w:pPr>
            <w:r w:rsidRPr="00802D35">
              <w:rPr>
                <w:rFonts w:ascii="Times New Roman" w:hAnsi="Times New Roman" w:cs="Times New Roman"/>
                <w:color w:val="000000"/>
                <w:sz w:val="24"/>
                <w:szCs w:val="24"/>
              </w:rPr>
              <w:t>Примечание – составлено автором на основании расчетов</w:t>
            </w:r>
          </w:p>
        </w:tc>
      </w:tr>
    </w:tbl>
    <w:p w:rsidR="000306C6" w:rsidRPr="00802D35" w:rsidRDefault="000306C6" w:rsidP="000306C6">
      <w:pPr>
        <w:spacing w:after="0" w:line="240" w:lineRule="auto"/>
        <w:ind w:firstLine="567"/>
        <w:rPr>
          <w:rStyle w:val="HTML"/>
          <w:rFonts w:ascii="Times New Roman" w:hAnsi="Times New Roman" w:cs="Times New Roman"/>
          <w:b/>
          <w:i w:val="0"/>
          <w:sz w:val="28"/>
          <w:szCs w:val="28"/>
          <w:shd w:val="clear" w:color="auto" w:fill="FFFFFF"/>
        </w:rPr>
      </w:pPr>
    </w:p>
    <w:p w:rsidR="006C122C" w:rsidRPr="00802D35" w:rsidRDefault="000306C6" w:rsidP="000306C6">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Среди внутренних факторов наиболее сильная зависимость наблюдается по таким факторам как:  банковский капитал (0,701), стоимость фондирования по вкладам (0,687), чистые активы банка (0,652), объем эмиссии облигаций (-0,528).</w:t>
      </w:r>
    </w:p>
    <w:p w:rsidR="00C06068" w:rsidRPr="00802D35" w:rsidRDefault="00C06068" w:rsidP="00C06068">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Аналогично как в предыдущем случае, при анализе АО Halyk Bank, существенное влияние на объемы вкладов оказывает валютный курс доллар/тенге. Это еще раз доказывает интерес и влияние волатильности валютного курса на выбор клиента: вложить средства в банк или осуществить операции на валютном рынке. Большое значение окажет ставка доходности, которую будет обещать волатильность валютного курса.</w:t>
      </w:r>
    </w:p>
    <w:p w:rsidR="00C06068" w:rsidRPr="00802D35" w:rsidRDefault="00C06068" w:rsidP="00C06068">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Как говорилось ранее, ставка рефинансирования Национального банка оказывает непосредственное влияние на стоимость фондирования, а, следовательно, и на спрос клиентов. Увеличение ставок вызывает интерес к банкам и провоцирует рост вкладов.</w:t>
      </w:r>
    </w:p>
    <w:p w:rsidR="00C06068" w:rsidRPr="00802D35" w:rsidRDefault="00C06068" w:rsidP="00C06068">
      <w:pPr>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 xml:space="preserve">Существенное влияние уровня экономической активности на объем вкладов АО </w:t>
      </w:r>
      <w:r w:rsidRPr="00802D35">
        <w:rPr>
          <w:rStyle w:val="HTML"/>
          <w:rFonts w:ascii="Times New Roman" w:hAnsi="Times New Roman" w:cs="Times New Roman"/>
          <w:i w:val="0"/>
          <w:sz w:val="28"/>
          <w:szCs w:val="28"/>
          <w:shd w:val="clear" w:color="auto" w:fill="FFFFFF"/>
        </w:rPr>
        <w:t>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Банк</w:t>
      </w:r>
      <w:r w:rsidRPr="00802D35">
        <w:rPr>
          <w:rFonts w:ascii="Times New Roman" w:hAnsi="Times New Roman" w:cs="Times New Roman"/>
          <w:sz w:val="28"/>
          <w:szCs w:val="28"/>
          <w:shd w:val="clear" w:color="auto" w:fill="FFFFFF"/>
        </w:rPr>
        <w:t xml:space="preserve"> доказывает привлекательность банка для клиентов, большей частью юридических лиц. Точно так же зависимость от финансовых </w:t>
      </w:r>
      <w:r w:rsidRPr="00802D35">
        <w:rPr>
          <w:rFonts w:ascii="Times New Roman" w:hAnsi="Times New Roman" w:cs="Times New Roman"/>
          <w:sz w:val="28"/>
          <w:szCs w:val="28"/>
          <w:shd w:val="clear" w:color="auto" w:fill="FFFFFF"/>
        </w:rPr>
        <w:lastRenderedPageBreak/>
        <w:t>показателей самого банка указывает на то, что его стабильность становится привлекательным аспектом для привлечения вкладов.</w:t>
      </w:r>
    </w:p>
    <w:p w:rsidR="00C06068" w:rsidRPr="00802D35" w:rsidRDefault="00C06068" w:rsidP="00C06068">
      <w:pPr>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 xml:space="preserve">Для оценки значимости вероятность ошибки (p) принималась в размере не более 0,05. Оценка значимости факторов для АО </w:t>
      </w:r>
      <w:r w:rsidRPr="00802D35">
        <w:rPr>
          <w:rStyle w:val="HTML"/>
          <w:rFonts w:ascii="Times New Roman" w:hAnsi="Times New Roman" w:cs="Times New Roman"/>
          <w:i w:val="0"/>
          <w:sz w:val="28"/>
          <w:szCs w:val="28"/>
          <w:shd w:val="clear" w:color="auto" w:fill="FFFFFF"/>
        </w:rPr>
        <w:t>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Банк</w:t>
      </w:r>
      <w:r w:rsidRPr="00802D35">
        <w:rPr>
          <w:rFonts w:ascii="Times New Roman" w:hAnsi="Times New Roman" w:cs="Times New Roman"/>
          <w:sz w:val="28"/>
          <w:szCs w:val="28"/>
          <w:shd w:val="clear" w:color="auto" w:fill="FFFFFF"/>
        </w:rPr>
        <w:t xml:space="preserve"> методом ANOVA представлена в таблице 10.</w:t>
      </w:r>
    </w:p>
    <w:p w:rsidR="00C06068" w:rsidRPr="00802D35" w:rsidRDefault="00C06068" w:rsidP="00C06068">
      <w:pPr>
        <w:spacing w:after="0" w:line="240" w:lineRule="auto"/>
        <w:ind w:firstLine="567"/>
        <w:jc w:val="both"/>
        <w:rPr>
          <w:rFonts w:ascii="Times New Roman" w:hAnsi="Times New Roman" w:cs="Times New Roman"/>
          <w:sz w:val="28"/>
          <w:szCs w:val="28"/>
          <w:shd w:val="clear" w:color="auto" w:fill="FFFFFF"/>
        </w:rPr>
      </w:pPr>
    </w:p>
    <w:p w:rsidR="00C06068" w:rsidRPr="00802D35" w:rsidRDefault="00C06068" w:rsidP="00C06068">
      <w:pPr>
        <w:spacing w:after="0" w:line="240" w:lineRule="auto"/>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Таблица 10 - Анализ значимости факторов 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Банк ANOVA</w:t>
      </w:r>
    </w:p>
    <w:p w:rsidR="00C06068" w:rsidRPr="00802D35" w:rsidRDefault="00C06068" w:rsidP="00C06068">
      <w:pPr>
        <w:spacing w:after="0" w:line="240" w:lineRule="auto"/>
        <w:jc w:val="both"/>
        <w:rPr>
          <w:rStyle w:val="HTML"/>
          <w:rFonts w:ascii="Times New Roman" w:hAnsi="Times New Roman" w:cs="Times New Roman"/>
          <w:i w:val="0"/>
          <w:sz w:val="28"/>
          <w:szCs w:val="28"/>
          <w:shd w:val="clear" w:color="auto" w:fill="FFFFFF"/>
        </w:rPr>
      </w:pPr>
    </w:p>
    <w:tbl>
      <w:tblPr>
        <w:tblStyle w:val="af1"/>
        <w:tblW w:w="0" w:type="auto"/>
        <w:tblInd w:w="108" w:type="dxa"/>
        <w:tblLook w:val="04A0" w:firstRow="1" w:lastRow="0" w:firstColumn="1" w:lastColumn="0" w:noHBand="0" w:noVBand="1"/>
      </w:tblPr>
      <w:tblGrid>
        <w:gridCol w:w="1448"/>
        <w:gridCol w:w="1966"/>
        <w:gridCol w:w="1716"/>
        <w:gridCol w:w="1275"/>
        <w:gridCol w:w="1596"/>
        <w:gridCol w:w="1462"/>
      </w:tblGrid>
      <w:tr w:rsidR="00C06068" w:rsidRPr="00802D35" w:rsidTr="00436547">
        <w:tc>
          <w:tcPr>
            <w:tcW w:w="1448" w:type="dxa"/>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Группы факторов</w:t>
            </w:r>
          </w:p>
        </w:tc>
        <w:tc>
          <w:tcPr>
            <w:tcW w:w="1966" w:type="dxa"/>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 xml:space="preserve">Вариабельность </w:t>
            </w:r>
          </w:p>
        </w:tc>
        <w:tc>
          <w:tcPr>
            <w:tcW w:w="1716" w:type="dxa"/>
          </w:tcPr>
          <w:p w:rsidR="00C06068" w:rsidRPr="00802D35" w:rsidRDefault="00C06068" w:rsidP="00436547">
            <w:pPr>
              <w:pStyle w:val="Default"/>
              <w:widowControl w:val="0"/>
              <w:jc w:val="center"/>
              <w:rPr>
                <w:b/>
              </w:rPr>
            </w:pPr>
            <w:r w:rsidRPr="00802D35">
              <w:rPr>
                <w:rStyle w:val="af"/>
                <w:i/>
                <w:iCs/>
              </w:rPr>
              <w:t>SS</w:t>
            </w:r>
          </w:p>
        </w:tc>
        <w:tc>
          <w:tcPr>
            <w:tcW w:w="1275" w:type="dxa"/>
          </w:tcPr>
          <w:p w:rsidR="00C06068" w:rsidRPr="00802D35" w:rsidRDefault="00C06068" w:rsidP="00436547">
            <w:pPr>
              <w:widowControl w:val="0"/>
              <w:jc w:val="center"/>
              <w:rPr>
                <w:rFonts w:ascii="Times New Roman" w:hAnsi="Times New Roman" w:cs="Times New Roman"/>
                <w:b/>
                <w:color w:val="000000"/>
                <w:sz w:val="24"/>
                <w:szCs w:val="24"/>
              </w:rPr>
            </w:pPr>
            <w:r w:rsidRPr="00802D35">
              <w:rPr>
                <w:rStyle w:val="af"/>
                <w:rFonts w:ascii="Times New Roman" w:hAnsi="Times New Roman" w:cs="Times New Roman"/>
                <w:i/>
                <w:iCs/>
                <w:color w:val="000000"/>
                <w:sz w:val="24"/>
                <w:szCs w:val="24"/>
              </w:rPr>
              <w:t>df</w:t>
            </w:r>
          </w:p>
        </w:tc>
        <w:tc>
          <w:tcPr>
            <w:tcW w:w="1596" w:type="dxa"/>
          </w:tcPr>
          <w:p w:rsidR="00C06068" w:rsidRPr="00802D35" w:rsidRDefault="00C06068" w:rsidP="00436547">
            <w:pPr>
              <w:widowControl w:val="0"/>
              <w:jc w:val="center"/>
              <w:rPr>
                <w:rFonts w:ascii="Times New Roman" w:hAnsi="Times New Roman" w:cs="Times New Roman"/>
                <w:b/>
                <w:color w:val="000000"/>
                <w:sz w:val="24"/>
                <w:szCs w:val="24"/>
              </w:rPr>
            </w:pPr>
            <w:r w:rsidRPr="00802D35">
              <w:rPr>
                <w:rStyle w:val="af"/>
                <w:rFonts w:ascii="Times New Roman" w:hAnsi="Times New Roman" w:cs="Times New Roman"/>
                <w:i/>
                <w:iCs/>
                <w:color w:val="000000"/>
                <w:sz w:val="24"/>
                <w:szCs w:val="24"/>
              </w:rPr>
              <w:t>MS</w:t>
            </w:r>
          </w:p>
        </w:tc>
        <w:tc>
          <w:tcPr>
            <w:tcW w:w="1462" w:type="dxa"/>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F- ratio</w:t>
            </w:r>
          </w:p>
        </w:tc>
      </w:tr>
      <w:tr w:rsidR="00C06068" w:rsidRPr="00802D35" w:rsidTr="00436547">
        <w:tc>
          <w:tcPr>
            <w:tcW w:w="1448" w:type="dxa"/>
            <w:vMerge w:val="restart"/>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Внешние факторы</w:t>
            </w:r>
          </w:p>
        </w:tc>
        <w:tc>
          <w:tcPr>
            <w:tcW w:w="1966" w:type="dxa"/>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MSA</w:t>
            </w:r>
          </w:p>
        </w:tc>
        <w:tc>
          <w:tcPr>
            <w:tcW w:w="171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3740366,2</w:t>
            </w:r>
          </w:p>
        </w:tc>
        <w:tc>
          <w:tcPr>
            <w:tcW w:w="1275" w:type="dxa"/>
            <w:vAlign w:val="center"/>
          </w:tcPr>
          <w:p w:rsidR="00C06068" w:rsidRPr="00802D35" w:rsidRDefault="00C06068"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66</w:t>
            </w:r>
          </w:p>
        </w:tc>
        <w:tc>
          <w:tcPr>
            <w:tcW w:w="159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1832765,5</w:t>
            </w:r>
          </w:p>
        </w:tc>
        <w:tc>
          <w:tcPr>
            <w:tcW w:w="1462" w:type="dxa"/>
            <w:vMerge w:val="restart"/>
            <w:shd w:val="clear" w:color="auto" w:fill="auto"/>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F =10,104</w:t>
            </w:r>
          </w:p>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Р=0,0411</w:t>
            </w:r>
          </w:p>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значим</w:t>
            </w:r>
          </w:p>
        </w:tc>
      </w:tr>
      <w:tr w:rsidR="00C06068" w:rsidRPr="00802D35" w:rsidTr="00436547">
        <w:tc>
          <w:tcPr>
            <w:tcW w:w="1448" w:type="dxa"/>
            <w:vMerge/>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p>
        </w:tc>
        <w:tc>
          <w:tcPr>
            <w:tcW w:w="1966" w:type="dxa"/>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MSW</w:t>
            </w:r>
          </w:p>
        </w:tc>
        <w:tc>
          <w:tcPr>
            <w:tcW w:w="171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2586776,4</w:t>
            </w:r>
          </w:p>
        </w:tc>
        <w:tc>
          <w:tcPr>
            <w:tcW w:w="1275" w:type="dxa"/>
            <w:vAlign w:val="center"/>
          </w:tcPr>
          <w:p w:rsidR="00C06068" w:rsidRPr="00802D35" w:rsidRDefault="00C06068"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1881</w:t>
            </w:r>
          </w:p>
        </w:tc>
        <w:tc>
          <w:tcPr>
            <w:tcW w:w="159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65093,07</w:t>
            </w:r>
          </w:p>
        </w:tc>
        <w:tc>
          <w:tcPr>
            <w:tcW w:w="1462" w:type="dxa"/>
            <w:vMerge/>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p>
        </w:tc>
      </w:tr>
      <w:tr w:rsidR="00C06068" w:rsidRPr="00802D35" w:rsidTr="00436547">
        <w:tc>
          <w:tcPr>
            <w:tcW w:w="1448" w:type="dxa"/>
            <w:vMerge/>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p>
        </w:tc>
        <w:tc>
          <w:tcPr>
            <w:tcW w:w="1966" w:type="dxa"/>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MST</w:t>
            </w:r>
          </w:p>
        </w:tc>
        <w:tc>
          <w:tcPr>
            <w:tcW w:w="171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7575199,04</w:t>
            </w:r>
          </w:p>
        </w:tc>
        <w:tc>
          <w:tcPr>
            <w:tcW w:w="1275" w:type="dxa"/>
            <w:vAlign w:val="center"/>
          </w:tcPr>
          <w:p w:rsidR="00C06068" w:rsidRPr="00802D35" w:rsidRDefault="00C06068"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1947</w:t>
            </w:r>
          </w:p>
        </w:tc>
        <w:tc>
          <w:tcPr>
            <w:tcW w:w="1596" w:type="dxa"/>
            <w:vAlign w:val="bottom"/>
          </w:tcPr>
          <w:p w:rsidR="00C06068" w:rsidRPr="00802D35" w:rsidRDefault="00C06068" w:rsidP="00436547">
            <w:pPr>
              <w:jc w:val="center"/>
              <w:rPr>
                <w:rFonts w:ascii="Times New Roman" w:hAnsi="Times New Roman" w:cs="Times New Roman"/>
                <w:color w:val="000000"/>
                <w:sz w:val="24"/>
                <w:szCs w:val="24"/>
              </w:rPr>
            </w:pPr>
          </w:p>
        </w:tc>
        <w:tc>
          <w:tcPr>
            <w:tcW w:w="1462" w:type="dxa"/>
            <w:vMerge/>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p>
        </w:tc>
      </w:tr>
      <w:tr w:rsidR="00C06068" w:rsidRPr="00802D35" w:rsidTr="00436547">
        <w:tc>
          <w:tcPr>
            <w:tcW w:w="1448" w:type="dxa"/>
            <w:vMerge w:val="restart"/>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Внутренние факторы</w:t>
            </w:r>
          </w:p>
        </w:tc>
        <w:tc>
          <w:tcPr>
            <w:tcW w:w="1966" w:type="dxa"/>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MSA</w:t>
            </w:r>
          </w:p>
        </w:tc>
        <w:tc>
          <w:tcPr>
            <w:tcW w:w="171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3523345,04</w:t>
            </w:r>
          </w:p>
        </w:tc>
        <w:tc>
          <w:tcPr>
            <w:tcW w:w="1275" w:type="dxa"/>
            <w:vAlign w:val="center"/>
          </w:tcPr>
          <w:p w:rsidR="00C06068" w:rsidRPr="00802D35" w:rsidRDefault="00C06068"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36</w:t>
            </w:r>
          </w:p>
        </w:tc>
        <w:tc>
          <w:tcPr>
            <w:tcW w:w="159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590911,12</w:t>
            </w:r>
          </w:p>
        </w:tc>
        <w:tc>
          <w:tcPr>
            <w:tcW w:w="1462" w:type="dxa"/>
            <w:vMerge w:val="restart"/>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F =5,133</w:t>
            </w:r>
          </w:p>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Р&lt;0,042</w:t>
            </w:r>
          </w:p>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значим</w:t>
            </w:r>
          </w:p>
        </w:tc>
      </w:tr>
      <w:tr w:rsidR="00C06068" w:rsidRPr="00802D35" w:rsidTr="00436547">
        <w:tc>
          <w:tcPr>
            <w:tcW w:w="1448" w:type="dxa"/>
            <w:vMerge/>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p>
        </w:tc>
        <w:tc>
          <w:tcPr>
            <w:tcW w:w="1966" w:type="dxa"/>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MSW</w:t>
            </w:r>
          </w:p>
        </w:tc>
        <w:tc>
          <w:tcPr>
            <w:tcW w:w="171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9712921,44</w:t>
            </w:r>
          </w:p>
        </w:tc>
        <w:tc>
          <w:tcPr>
            <w:tcW w:w="1275" w:type="dxa"/>
            <w:vAlign w:val="center"/>
          </w:tcPr>
          <w:p w:rsidR="00C06068" w:rsidRPr="00802D35" w:rsidRDefault="00C06068"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810</w:t>
            </w:r>
          </w:p>
        </w:tc>
        <w:tc>
          <w:tcPr>
            <w:tcW w:w="159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71765,74</w:t>
            </w:r>
          </w:p>
        </w:tc>
        <w:tc>
          <w:tcPr>
            <w:tcW w:w="1462" w:type="dxa"/>
            <w:vMerge/>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p>
        </w:tc>
      </w:tr>
      <w:tr w:rsidR="00C06068" w:rsidRPr="00802D35" w:rsidTr="00436547">
        <w:tc>
          <w:tcPr>
            <w:tcW w:w="1448" w:type="dxa"/>
            <w:vMerge/>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p>
        </w:tc>
        <w:tc>
          <w:tcPr>
            <w:tcW w:w="1966" w:type="dxa"/>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MST</w:t>
            </w:r>
          </w:p>
        </w:tc>
        <w:tc>
          <w:tcPr>
            <w:tcW w:w="1716" w:type="dxa"/>
            <w:vAlign w:val="bottom"/>
          </w:tcPr>
          <w:p w:rsidR="00C06068" w:rsidRPr="00802D35" w:rsidRDefault="00C06068"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21997708,83</w:t>
            </w:r>
          </w:p>
        </w:tc>
        <w:tc>
          <w:tcPr>
            <w:tcW w:w="1275" w:type="dxa"/>
            <w:vAlign w:val="center"/>
          </w:tcPr>
          <w:p w:rsidR="00C06068" w:rsidRPr="00802D35" w:rsidRDefault="00C06068"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846</w:t>
            </w:r>
          </w:p>
        </w:tc>
        <w:tc>
          <w:tcPr>
            <w:tcW w:w="1596" w:type="dxa"/>
            <w:vAlign w:val="center"/>
          </w:tcPr>
          <w:p w:rsidR="00C06068" w:rsidRPr="00802D35" w:rsidRDefault="00C06068" w:rsidP="00436547">
            <w:pPr>
              <w:widowControl w:val="0"/>
              <w:jc w:val="center"/>
              <w:rPr>
                <w:rFonts w:ascii="Times New Roman" w:hAnsi="Times New Roman" w:cs="Times New Roman"/>
                <w:color w:val="000000"/>
                <w:sz w:val="24"/>
                <w:szCs w:val="24"/>
              </w:rPr>
            </w:pPr>
          </w:p>
        </w:tc>
        <w:tc>
          <w:tcPr>
            <w:tcW w:w="1462" w:type="dxa"/>
            <w:vMerge/>
          </w:tcPr>
          <w:p w:rsidR="00C06068" w:rsidRPr="00802D35" w:rsidRDefault="00C06068" w:rsidP="00436547">
            <w:pPr>
              <w:widowControl w:val="0"/>
              <w:tabs>
                <w:tab w:val="left" w:pos="851"/>
                <w:tab w:val="left" w:pos="993"/>
              </w:tabs>
              <w:jc w:val="center"/>
              <w:rPr>
                <w:rFonts w:ascii="Times New Roman" w:hAnsi="Times New Roman" w:cs="Times New Roman"/>
                <w:sz w:val="24"/>
                <w:szCs w:val="24"/>
              </w:rPr>
            </w:pPr>
          </w:p>
        </w:tc>
      </w:tr>
      <w:tr w:rsidR="00C06068" w:rsidRPr="00802D35" w:rsidTr="00436547">
        <w:tc>
          <w:tcPr>
            <w:tcW w:w="9463" w:type="dxa"/>
            <w:gridSpan w:val="6"/>
          </w:tcPr>
          <w:p w:rsidR="00C06068" w:rsidRPr="00802D35" w:rsidRDefault="00C06068" w:rsidP="00436547">
            <w:pPr>
              <w:jc w:val="both"/>
              <w:rPr>
                <w:rFonts w:ascii="Times New Roman" w:hAnsi="Times New Roman" w:cs="Times New Roman"/>
                <w:color w:val="000000"/>
                <w:sz w:val="24"/>
                <w:szCs w:val="24"/>
              </w:rPr>
            </w:pPr>
            <w:r w:rsidRPr="00802D35">
              <w:rPr>
                <w:rFonts w:ascii="Times New Roman" w:hAnsi="Times New Roman" w:cs="Times New Roman"/>
                <w:color w:val="000000"/>
                <w:sz w:val="24"/>
                <w:szCs w:val="24"/>
              </w:rPr>
              <w:t>Примечание – составлено автором на основании расчетов</w:t>
            </w:r>
          </w:p>
        </w:tc>
      </w:tr>
    </w:tbl>
    <w:p w:rsidR="00C06068" w:rsidRPr="00802D35" w:rsidRDefault="00C06068" w:rsidP="00C06068">
      <w:pPr>
        <w:spacing w:after="0" w:line="240" w:lineRule="auto"/>
        <w:ind w:firstLine="567"/>
        <w:jc w:val="both"/>
        <w:rPr>
          <w:rFonts w:ascii="Times New Roman" w:hAnsi="Times New Roman" w:cs="Times New Roman"/>
          <w:sz w:val="28"/>
          <w:szCs w:val="28"/>
          <w:shd w:val="clear" w:color="auto" w:fill="FFFFFF"/>
        </w:rPr>
      </w:pPr>
    </w:p>
    <w:p w:rsidR="006C5495" w:rsidRPr="00802D35" w:rsidRDefault="00C06068" w:rsidP="00C06068">
      <w:pPr>
        <w:spacing w:after="0" w:line="240" w:lineRule="auto"/>
        <w:ind w:firstLine="567"/>
        <w:jc w:val="both"/>
        <w:rPr>
          <w:rFonts w:ascii="Times New Roman" w:hAnsi="Times New Roman" w:cs="Times New Roman"/>
          <w:color w:val="000000"/>
          <w:sz w:val="28"/>
          <w:szCs w:val="28"/>
          <w:shd w:val="clear" w:color="auto" w:fill="FFFFFF"/>
        </w:rPr>
      </w:pPr>
      <w:r w:rsidRPr="00802D35">
        <w:rPr>
          <w:rStyle w:val="HTML"/>
          <w:rFonts w:ascii="Times New Roman" w:hAnsi="Times New Roman" w:cs="Times New Roman"/>
          <w:i w:val="0"/>
          <w:sz w:val="28"/>
          <w:szCs w:val="28"/>
          <w:shd w:val="clear" w:color="auto" w:fill="FFFFFF"/>
        </w:rPr>
        <w:t>Дисперсионный анализ ANOVA показал значимость групп факторов и то, что выборки независимы между собой за небольшим исключением внутри самих групп, несмотря на то, что некоторые из рассматриваемых факторов практически не влияют на уровень вкладов клиентов в 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Банк</w:t>
      </w:r>
      <w:r w:rsidRPr="00802D35">
        <w:rPr>
          <w:rFonts w:ascii="Times New Roman" w:hAnsi="Times New Roman" w:cs="Times New Roman"/>
          <w:sz w:val="28"/>
          <w:szCs w:val="28"/>
          <w:shd w:val="clear" w:color="auto" w:fill="FFFFFF"/>
        </w:rPr>
        <w:t xml:space="preserve">. В результате, показатель </w:t>
      </w:r>
      <w:r w:rsidRPr="00802D35">
        <w:rPr>
          <w:rFonts w:ascii="Times New Roman" w:hAnsi="Times New Roman" w:cs="Times New Roman"/>
          <w:color w:val="000000"/>
          <w:sz w:val="28"/>
          <w:szCs w:val="28"/>
          <w:shd w:val="clear" w:color="auto" w:fill="FFFFFF"/>
        </w:rPr>
        <w:t>дисперсии, оцениваемый между группами факторов, оказывает большее влияние на сумму дисперсий, чем дисперсия, оцениваемая между факторами самих групп. Иными словами, обозначенные факторы внутри групп оказывают влияние на результирующий фактор, которым выступает объем вкладов клиентов банка.</w:t>
      </w:r>
    </w:p>
    <w:p w:rsidR="00E47004" w:rsidRPr="00802D35" w:rsidRDefault="00E47004" w:rsidP="00E47004">
      <w:pPr>
        <w:spacing w:after="0" w:line="240" w:lineRule="auto"/>
        <w:ind w:firstLine="567"/>
        <w:jc w:val="both"/>
        <w:rPr>
          <w:rStyle w:val="HTML"/>
          <w:rFonts w:ascii="Times New Roman" w:hAnsi="Times New Roman" w:cs="Times New Roman"/>
          <w:i w:val="0"/>
          <w:sz w:val="28"/>
          <w:szCs w:val="28"/>
          <w:shd w:val="clear" w:color="auto" w:fill="FFFFFF"/>
        </w:rPr>
      </w:pPr>
      <w:r w:rsidRPr="00802D35">
        <w:rPr>
          <w:rFonts w:ascii="Times New Roman" w:hAnsi="Times New Roman" w:cs="Times New Roman"/>
          <w:sz w:val="28"/>
          <w:szCs w:val="28"/>
        </w:rPr>
        <w:t xml:space="preserve">Для модели по </w:t>
      </w:r>
      <w:r w:rsidRPr="00802D35">
        <w:rPr>
          <w:rStyle w:val="HTML"/>
          <w:rFonts w:ascii="Times New Roman" w:hAnsi="Times New Roman" w:cs="Times New Roman"/>
          <w:i w:val="0"/>
          <w:sz w:val="28"/>
          <w:szCs w:val="28"/>
          <w:shd w:val="clear" w:color="auto" w:fill="FFFFFF"/>
        </w:rPr>
        <w:t>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 xml:space="preserve">Банк все значения </w:t>
      </w:r>
      <w:r w:rsidRPr="00802D35">
        <w:rPr>
          <w:rFonts w:ascii="Times New Roman" w:hAnsi="Times New Roman" w:cs="Times New Roman"/>
          <w:sz w:val="28"/>
          <w:szCs w:val="28"/>
        </w:rPr>
        <w:t>VIF</w:t>
      </w:r>
      <w:r w:rsidRPr="00802D35">
        <w:rPr>
          <w:rFonts w:ascii="Times New Roman" w:hAnsi="Times New Roman" w:cs="Times New Roman"/>
          <w:sz w:val="28"/>
          <w:szCs w:val="28"/>
          <w:vertAlign w:val="subscript"/>
        </w:rPr>
        <w:t>i</w:t>
      </w:r>
      <w:r w:rsidRPr="00802D35">
        <w:rPr>
          <w:rStyle w:val="HTML"/>
          <w:rFonts w:ascii="Times New Roman" w:hAnsi="Times New Roman" w:cs="Times New Roman"/>
          <w:i w:val="0"/>
          <w:sz w:val="28"/>
          <w:szCs w:val="28"/>
          <w:shd w:val="clear" w:color="auto" w:fill="FFFFFF"/>
        </w:rPr>
        <w:t xml:space="preserve"> оказались в пределах нормы и не превысили допустимого значения, что позволяет исключить мультиколлинеарность.</w:t>
      </w:r>
      <w:r w:rsidR="00D72164"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Результаты анализа влияния факторов для АО Kaspi Bank представлены в таблице 11. При этом в качестве λ был выбран показатель, при котором MSE</w:t>
      </w:r>
      <w:r w:rsidRPr="00802D35">
        <w:rPr>
          <w:rStyle w:val="HTML"/>
          <w:rFonts w:ascii="Times New Roman" w:hAnsi="Times New Roman" w:cs="Times New Roman"/>
          <w:i w:val="0"/>
          <w:sz w:val="28"/>
          <w:szCs w:val="28"/>
          <w:shd w:val="clear" w:color="auto" w:fill="FFFFFF"/>
          <w:vertAlign w:val="subscript"/>
        </w:rPr>
        <w:t>λ</w:t>
      </w:r>
      <w:r w:rsidRPr="00802D35">
        <w:rPr>
          <w:rStyle w:val="HTML"/>
          <w:rFonts w:ascii="Times New Roman" w:hAnsi="Times New Roman" w:cs="Times New Roman"/>
          <w:i w:val="0"/>
          <w:sz w:val="28"/>
          <w:szCs w:val="28"/>
          <w:shd w:val="clear" w:color="auto" w:fill="FFFFFF"/>
        </w:rPr>
        <w:t xml:space="preserve"> оказалось минимальным λ = 0,056.</w:t>
      </w:r>
    </w:p>
    <w:p w:rsidR="00E47004" w:rsidRPr="00802D35" w:rsidRDefault="00E47004" w:rsidP="00E47004">
      <w:pPr>
        <w:spacing w:after="0" w:line="240" w:lineRule="auto"/>
        <w:jc w:val="both"/>
        <w:rPr>
          <w:rStyle w:val="HTML"/>
          <w:rFonts w:ascii="Times New Roman" w:hAnsi="Times New Roman" w:cs="Times New Roman"/>
          <w:i w:val="0"/>
          <w:sz w:val="28"/>
          <w:szCs w:val="28"/>
          <w:shd w:val="clear" w:color="auto" w:fill="FFFFFF"/>
        </w:rPr>
      </w:pPr>
    </w:p>
    <w:p w:rsidR="00E47004" w:rsidRPr="00802D35" w:rsidRDefault="00E47004" w:rsidP="00E47004">
      <w:pPr>
        <w:spacing w:after="0" w:line="240" w:lineRule="auto"/>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 xml:space="preserve">Таблица 11 – Показатели оценки влияния факторов на уровень вкладов АО Kaspi Bank </w:t>
      </w:r>
    </w:p>
    <w:p w:rsidR="00E47004" w:rsidRPr="00802D35" w:rsidRDefault="00E47004" w:rsidP="00E47004">
      <w:pPr>
        <w:spacing w:after="0" w:line="240" w:lineRule="auto"/>
        <w:jc w:val="both"/>
        <w:rPr>
          <w:rStyle w:val="HTML"/>
          <w:rFonts w:ascii="Times New Roman" w:hAnsi="Times New Roman" w:cs="Times New Roman"/>
          <w:i w:val="0"/>
          <w:sz w:val="28"/>
          <w:szCs w:val="28"/>
          <w:shd w:val="clear" w:color="auto" w:fill="FFFFFF"/>
        </w:rPr>
      </w:pPr>
    </w:p>
    <w:tbl>
      <w:tblPr>
        <w:tblStyle w:val="af1"/>
        <w:tblW w:w="0" w:type="auto"/>
        <w:tblLayout w:type="fixed"/>
        <w:tblLook w:val="04A0" w:firstRow="1" w:lastRow="0" w:firstColumn="1" w:lastColumn="0" w:noHBand="0" w:noVBand="1"/>
      </w:tblPr>
      <w:tblGrid>
        <w:gridCol w:w="4077"/>
        <w:gridCol w:w="1373"/>
        <w:gridCol w:w="1374"/>
        <w:gridCol w:w="1373"/>
        <w:gridCol w:w="1374"/>
      </w:tblGrid>
      <w:tr w:rsidR="00E47004" w:rsidRPr="00802D35" w:rsidTr="00436547">
        <w:tc>
          <w:tcPr>
            <w:tcW w:w="4077"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Показатели</w:t>
            </w:r>
          </w:p>
        </w:tc>
        <w:tc>
          <w:tcPr>
            <w:tcW w:w="1373" w:type="dxa"/>
          </w:tcPr>
          <w:p w:rsidR="00E47004" w:rsidRPr="00802D35" w:rsidRDefault="00E47004" w:rsidP="00436547">
            <w:pPr>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Corr</w:t>
            </w:r>
          </w:p>
        </w:tc>
        <w:tc>
          <w:tcPr>
            <w:tcW w:w="1374" w:type="dxa"/>
          </w:tcPr>
          <w:p w:rsidR="00E47004" w:rsidRPr="00802D35" w:rsidRDefault="00E47004" w:rsidP="00436547">
            <w:pPr>
              <w:jc w:val="center"/>
              <w:rPr>
                <w:rStyle w:val="HTML"/>
                <w:rFonts w:ascii="Times New Roman" w:hAnsi="Times New Roman" w:cs="Times New Roman"/>
                <w:sz w:val="24"/>
                <w:szCs w:val="24"/>
                <w:shd w:val="clear" w:color="auto" w:fill="FFFFFF"/>
                <w:vertAlign w:val="superscript"/>
              </w:rPr>
            </w:pPr>
            <w:r w:rsidRPr="00802D35">
              <w:rPr>
                <w:rFonts w:ascii="Times New Roman" w:hAnsi="Times New Roman" w:cs="Times New Roman"/>
                <w:i/>
                <w:sz w:val="24"/>
                <w:szCs w:val="24"/>
              </w:rPr>
              <w:t>R</w:t>
            </w:r>
            <w:r w:rsidRPr="00802D35">
              <w:rPr>
                <w:rFonts w:ascii="Times New Roman" w:hAnsi="Times New Roman" w:cs="Times New Roman"/>
                <w:i/>
                <w:sz w:val="24"/>
                <w:szCs w:val="24"/>
                <w:vertAlign w:val="superscript"/>
              </w:rPr>
              <w:t>2</w:t>
            </w:r>
          </w:p>
        </w:tc>
        <w:tc>
          <w:tcPr>
            <w:tcW w:w="1373" w:type="dxa"/>
          </w:tcPr>
          <w:p w:rsidR="00E47004" w:rsidRPr="00802D35" w:rsidRDefault="00E47004" w:rsidP="00436547">
            <w:pPr>
              <w:jc w:val="center"/>
              <w:rPr>
                <w:rStyle w:val="HTML"/>
                <w:rFonts w:ascii="Times New Roman" w:hAnsi="Times New Roman" w:cs="Times New Roman"/>
                <w:sz w:val="24"/>
                <w:szCs w:val="24"/>
                <w:shd w:val="clear" w:color="auto" w:fill="FFFFFF"/>
              </w:rPr>
            </w:pPr>
            <w:r w:rsidRPr="00802D35">
              <w:rPr>
                <w:rFonts w:ascii="Times New Roman" w:hAnsi="Times New Roman" w:cs="Times New Roman"/>
                <w:i/>
                <w:sz w:val="24"/>
                <w:szCs w:val="24"/>
              </w:rPr>
              <w:t>VIF</w:t>
            </w:r>
          </w:p>
        </w:tc>
        <w:tc>
          <w:tcPr>
            <w:tcW w:w="1374" w:type="dxa"/>
          </w:tcPr>
          <w:p w:rsidR="00E47004" w:rsidRPr="00802D35" w:rsidRDefault="00E47004" w:rsidP="00436547">
            <w:pPr>
              <w:jc w:val="center"/>
              <w:rPr>
                <w:rFonts w:ascii="Times New Roman" w:hAnsi="Times New Roman" w:cs="Times New Roman"/>
                <w:i/>
                <w:sz w:val="24"/>
                <w:szCs w:val="24"/>
              </w:rPr>
            </w:pPr>
            <w:r w:rsidRPr="00802D35">
              <w:rPr>
                <w:rFonts w:ascii="Times New Roman" w:hAnsi="Times New Roman" w:cs="Times New Roman"/>
                <w:i/>
                <w:sz w:val="24"/>
                <w:szCs w:val="24"/>
              </w:rPr>
              <w:t>MSE</w:t>
            </w:r>
          </w:p>
        </w:tc>
      </w:tr>
      <w:tr w:rsidR="00E47004" w:rsidRPr="00802D35" w:rsidTr="00436547">
        <w:tc>
          <w:tcPr>
            <w:tcW w:w="4077"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1</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2</w:t>
            </w:r>
          </w:p>
        </w:tc>
        <w:tc>
          <w:tcPr>
            <w:tcW w:w="1374" w:type="dxa"/>
          </w:tcPr>
          <w:p w:rsidR="00E47004" w:rsidRPr="00802D35" w:rsidRDefault="00E47004" w:rsidP="00436547">
            <w:pPr>
              <w:jc w:val="center"/>
              <w:rPr>
                <w:rFonts w:ascii="Times New Roman" w:hAnsi="Times New Roman" w:cs="Times New Roman"/>
                <w:sz w:val="24"/>
                <w:szCs w:val="24"/>
              </w:rPr>
            </w:pPr>
            <w:r w:rsidRPr="00802D35">
              <w:rPr>
                <w:rFonts w:ascii="Times New Roman" w:hAnsi="Times New Roman" w:cs="Times New Roman"/>
                <w:sz w:val="24"/>
                <w:szCs w:val="24"/>
              </w:rPr>
              <w:t>3</w:t>
            </w:r>
          </w:p>
        </w:tc>
        <w:tc>
          <w:tcPr>
            <w:tcW w:w="1373" w:type="dxa"/>
          </w:tcPr>
          <w:p w:rsidR="00E47004" w:rsidRPr="00802D35" w:rsidRDefault="00E47004" w:rsidP="00436547">
            <w:pPr>
              <w:jc w:val="center"/>
              <w:rPr>
                <w:rFonts w:ascii="Times New Roman" w:hAnsi="Times New Roman" w:cs="Times New Roman"/>
                <w:sz w:val="24"/>
                <w:szCs w:val="24"/>
              </w:rPr>
            </w:pPr>
            <w:r w:rsidRPr="00802D35">
              <w:rPr>
                <w:rFonts w:ascii="Times New Roman" w:hAnsi="Times New Roman" w:cs="Times New Roman"/>
                <w:sz w:val="24"/>
                <w:szCs w:val="24"/>
              </w:rPr>
              <w:t>4</w:t>
            </w:r>
          </w:p>
        </w:tc>
        <w:tc>
          <w:tcPr>
            <w:tcW w:w="1374" w:type="dxa"/>
          </w:tcPr>
          <w:p w:rsidR="00E47004" w:rsidRPr="00802D35" w:rsidRDefault="00E47004" w:rsidP="00436547">
            <w:pPr>
              <w:jc w:val="center"/>
              <w:rPr>
                <w:rFonts w:ascii="Times New Roman" w:hAnsi="Times New Roman" w:cs="Times New Roman"/>
                <w:sz w:val="24"/>
                <w:szCs w:val="24"/>
              </w:rPr>
            </w:pPr>
            <w:r w:rsidRPr="00802D35">
              <w:rPr>
                <w:rFonts w:ascii="Times New Roman" w:hAnsi="Times New Roman" w:cs="Times New Roman"/>
                <w:sz w:val="24"/>
                <w:szCs w:val="24"/>
              </w:rPr>
              <w:t>5</w:t>
            </w:r>
          </w:p>
        </w:tc>
      </w:tr>
      <w:tr w:rsidR="00E47004" w:rsidRPr="00802D35" w:rsidTr="00436547">
        <w:tc>
          <w:tcPr>
            <w:tcW w:w="9571" w:type="dxa"/>
            <w:gridSpan w:val="5"/>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sz w:val="24"/>
                <w:szCs w:val="24"/>
                <w:shd w:val="clear" w:color="auto" w:fill="FFFFFF"/>
              </w:rPr>
              <w:t>Внешние факторы</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Уровень доходов населения</w:t>
            </w:r>
            <w:r w:rsidRPr="00802D35">
              <w:rPr>
                <w:rStyle w:val="HTML"/>
                <w:rFonts w:ascii="Times New Roman" w:hAnsi="Times New Roman" w:cs="Times New Roman"/>
                <w:sz w:val="24"/>
                <w:szCs w:val="24"/>
                <w:shd w:val="clear" w:color="auto" w:fill="FFFFFF"/>
              </w:rPr>
              <w:t xml:space="preserve"> </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0,723</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0,523</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2,096</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0,164</w:t>
            </w:r>
          </w:p>
        </w:tc>
      </w:tr>
      <w:tr w:rsidR="00E47004" w:rsidRPr="00802D35" w:rsidTr="00436547">
        <w:tc>
          <w:tcPr>
            <w:tcW w:w="4077" w:type="dxa"/>
          </w:tcPr>
          <w:p w:rsidR="00E47004" w:rsidRPr="00802D35" w:rsidRDefault="00E47004" w:rsidP="00436547">
            <w:pPr>
              <w:rPr>
                <w:rStyle w:val="HTML"/>
                <w:rFonts w:ascii="Times New Roman" w:hAnsi="Times New Roman" w:cs="Times New Roman"/>
                <w:i w:val="0"/>
                <w:sz w:val="24"/>
                <w:szCs w:val="24"/>
                <w:shd w:val="clear" w:color="auto" w:fill="FFFFFF"/>
              </w:rPr>
            </w:pPr>
            <w:r w:rsidRPr="00802D35">
              <w:rPr>
                <w:rFonts w:ascii="Times New Roman" w:eastAsia="Times New Roman" w:hAnsi="Times New Roman" w:cs="Times New Roman"/>
                <w:sz w:val="24"/>
                <w:szCs w:val="24"/>
                <w:lang w:eastAsia="ru-RU"/>
              </w:rPr>
              <w:t>Ставка рефинансирования</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0,587</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0,345</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1,527</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0,225</w:t>
            </w:r>
          </w:p>
        </w:tc>
      </w:tr>
      <w:tr w:rsidR="00E47004" w:rsidRPr="00802D35" w:rsidTr="00436547">
        <w:tc>
          <w:tcPr>
            <w:tcW w:w="4077" w:type="dxa"/>
          </w:tcPr>
          <w:p w:rsidR="00E47004" w:rsidRPr="00802D35" w:rsidRDefault="00E47004" w:rsidP="00436547">
            <w:pPr>
              <w:rPr>
                <w:rStyle w:val="HTML"/>
                <w:rFonts w:ascii="Times New Roman" w:hAnsi="Times New Roman" w:cs="Times New Roman"/>
                <w:i w:val="0"/>
                <w:sz w:val="24"/>
                <w:szCs w:val="24"/>
                <w:shd w:val="clear" w:color="auto" w:fill="FFFFFF"/>
              </w:rPr>
            </w:pPr>
            <w:r w:rsidRPr="00802D35">
              <w:rPr>
                <w:rFonts w:ascii="Times New Roman" w:eastAsia="Times New Roman" w:hAnsi="Times New Roman" w:cs="Times New Roman"/>
                <w:sz w:val="24"/>
                <w:szCs w:val="24"/>
                <w:lang w:eastAsia="ru-RU"/>
              </w:rPr>
              <w:t>Инфляция</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-0,101</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0,010</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1,010</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0,341</w:t>
            </w:r>
          </w:p>
        </w:tc>
      </w:tr>
      <w:tr w:rsidR="00E47004" w:rsidRPr="00802D35" w:rsidTr="00436547">
        <w:tc>
          <w:tcPr>
            <w:tcW w:w="4077" w:type="dxa"/>
          </w:tcPr>
          <w:p w:rsidR="00E47004" w:rsidRPr="00802D35" w:rsidRDefault="00E47004" w:rsidP="00436547">
            <w:pPr>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Внешние займы</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-0,009</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8,733</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1,000</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0,344</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Трудоспособное население</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0,523</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0,274</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1,377</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0,250</w:t>
            </w:r>
          </w:p>
        </w:tc>
      </w:tr>
      <w:tr w:rsidR="00E47004" w:rsidRPr="00802D35" w:rsidTr="008C0E8A">
        <w:tc>
          <w:tcPr>
            <w:tcW w:w="4077" w:type="dxa"/>
            <w:tcBorders>
              <w:bottom w:val="single" w:sz="4" w:space="0" w:color="auto"/>
            </w:tcBorders>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ВВП</w:t>
            </w:r>
          </w:p>
        </w:tc>
        <w:tc>
          <w:tcPr>
            <w:tcW w:w="1373" w:type="dxa"/>
            <w:tcBorders>
              <w:bottom w:val="single" w:sz="4" w:space="0" w:color="auto"/>
            </w:tcBorders>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0,199</w:t>
            </w:r>
          </w:p>
        </w:tc>
        <w:tc>
          <w:tcPr>
            <w:tcW w:w="1374" w:type="dxa"/>
            <w:tcBorders>
              <w:bottom w:val="single" w:sz="4" w:space="0" w:color="auto"/>
            </w:tcBorders>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0,0397</w:t>
            </w:r>
          </w:p>
        </w:tc>
        <w:tc>
          <w:tcPr>
            <w:tcW w:w="1373" w:type="dxa"/>
            <w:tcBorders>
              <w:bottom w:val="single" w:sz="4" w:space="0" w:color="auto"/>
            </w:tcBorders>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1,041</w:t>
            </w:r>
          </w:p>
        </w:tc>
        <w:tc>
          <w:tcPr>
            <w:tcW w:w="1374" w:type="dxa"/>
            <w:tcBorders>
              <w:bottom w:val="single" w:sz="4" w:space="0" w:color="auto"/>
            </w:tcBorders>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0,330</w:t>
            </w:r>
          </w:p>
        </w:tc>
      </w:tr>
      <w:tr w:rsidR="00E47004" w:rsidRPr="00802D35" w:rsidTr="008C0E8A">
        <w:tc>
          <w:tcPr>
            <w:tcW w:w="4077" w:type="dxa"/>
            <w:tcBorders>
              <w:bottom w:val="single" w:sz="4" w:space="0" w:color="auto"/>
            </w:tcBorders>
          </w:tcPr>
          <w:p w:rsidR="00E47004" w:rsidRPr="00802D35" w:rsidRDefault="00E47004" w:rsidP="008C0E8A">
            <w:pPr>
              <w:tabs>
                <w:tab w:val="center" w:pos="1930"/>
              </w:tabs>
              <w:jc w:val="both"/>
              <w:rPr>
                <w:rFonts w:ascii="Times New Roman" w:hAnsi="Times New Roman" w:cs="Times New Roman"/>
                <w:sz w:val="24"/>
                <w:szCs w:val="24"/>
              </w:rPr>
            </w:pPr>
            <w:r w:rsidRPr="00802D35">
              <w:rPr>
                <w:rFonts w:ascii="Times New Roman" w:hAnsi="Times New Roman" w:cs="Times New Roman"/>
                <w:sz w:val="24"/>
                <w:szCs w:val="24"/>
              </w:rPr>
              <w:t>Безработица</w:t>
            </w:r>
            <w:r w:rsidR="008C0E8A" w:rsidRPr="00802D35">
              <w:rPr>
                <w:rFonts w:ascii="Times New Roman" w:hAnsi="Times New Roman" w:cs="Times New Roman"/>
                <w:sz w:val="24"/>
                <w:szCs w:val="24"/>
              </w:rPr>
              <w:tab/>
            </w:r>
          </w:p>
        </w:tc>
        <w:tc>
          <w:tcPr>
            <w:tcW w:w="1373" w:type="dxa"/>
            <w:tcBorders>
              <w:bottom w:val="single" w:sz="4" w:space="0" w:color="auto"/>
            </w:tcBorders>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-0,083</w:t>
            </w:r>
          </w:p>
        </w:tc>
        <w:tc>
          <w:tcPr>
            <w:tcW w:w="1374" w:type="dxa"/>
            <w:tcBorders>
              <w:bottom w:val="single" w:sz="4" w:space="0" w:color="auto"/>
            </w:tcBorders>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0,007</w:t>
            </w:r>
          </w:p>
        </w:tc>
        <w:tc>
          <w:tcPr>
            <w:tcW w:w="1373" w:type="dxa"/>
            <w:tcBorders>
              <w:bottom w:val="single" w:sz="4" w:space="0" w:color="auto"/>
            </w:tcBorders>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1,007</w:t>
            </w:r>
          </w:p>
        </w:tc>
        <w:tc>
          <w:tcPr>
            <w:tcW w:w="1374" w:type="dxa"/>
            <w:tcBorders>
              <w:bottom w:val="single" w:sz="4" w:space="0" w:color="auto"/>
            </w:tcBorders>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0,342</w:t>
            </w:r>
          </w:p>
        </w:tc>
      </w:tr>
      <w:tr w:rsidR="00E47004" w:rsidRPr="00802D35" w:rsidTr="008C0E8A">
        <w:tc>
          <w:tcPr>
            <w:tcW w:w="4077" w:type="dxa"/>
            <w:tcBorders>
              <w:top w:val="single" w:sz="4" w:space="0" w:color="auto"/>
              <w:left w:val="single" w:sz="4" w:space="0" w:color="auto"/>
              <w:bottom w:val="nil"/>
              <w:right w:val="single" w:sz="4" w:space="0" w:color="auto"/>
            </w:tcBorders>
          </w:tcPr>
          <w:p w:rsidR="00E47004" w:rsidRPr="00802D35" w:rsidRDefault="00E47004" w:rsidP="00436547">
            <w:pPr>
              <w:rPr>
                <w:rFonts w:ascii="Times New Roman" w:hAnsi="Times New Roman" w:cs="Times New Roman"/>
                <w:sz w:val="24"/>
                <w:szCs w:val="24"/>
              </w:rPr>
            </w:pPr>
            <w:r w:rsidRPr="00802D35">
              <w:rPr>
                <w:rFonts w:ascii="Times New Roman" w:hAnsi="Times New Roman" w:cs="Times New Roman"/>
                <w:sz w:val="24"/>
                <w:szCs w:val="24"/>
              </w:rPr>
              <w:t>Курс доллар/тенге</w:t>
            </w:r>
          </w:p>
        </w:tc>
        <w:tc>
          <w:tcPr>
            <w:tcW w:w="1373" w:type="dxa"/>
            <w:tcBorders>
              <w:top w:val="single" w:sz="4" w:space="0" w:color="auto"/>
              <w:left w:val="single" w:sz="4" w:space="0" w:color="auto"/>
              <w:bottom w:val="nil"/>
              <w:right w:val="single" w:sz="4" w:space="0" w:color="auto"/>
            </w:tcBorders>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0,702</w:t>
            </w:r>
          </w:p>
        </w:tc>
        <w:tc>
          <w:tcPr>
            <w:tcW w:w="1374" w:type="dxa"/>
            <w:tcBorders>
              <w:top w:val="single" w:sz="4" w:space="0" w:color="auto"/>
              <w:left w:val="single" w:sz="4" w:space="0" w:color="auto"/>
              <w:bottom w:val="nil"/>
              <w:right w:val="single" w:sz="4" w:space="0" w:color="auto"/>
            </w:tcBorders>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0,493</w:t>
            </w:r>
          </w:p>
        </w:tc>
        <w:tc>
          <w:tcPr>
            <w:tcW w:w="1373" w:type="dxa"/>
            <w:tcBorders>
              <w:top w:val="single" w:sz="4" w:space="0" w:color="auto"/>
              <w:left w:val="single" w:sz="4" w:space="0" w:color="auto"/>
              <w:bottom w:val="nil"/>
              <w:right w:val="single" w:sz="4" w:space="0" w:color="auto"/>
            </w:tcBorders>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1,973</w:t>
            </w:r>
          </w:p>
        </w:tc>
        <w:tc>
          <w:tcPr>
            <w:tcW w:w="1374" w:type="dxa"/>
            <w:tcBorders>
              <w:top w:val="single" w:sz="4" w:space="0" w:color="auto"/>
              <w:left w:val="single" w:sz="4" w:space="0" w:color="auto"/>
              <w:bottom w:val="nil"/>
              <w:right w:val="single" w:sz="4" w:space="0" w:color="auto"/>
            </w:tcBorders>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0,174</w:t>
            </w:r>
          </w:p>
        </w:tc>
      </w:tr>
      <w:tr w:rsidR="00D72164" w:rsidRPr="00802D35" w:rsidTr="008C0E8A">
        <w:tc>
          <w:tcPr>
            <w:tcW w:w="9571" w:type="dxa"/>
            <w:gridSpan w:val="5"/>
            <w:tcBorders>
              <w:top w:val="nil"/>
              <w:left w:val="nil"/>
              <w:bottom w:val="single" w:sz="4" w:space="0" w:color="auto"/>
              <w:right w:val="nil"/>
            </w:tcBorders>
          </w:tcPr>
          <w:p w:rsidR="00D72164" w:rsidRPr="00802D35" w:rsidRDefault="00D72164" w:rsidP="00436547">
            <w:pPr>
              <w:jc w:val="both"/>
              <w:rPr>
                <w:rFonts w:ascii="Times New Roman" w:hAnsi="Times New Roman" w:cs="Times New Roman"/>
                <w:color w:val="000000"/>
                <w:sz w:val="28"/>
                <w:szCs w:val="28"/>
              </w:rPr>
            </w:pPr>
            <w:r w:rsidRPr="00802D35">
              <w:rPr>
                <w:rFonts w:ascii="Times New Roman" w:hAnsi="Times New Roman" w:cs="Times New Roman"/>
                <w:color w:val="000000"/>
                <w:sz w:val="28"/>
                <w:szCs w:val="28"/>
              </w:rPr>
              <w:lastRenderedPageBreak/>
              <w:t>Продолжение таблицы 11</w:t>
            </w:r>
          </w:p>
          <w:p w:rsidR="00D72164" w:rsidRPr="00802D35" w:rsidRDefault="00D72164" w:rsidP="00436547">
            <w:pPr>
              <w:jc w:val="both"/>
              <w:rPr>
                <w:rFonts w:ascii="Times New Roman" w:hAnsi="Times New Roman" w:cs="Times New Roman"/>
                <w:color w:val="000000"/>
                <w:sz w:val="28"/>
                <w:szCs w:val="28"/>
              </w:rPr>
            </w:pPr>
          </w:p>
        </w:tc>
      </w:tr>
      <w:tr w:rsidR="00D72164" w:rsidRPr="00802D35" w:rsidTr="00436547">
        <w:tc>
          <w:tcPr>
            <w:tcW w:w="4077" w:type="dxa"/>
          </w:tcPr>
          <w:p w:rsidR="00D72164" w:rsidRPr="00802D35" w:rsidRDefault="00D7216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1</w:t>
            </w:r>
          </w:p>
        </w:tc>
        <w:tc>
          <w:tcPr>
            <w:tcW w:w="1373" w:type="dxa"/>
          </w:tcPr>
          <w:p w:rsidR="00D72164" w:rsidRPr="00802D35" w:rsidRDefault="00D7216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2</w:t>
            </w:r>
          </w:p>
        </w:tc>
        <w:tc>
          <w:tcPr>
            <w:tcW w:w="1374" w:type="dxa"/>
          </w:tcPr>
          <w:p w:rsidR="00D72164" w:rsidRPr="00802D35" w:rsidRDefault="00D72164" w:rsidP="00436547">
            <w:pPr>
              <w:jc w:val="center"/>
              <w:rPr>
                <w:rFonts w:ascii="Times New Roman" w:hAnsi="Times New Roman" w:cs="Times New Roman"/>
                <w:sz w:val="24"/>
                <w:szCs w:val="24"/>
              </w:rPr>
            </w:pPr>
            <w:r w:rsidRPr="00802D35">
              <w:rPr>
                <w:rFonts w:ascii="Times New Roman" w:hAnsi="Times New Roman" w:cs="Times New Roman"/>
                <w:sz w:val="24"/>
                <w:szCs w:val="24"/>
              </w:rPr>
              <w:t>3</w:t>
            </w:r>
          </w:p>
        </w:tc>
        <w:tc>
          <w:tcPr>
            <w:tcW w:w="1373" w:type="dxa"/>
          </w:tcPr>
          <w:p w:rsidR="00D72164" w:rsidRPr="00802D35" w:rsidRDefault="00D72164" w:rsidP="00436547">
            <w:pPr>
              <w:jc w:val="center"/>
              <w:rPr>
                <w:rFonts w:ascii="Times New Roman" w:hAnsi="Times New Roman" w:cs="Times New Roman"/>
                <w:sz w:val="24"/>
                <w:szCs w:val="24"/>
              </w:rPr>
            </w:pPr>
            <w:r w:rsidRPr="00802D35">
              <w:rPr>
                <w:rFonts w:ascii="Times New Roman" w:hAnsi="Times New Roman" w:cs="Times New Roman"/>
                <w:sz w:val="24"/>
                <w:szCs w:val="24"/>
              </w:rPr>
              <w:t>4</w:t>
            </w:r>
          </w:p>
        </w:tc>
        <w:tc>
          <w:tcPr>
            <w:tcW w:w="1374" w:type="dxa"/>
          </w:tcPr>
          <w:p w:rsidR="00D72164" w:rsidRPr="00802D35" w:rsidRDefault="00D72164" w:rsidP="00436547">
            <w:pPr>
              <w:jc w:val="center"/>
              <w:rPr>
                <w:rFonts w:ascii="Times New Roman" w:hAnsi="Times New Roman" w:cs="Times New Roman"/>
                <w:sz w:val="24"/>
                <w:szCs w:val="24"/>
              </w:rPr>
            </w:pPr>
            <w:r w:rsidRPr="00802D35">
              <w:rPr>
                <w:rFonts w:ascii="Times New Roman" w:hAnsi="Times New Roman" w:cs="Times New Roman"/>
                <w:sz w:val="24"/>
                <w:szCs w:val="24"/>
              </w:rPr>
              <w:t>5</w:t>
            </w:r>
          </w:p>
        </w:tc>
      </w:tr>
      <w:tr w:rsidR="00E47004" w:rsidRPr="00802D35" w:rsidTr="00436547">
        <w:tc>
          <w:tcPr>
            <w:tcW w:w="4077" w:type="dxa"/>
          </w:tcPr>
          <w:p w:rsidR="00E47004" w:rsidRPr="00802D35" w:rsidRDefault="00E47004" w:rsidP="00436547">
            <w:pPr>
              <w:rPr>
                <w:rFonts w:ascii="Times New Roman" w:hAnsi="Times New Roman" w:cs="Times New Roman"/>
                <w:sz w:val="24"/>
                <w:szCs w:val="24"/>
              </w:rPr>
            </w:pPr>
            <w:r w:rsidRPr="00802D35">
              <w:rPr>
                <w:rFonts w:ascii="Times New Roman" w:hAnsi="Times New Roman" w:cs="Times New Roman"/>
                <w:sz w:val="24"/>
                <w:szCs w:val="24"/>
              </w:rPr>
              <w:t>Курс евро/тенге</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0,440</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0,194</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1,240</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0,277</w:t>
            </w:r>
          </w:p>
        </w:tc>
      </w:tr>
      <w:tr w:rsidR="00E47004" w:rsidRPr="00802D35" w:rsidTr="00436547">
        <w:tc>
          <w:tcPr>
            <w:tcW w:w="4077" w:type="dxa"/>
          </w:tcPr>
          <w:p w:rsidR="00E47004" w:rsidRPr="00802D35" w:rsidRDefault="00E47004" w:rsidP="00436547">
            <w:pPr>
              <w:rPr>
                <w:rFonts w:ascii="Times New Roman" w:hAnsi="Times New Roman" w:cs="Times New Roman"/>
                <w:sz w:val="24"/>
                <w:szCs w:val="24"/>
              </w:rPr>
            </w:pPr>
            <w:r w:rsidRPr="00802D35">
              <w:rPr>
                <w:rFonts w:ascii="Times New Roman" w:hAnsi="Times New Roman" w:cs="Times New Roman"/>
                <w:sz w:val="24"/>
                <w:szCs w:val="24"/>
              </w:rPr>
              <w:t>Курс рубль/тенге</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0,421</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0,177</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1,215</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0,283</w:t>
            </w:r>
          </w:p>
        </w:tc>
      </w:tr>
      <w:tr w:rsidR="00E47004" w:rsidRPr="00802D35" w:rsidTr="00436547">
        <w:tc>
          <w:tcPr>
            <w:tcW w:w="4077" w:type="dxa"/>
          </w:tcPr>
          <w:p w:rsidR="00E47004" w:rsidRPr="00802D35" w:rsidRDefault="00E47004" w:rsidP="00436547">
            <w:pPr>
              <w:rPr>
                <w:rFonts w:ascii="Times New Roman" w:hAnsi="Times New Roman" w:cs="Times New Roman"/>
                <w:sz w:val="24"/>
                <w:szCs w:val="24"/>
              </w:rPr>
            </w:pPr>
            <w:r w:rsidRPr="00802D35">
              <w:rPr>
                <w:rFonts w:ascii="Times New Roman" w:hAnsi="Times New Roman" w:cs="Times New Roman"/>
                <w:sz w:val="24"/>
                <w:szCs w:val="24"/>
              </w:rPr>
              <w:t>Уровень экономической активности</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0,723</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0,523</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2,096</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0,164</w:t>
            </w:r>
          </w:p>
        </w:tc>
      </w:tr>
      <w:tr w:rsidR="00E47004" w:rsidRPr="00802D35" w:rsidTr="00436547">
        <w:tc>
          <w:tcPr>
            <w:tcW w:w="4077" w:type="dxa"/>
          </w:tcPr>
          <w:p w:rsidR="00E47004" w:rsidRPr="00802D35" w:rsidRDefault="00E47004" w:rsidP="00436547">
            <w:pPr>
              <w:rPr>
                <w:rFonts w:ascii="Times New Roman" w:hAnsi="Times New Roman" w:cs="Times New Roman"/>
                <w:sz w:val="24"/>
                <w:szCs w:val="24"/>
              </w:rPr>
            </w:pPr>
            <w:r w:rsidRPr="00802D35">
              <w:rPr>
                <w:rFonts w:ascii="Times New Roman" w:hAnsi="Times New Roman" w:cs="Times New Roman"/>
                <w:sz w:val="24"/>
                <w:szCs w:val="24"/>
              </w:rPr>
              <w:t>Среднемесячная заработная плата</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0,711</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0,506</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2,023</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0,170</w:t>
            </w:r>
          </w:p>
        </w:tc>
      </w:tr>
      <w:tr w:rsidR="00E47004" w:rsidRPr="00802D35" w:rsidTr="00436547">
        <w:tc>
          <w:tcPr>
            <w:tcW w:w="9571" w:type="dxa"/>
            <w:gridSpan w:val="5"/>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sz w:val="24"/>
                <w:szCs w:val="24"/>
                <w:shd w:val="clear" w:color="auto" w:fill="FFFFFF"/>
              </w:rPr>
              <w:t>Внутренние факторы</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Чистые активы</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0,478</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0,229</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1,296</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0,265</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 xml:space="preserve">Капитал </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0,456</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0,208</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1,263</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0,273</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Уровень проблемных кредитов</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0,192</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0,037</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1,038</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0,332</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Ликвидность</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0,338</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0,114</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1,129</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0,305</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Объем выпуска облигаций</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-0,303</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0,092</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1,101</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0,313</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sz w:val="24"/>
                <w:szCs w:val="24"/>
              </w:rPr>
              <w:t>Ставка межбанковского кредита</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-0,101</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0,010</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1,010</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0,341</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Fonts w:ascii="Times New Roman" w:hAnsi="Times New Roman" w:cs="Times New Roman"/>
                <w:color w:val="000000"/>
                <w:sz w:val="24"/>
                <w:szCs w:val="24"/>
              </w:rPr>
              <w:t>Процент ставка по вкладам</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0,702</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0,493</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1,973</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0,174</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Рентабельность активов</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0,380</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0,145</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1,169</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0,294</w:t>
            </w:r>
          </w:p>
        </w:tc>
      </w:tr>
      <w:tr w:rsidR="00E47004" w:rsidRPr="00802D35" w:rsidTr="00436547">
        <w:tc>
          <w:tcPr>
            <w:tcW w:w="4077" w:type="dxa"/>
          </w:tcPr>
          <w:p w:rsidR="00E47004" w:rsidRPr="00802D35" w:rsidRDefault="00E47004" w:rsidP="00436547">
            <w:pPr>
              <w:jc w:val="both"/>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Рентабельность капитала</w:t>
            </w:r>
          </w:p>
        </w:tc>
        <w:tc>
          <w:tcPr>
            <w:tcW w:w="1373" w:type="dxa"/>
          </w:tcPr>
          <w:p w:rsidR="00E47004" w:rsidRPr="00802D35" w:rsidRDefault="00E47004" w:rsidP="00436547">
            <w:pPr>
              <w:jc w:val="center"/>
              <w:rPr>
                <w:rStyle w:val="HTML"/>
                <w:rFonts w:ascii="Times New Roman" w:hAnsi="Times New Roman" w:cs="Times New Roman"/>
                <w:i w:val="0"/>
                <w:sz w:val="24"/>
                <w:szCs w:val="24"/>
                <w:shd w:val="clear" w:color="auto" w:fill="FFFFFF"/>
              </w:rPr>
            </w:pPr>
            <w:r w:rsidRPr="00802D35">
              <w:rPr>
                <w:rStyle w:val="HTML"/>
                <w:rFonts w:ascii="Times New Roman" w:hAnsi="Times New Roman" w:cs="Times New Roman"/>
                <w:i w:val="0"/>
                <w:sz w:val="24"/>
                <w:szCs w:val="24"/>
                <w:shd w:val="clear" w:color="auto" w:fill="FFFFFF"/>
              </w:rPr>
              <w:t>0,332</w:t>
            </w:r>
          </w:p>
        </w:tc>
        <w:tc>
          <w:tcPr>
            <w:tcW w:w="1374" w:type="dxa"/>
            <w:vAlign w:val="center"/>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iCs/>
                <w:color w:val="000000"/>
                <w:sz w:val="24"/>
                <w:szCs w:val="24"/>
              </w:rPr>
              <w:t>0,110</w:t>
            </w:r>
          </w:p>
        </w:tc>
        <w:tc>
          <w:tcPr>
            <w:tcW w:w="1373"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1,124</w:t>
            </w:r>
          </w:p>
        </w:tc>
        <w:tc>
          <w:tcPr>
            <w:tcW w:w="1374" w:type="dxa"/>
            <w:vAlign w:val="bottom"/>
          </w:tcPr>
          <w:p w:rsidR="00E47004" w:rsidRPr="00802D35" w:rsidRDefault="00E47004" w:rsidP="00436547">
            <w:pPr>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0,306</w:t>
            </w:r>
          </w:p>
        </w:tc>
      </w:tr>
      <w:tr w:rsidR="00E47004" w:rsidRPr="00802D35" w:rsidTr="00436547">
        <w:tc>
          <w:tcPr>
            <w:tcW w:w="9571" w:type="dxa"/>
            <w:gridSpan w:val="5"/>
          </w:tcPr>
          <w:p w:rsidR="00E47004" w:rsidRPr="00802D35" w:rsidRDefault="00E47004" w:rsidP="00436547">
            <w:pPr>
              <w:jc w:val="both"/>
              <w:rPr>
                <w:rFonts w:ascii="Times New Roman" w:hAnsi="Times New Roman" w:cs="Times New Roman"/>
                <w:color w:val="000000"/>
                <w:sz w:val="24"/>
                <w:szCs w:val="24"/>
              </w:rPr>
            </w:pPr>
            <w:r w:rsidRPr="00802D35">
              <w:rPr>
                <w:rFonts w:ascii="Times New Roman" w:hAnsi="Times New Roman" w:cs="Times New Roman"/>
                <w:color w:val="000000"/>
                <w:sz w:val="24"/>
                <w:szCs w:val="24"/>
              </w:rPr>
              <w:t>Примечание – составлено автором на основании расчетов</w:t>
            </w:r>
          </w:p>
        </w:tc>
      </w:tr>
    </w:tbl>
    <w:p w:rsidR="00E47004" w:rsidRPr="00802D35" w:rsidRDefault="00E47004" w:rsidP="00E47004">
      <w:pPr>
        <w:spacing w:after="0" w:line="240" w:lineRule="auto"/>
        <w:ind w:firstLine="567"/>
        <w:jc w:val="both"/>
        <w:rPr>
          <w:rStyle w:val="HTML"/>
          <w:rFonts w:ascii="Times New Roman" w:hAnsi="Times New Roman" w:cs="Times New Roman"/>
          <w:i w:val="0"/>
          <w:sz w:val="28"/>
          <w:szCs w:val="28"/>
          <w:shd w:val="clear" w:color="auto" w:fill="FFFFFF"/>
        </w:rPr>
      </w:pPr>
    </w:p>
    <w:p w:rsidR="00E47004" w:rsidRPr="00802D35" w:rsidRDefault="00E47004" w:rsidP="00E47004">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Полученные данные показывают, что наиболее существенное влияние внешних факторов на уровень банковских депозитов оказывают уровень доходов населения (0,72), уровень экономической активности (0,72), среднемесячная заработная плата (0,71), ставка рефинансирования (0,58). Среди внутренних факторов наиболее сильная зависимость наблюдается только по депозитной ставке (0,7), остальные внутренние факторы не оказывают должного влияния на уровень основного источника фондирования банка.</w:t>
      </w:r>
    </w:p>
    <w:p w:rsidR="00D72164" w:rsidRPr="00802D35" w:rsidRDefault="00D72164" w:rsidP="00D72164">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Влияние уровня доходов населения, экономической активности, среднемесячной заработной платы на объем вкладов АО Kaspi Bank свидетельствует о популярности банка, который предлагает своим клиентам широкий спектр «приятных» бонусов и услуг. При этом финансовые показатели банка практически не влияют на привлечение вкладов. В основном население, которое является основной клиентурой банка, не интересует показатели активов, прибыльности и капитала банка.</w:t>
      </w:r>
    </w:p>
    <w:p w:rsidR="00D72164" w:rsidRPr="00802D35" w:rsidRDefault="00D72164" w:rsidP="00D72164">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Для оценки значимости вероятность ошибки (p) принималась в размере не более 0,05. Оценка значимости факторов для АО Kaspi Bank методом ANOVA представлена ​​в таблице 12.</w:t>
      </w:r>
    </w:p>
    <w:p w:rsidR="00D72164" w:rsidRPr="00802D35" w:rsidRDefault="00D72164" w:rsidP="00D72164">
      <w:pPr>
        <w:spacing w:after="0" w:line="240" w:lineRule="auto"/>
        <w:ind w:firstLine="567"/>
        <w:jc w:val="both"/>
        <w:rPr>
          <w:rStyle w:val="HTML"/>
          <w:rFonts w:ascii="Times New Roman" w:hAnsi="Times New Roman" w:cs="Times New Roman"/>
          <w:i w:val="0"/>
          <w:sz w:val="28"/>
          <w:szCs w:val="28"/>
          <w:shd w:val="clear" w:color="auto" w:fill="FFFFFF"/>
        </w:rPr>
      </w:pPr>
    </w:p>
    <w:p w:rsidR="00D72164" w:rsidRPr="00802D35" w:rsidRDefault="00D72164" w:rsidP="00D72164">
      <w:pPr>
        <w:spacing w:after="0" w:line="240" w:lineRule="auto"/>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Таблица 12 - Анализ значимости факторов АО Kaspi Bank ANOVA</w:t>
      </w:r>
    </w:p>
    <w:p w:rsidR="00D72164" w:rsidRPr="00802D35" w:rsidRDefault="00D72164" w:rsidP="00D72164">
      <w:pPr>
        <w:spacing w:after="0" w:line="240" w:lineRule="auto"/>
        <w:jc w:val="both"/>
        <w:rPr>
          <w:rStyle w:val="HTML"/>
          <w:rFonts w:ascii="Times New Roman" w:hAnsi="Times New Roman" w:cs="Times New Roman"/>
          <w:i w:val="0"/>
          <w:sz w:val="28"/>
          <w:szCs w:val="28"/>
          <w:shd w:val="clear" w:color="auto" w:fill="FFFFFF"/>
        </w:rPr>
      </w:pPr>
    </w:p>
    <w:tbl>
      <w:tblPr>
        <w:tblStyle w:val="af1"/>
        <w:tblW w:w="0" w:type="auto"/>
        <w:tblInd w:w="108" w:type="dxa"/>
        <w:tblLook w:val="04A0" w:firstRow="1" w:lastRow="0" w:firstColumn="1" w:lastColumn="0" w:noHBand="0" w:noVBand="1"/>
      </w:tblPr>
      <w:tblGrid>
        <w:gridCol w:w="1448"/>
        <w:gridCol w:w="1966"/>
        <w:gridCol w:w="1716"/>
        <w:gridCol w:w="1275"/>
        <w:gridCol w:w="1596"/>
        <w:gridCol w:w="1462"/>
      </w:tblGrid>
      <w:tr w:rsidR="00D72164" w:rsidRPr="00802D35" w:rsidTr="00436547">
        <w:tc>
          <w:tcPr>
            <w:tcW w:w="1448" w:type="dxa"/>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 xml:space="preserve">Группы </w:t>
            </w:r>
          </w:p>
        </w:tc>
        <w:tc>
          <w:tcPr>
            <w:tcW w:w="1966" w:type="dxa"/>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 xml:space="preserve">Вариабельность </w:t>
            </w:r>
          </w:p>
        </w:tc>
        <w:tc>
          <w:tcPr>
            <w:tcW w:w="1716" w:type="dxa"/>
          </w:tcPr>
          <w:p w:rsidR="00D72164" w:rsidRPr="00802D35" w:rsidRDefault="00D72164" w:rsidP="00436547">
            <w:pPr>
              <w:pStyle w:val="Default"/>
              <w:widowControl w:val="0"/>
              <w:jc w:val="center"/>
              <w:rPr>
                <w:b/>
              </w:rPr>
            </w:pPr>
            <w:r w:rsidRPr="00802D35">
              <w:rPr>
                <w:rStyle w:val="af"/>
                <w:i/>
                <w:iCs/>
              </w:rPr>
              <w:t>SS</w:t>
            </w:r>
          </w:p>
        </w:tc>
        <w:tc>
          <w:tcPr>
            <w:tcW w:w="1275" w:type="dxa"/>
          </w:tcPr>
          <w:p w:rsidR="00D72164" w:rsidRPr="00802D35" w:rsidRDefault="00D72164" w:rsidP="00436547">
            <w:pPr>
              <w:widowControl w:val="0"/>
              <w:jc w:val="center"/>
              <w:rPr>
                <w:rFonts w:ascii="Times New Roman" w:hAnsi="Times New Roman" w:cs="Times New Roman"/>
                <w:b/>
                <w:color w:val="000000"/>
                <w:sz w:val="24"/>
                <w:szCs w:val="24"/>
              </w:rPr>
            </w:pPr>
            <w:r w:rsidRPr="00802D35">
              <w:rPr>
                <w:rStyle w:val="af"/>
                <w:rFonts w:ascii="Times New Roman" w:hAnsi="Times New Roman" w:cs="Times New Roman"/>
                <w:i/>
                <w:iCs/>
                <w:color w:val="000000"/>
                <w:sz w:val="24"/>
                <w:szCs w:val="24"/>
              </w:rPr>
              <w:t>df</w:t>
            </w:r>
          </w:p>
        </w:tc>
        <w:tc>
          <w:tcPr>
            <w:tcW w:w="1596" w:type="dxa"/>
          </w:tcPr>
          <w:p w:rsidR="00D72164" w:rsidRPr="00802D35" w:rsidRDefault="00D72164" w:rsidP="00436547">
            <w:pPr>
              <w:widowControl w:val="0"/>
              <w:jc w:val="center"/>
              <w:rPr>
                <w:rFonts w:ascii="Times New Roman" w:hAnsi="Times New Roman" w:cs="Times New Roman"/>
                <w:b/>
                <w:color w:val="000000"/>
                <w:sz w:val="24"/>
                <w:szCs w:val="24"/>
              </w:rPr>
            </w:pPr>
            <w:r w:rsidRPr="00802D35">
              <w:rPr>
                <w:rStyle w:val="af"/>
                <w:rFonts w:ascii="Times New Roman" w:hAnsi="Times New Roman" w:cs="Times New Roman"/>
                <w:i/>
                <w:iCs/>
                <w:color w:val="000000"/>
                <w:sz w:val="24"/>
                <w:szCs w:val="24"/>
              </w:rPr>
              <w:t>MS</w:t>
            </w:r>
          </w:p>
        </w:tc>
        <w:tc>
          <w:tcPr>
            <w:tcW w:w="1462" w:type="dxa"/>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F- ratio</w:t>
            </w:r>
          </w:p>
        </w:tc>
      </w:tr>
      <w:tr w:rsidR="00D72164" w:rsidRPr="00802D35" w:rsidTr="00436547">
        <w:tc>
          <w:tcPr>
            <w:tcW w:w="1448" w:type="dxa"/>
            <w:vMerge w:val="restart"/>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Внешние факторы</w:t>
            </w:r>
          </w:p>
        </w:tc>
        <w:tc>
          <w:tcPr>
            <w:tcW w:w="1966" w:type="dxa"/>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MSA</w:t>
            </w:r>
          </w:p>
        </w:tc>
        <w:tc>
          <w:tcPr>
            <w:tcW w:w="171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5371678,3042</w:t>
            </w:r>
          </w:p>
        </w:tc>
        <w:tc>
          <w:tcPr>
            <w:tcW w:w="1275"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66</w:t>
            </w:r>
          </w:p>
        </w:tc>
        <w:tc>
          <w:tcPr>
            <w:tcW w:w="159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2177904,0053</w:t>
            </w:r>
          </w:p>
        </w:tc>
        <w:tc>
          <w:tcPr>
            <w:tcW w:w="1462" w:type="dxa"/>
            <w:vMerge w:val="restart"/>
            <w:shd w:val="clear" w:color="auto" w:fill="auto"/>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F =14,0064</w:t>
            </w:r>
          </w:p>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р&lt;0,007311</w:t>
            </w:r>
          </w:p>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significant</w:t>
            </w:r>
          </w:p>
        </w:tc>
      </w:tr>
      <w:tr w:rsidR="00D72164" w:rsidRPr="00802D35" w:rsidTr="00436547">
        <w:tc>
          <w:tcPr>
            <w:tcW w:w="1448" w:type="dxa"/>
            <w:vMerge/>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p>
        </w:tc>
        <w:tc>
          <w:tcPr>
            <w:tcW w:w="1966" w:type="dxa"/>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MSW</w:t>
            </w:r>
          </w:p>
        </w:tc>
        <w:tc>
          <w:tcPr>
            <w:tcW w:w="171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2833077,3511</w:t>
            </w:r>
          </w:p>
        </w:tc>
        <w:tc>
          <w:tcPr>
            <w:tcW w:w="1275"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1881</w:t>
            </w:r>
          </w:p>
        </w:tc>
        <w:tc>
          <w:tcPr>
            <w:tcW w:w="159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83710,2137</w:t>
            </w:r>
          </w:p>
        </w:tc>
        <w:tc>
          <w:tcPr>
            <w:tcW w:w="1462" w:type="dxa"/>
            <w:vMerge/>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p>
        </w:tc>
      </w:tr>
      <w:tr w:rsidR="00D72164" w:rsidRPr="00802D35" w:rsidTr="00436547">
        <w:tc>
          <w:tcPr>
            <w:tcW w:w="1448" w:type="dxa"/>
            <w:vMerge/>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p>
        </w:tc>
        <w:tc>
          <w:tcPr>
            <w:tcW w:w="1966" w:type="dxa"/>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MST</w:t>
            </w:r>
          </w:p>
        </w:tc>
        <w:tc>
          <w:tcPr>
            <w:tcW w:w="171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8765331,0859</w:t>
            </w:r>
          </w:p>
        </w:tc>
        <w:tc>
          <w:tcPr>
            <w:tcW w:w="1275"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1947</w:t>
            </w:r>
          </w:p>
        </w:tc>
        <w:tc>
          <w:tcPr>
            <w:tcW w:w="1596" w:type="dxa"/>
            <w:vAlign w:val="center"/>
          </w:tcPr>
          <w:p w:rsidR="00D72164" w:rsidRPr="00802D35" w:rsidRDefault="00D72164" w:rsidP="00436547">
            <w:pPr>
              <w:widowControl w:val="0"/>
              <w:jc w:val="center"/>
              <w:rPr>
                <w:rFonts w:ascii="Times New Roman" w:hAnsi="Times New Roman" w:cs="Times New Roman"/>
                <w:color w:val="000000"/>
                <w:sz w:val="24"/>
                <w:szCs w:val="24"/>
              </w:rPr>
            </w:pPr>
          </w:p>
        </w:tc>
        <w:tc>
          <w:tcPr>
            <w:tcW w:w="1462" w:type="dxa"/>
            <w:vMerge/>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p>
        </w:tc>
      </w:tr>
      <w:tr w:rsidR="00D72164" w:rsidRPr="00802D35" w:rsidTr="00436547">
        <w:tc>
          <w:tcPr>
            <w:tcW w:w="1448" w:type="dxa"/>
            <w:vMerge w:val="restart"/>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Внутренние факторы</w:t>
            </w:r>
          </w:p>
        </w:tc>
        <w:tc>
          <w:tcPr>
            <w:tcW w:w="1966" w:type="dxa"/>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MSA</w:t>
            </w:r>
          </w:p>
        </w:tc>
        <w:tc>
          <w:tcPr>
            <w:tcW w:w="171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2674441,6703</w:t>
            </w:r>
          </w:p>
        </w:tc>
        <w:tc>
          <w:tcPr>
            <w:tcW w:w="1275"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36</w:t>
            </w:r>
          </w:p>
        </w:tc>
        <w:tc>
          <w:tcPr>
            <w:tcW w:w="159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578404,3375</w:t>
            </w:r>
          </w:p>
        </w:tc>
        <w:tc>
          <w:tcPr>
            <w:tcW w:w="1462" w:type="dxa"/>
            <w:vMerge w:val="restart"/>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F =3,66301</w:t>
            </w:r>
          </w:p>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Р&lt;0,08037</w:t>
            </w:r>
          </w:p>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significant</w:t>
            </w:r>
          </w:p>
        </w:tc>
      </w:tr>
      <w:tr w:rsidR="00D72164" w:rsidRPr="00802D35" w:rsidTr="00436547">
        <w:tc>
          <w:tcPr>
            <w:tcW w:w="1448" w:type="dxa"/>
            <w:vMerge/>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p>
        </w:tc>
        <w:tc>
          <w:tcPr>
            <w:tcW w:w="1966" w:type="dxa"/>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MSW</w:t>
            </w:r>
          </w:p>
        </w:tc>
        <w:tc>
          <w:tcPr>
            <w:tcW w:w="171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7409928,3442</w:t>
            </w:r>
          </w:p>
        </w:tc>
        <w:tc>
          <w:tcPr>
            <w:tcW w:w="1275"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810</w:t>
            </w:r>
          </w:p>
        </w:tc>
        <w:tc>
          <w:tcPr>
            <w:tcW w:w="159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189961,7182</w:t>
            </w:r>
          </w:p>
        </w:tc>
        <w:tc>
          <w:tcPr>
            <w:tcW w:w="1462" w:type="dxa"/>
            <w:vMerge/>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p>
        </w:tc>
      </w:tr>
      <w:tr w:rsidR="00D72164" w:rsidRPr="00802D35" w:rsidTr="00436547">
        <w:tc>
          <w:tcPr>
            <w:tcW w:w="1448" w:type="dxa"/>
            <w:vMerge/>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p>
        </w:tc>
        <w:tc>
          <w:tcPr>
            <w:tcW w:w="1966" w:type="dxa"/>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r w:rsidRPr="00802D35">
              <w:rPr>
                <w:rFonts w:ascii="Times New Roman" w:hAnsi="Times New Roman" w:cs="Times New Roman"/>
                <w:sz w:val="24"/>
                <w:szCs w:val="24"/>
              </w:rPr>
              <w:t>MST</w:t>
            </w:r>
          </w:p>
        </w:tc>
        <w:tc>
          <w:tcPr>
            <w:tcW w:w="1716"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21890136,4893</w:t>
            </w:r>
          </w:p>
        </w:tc>
        <w:tc>
          <w:tcPr>
            <w:tcW w:w="1275" w:type="dxa"/>
            <w:vAlign w:val="center"/>
          </w:tcPr>
          <w:p w:rsidR="00D72164" w:rsidRPr="00802D35" w:rsidRDefault="00D72164" w:rsidP="00436547">
            <w:pPr>
              <w:widowControl w:val="0"/>
              <w:jc w:val="center"/>
              <w:rPr>
                <w:rFonts w:ascii="Times New Roman" w:hAnsi="Times New Roman" w:cs="Times New Roman"/>
                <w:color w:val="000000"/>
                <w:sz w:val="24"/>
                <w:szCs w:val="24"/>
              </w:rPr>
            </w:pPr>
            <w:r w:rsidRPr="00802D35">
              <w:rPr>
                <w:rFonts w:ascii="Times New Roman" w:hAnsi="Times New Roman" w:cs="Times New Roman"/>
                <w:color w:val="000000"/>
                <w:sz w:val="24"/>
                <w:szCs w:val="24"/>
              </w:rPr>
              <w:t>846</w:t>
            </w:r>
          </w:p>
        </w:tc>
        <w:tc>
          <w:tcPr>
            <w:tcW w:w="1596" w:type="dxa"/>
            <w:vAlign w:val="center"/>
          </w:tcPr>
          <w:p w:rsidR="00D72164" w:rsidRPr="00802D35" w:rsidRDefault="00D72164" w:rsidP="00436547">
            <w:pPr>
              <w:widowControl w:val="0"/>
              <w:jc w:val="center"/>
              <w:rPr>
                <w:rFonts w:ascii="Times New Roman" w:hAnsi="Times New Roman" w:cs="Times New Roman"/>
                <w:color w:val="000000"/>
                <w:sz w:val="24"/>
                <w:szCs w:val="24"/>
              </w:rPr>
            </w:pPr>
          </w:p>
        </w:tc>
        <w:tc>
          <w:tcPr>
            <w:tcW w:w="1462" w:type="dxa"/>
            <w:vMerge/>
          </w:tcPr>
          <w:p w:rsidR="00D72164" w:rsidRPr="00802D35" w:rsidRDefault="00D72164" w:rsidP="00436547">
            <w:pPr>
              <w:widowControl w:val="0"/>
              <w:tabs>
                <w:tab w:val="left" w:pos="851"/>
                <w:tab w:val="left" w:pos="993"/>
              </w:tabs>
              <w:jc w:val="center"/>
              <w:rPr>
                <w:rFonts w:ascii="Times New Roman" w:hAnsi="Times New Roman" w:cs="Times New Roman"/>
                <w:sz w:val="24"/>
                <w:szCs w:val="24"/>
              </w:rPr>
            </w:pPr>
          </w:p>
        </w:tc>
      </w:tr>
      <w:tr w:rsidR="00D72164" w:rsidRPr="00802D35" w:rsidTr="00436547">
        <w:tc>
          <w:tcPr>
            <w:tcW w:w="9463" w:type="dxa"/>
            <w:gridSpan w:val="6"/>
          </w:tcPr>
          <w:p w:rsidR="00D72164" w:rsidRPr="00802D35" w:rsidRDefault="00D72164" w:rsidP="00436547">
            <w:pPr>
              <w:jc w:val="both"/>
              <w:rPr>
                <w:rFonts w:ascii="Times New Roman" w:hAnsi="Times New Roman" w:cs="Times New Roman"/>
                <w:color w:val="000000"/>
                <w:sz w:val="24"/>
                <w:szCs w:val="24"/>
              </w:rPr>
            </w:pPr>
            <w:r w:rsidRPr="00802D35">
              <w:rPr>
                <w:rFonts w:ascii="Times New Roman" w:hAnsi="Times New Roman" w:cs="Times New Roman"/>
                <w:color w:val="000000"/>
                <w:sz w:val="24"/>
                <w:szCs w:val="24"/>
              </w:rPr>
              <w:t>Примечание – составлено автором на основании расчетов</w:t>
            </w:r>
          </w:p>
        </w:tc>
      </w:tr>
    </w:tbl>
    <w:p w:rsidR="00D72164" w:rsidRPr="00802D35" w:rsidRDefault="00D72164" w:rsidP="00D72164">
      <w:pPr>
        <w:spacing w:after="0" w:line="240" w:lineRule="auto"/>
        <w:ind w:firstLine="567"/>
        <w:jc w:val="both"/>
        <w:rPr>
          <w:rFonts w:ascii="Times New Roman" w:hAnsi="Times New Roman" w:cs="Times New Roman"/>
          <w:color w:val="000000"/>
          <w:sz w:val="28"/>
          <w:szCs w:val="28"/>
          <w:shd w:val="clear" w:color="auto" w:fill="FFFFFF"/>
        </w:rPr>
      </w:pPr>
      <w:r w:rsidRPr="00802D35">
        <w:rPr>
          <w:rStyle w:val="HTML"/>
          <w:rFonts w:ascii="Times New Roman" w:hAnsi="Times New Roman" w:cs="Times New Roman"/>
          <w:i w:val="0"/>
          <w:sz w:val="28"/>
          <w:szCs w:val="28"/>
          <w:shd w:val="clear" w:color="auto" w:fill="FFFFFF"/>
        </w:rPr>
        <w:lastRenderedPageBreak/>
        <w:t>Дисперсионный анализ ANOVA показал, что выборки независимы между собой, несмотря на то, что некоторые из рассматриваемых факторов практически не влияют на уровень вкладов клиентов в АО Kaspi Bank</w:t>
      </w:r>
      <w:r w:rsidRPr="00802D35">
        <w:rPr>
          <w:rFonts w:ascii="Times New Roman" w:hAnsi="Times New Roman" w:cs="Times New Roman"/>
          <w:sz w:val="28"/>
          <w:szCs w:val="28"/>
          <w:shd w:val="clear" w:color="auto" w:fill="FFFFFF"/>
        </w:rPr>
        <w:t xml:space="preserve">. В результате, показатель </w:t>
      </w:r>
      <w:r w:rsidRPr="00802D35">
        <w:rPr>
          <w:rFonts w:ascii="Times New Roman" w:hAnsi="Times New Roman" w:cs="Times New Roman"/>
          <w:color w:val="000000"/>
          <w:sz w:val="28"/>
          <w:szCs w:val="28"/>
          <w:shd w:val="clear" w:color="auto" w:fill="FFFFFF"/>
        </w:rPr>
        <w:t>дисперсии, оцениваемый между группами факторов, оказывает большее влияние на сумму дисперсий, чем дисперсия, оцениваемая между факторами самих групп. Иными словами, обозначенные факторы внутри групп оказывают влияние на результирующий фактор, которым выступает объем вкладов клиентов банка.</w:t>
      </w:r>
    </w:p>
    <w:p w:rsidR="00E47004" w:rsidRPr="00802D35" w:rsidRDefault="00D72164" w:rsidP="00D72164">
      <w:pPr>
        <w:spacing w:after="0" w:line="240" w:lineRule="auto"/>
        <w:ind w:firstLine="567"/>
        <w:jc w:val="both"/>
        <w:rPr>
          <w:rStyle w:val="HTML"/>
          <w:rFonts w:ascii="Times New Roman" w:hAnsi="Times New Roman" w:cs="Times New Roman"/>
          <w:i w:val="0"/>
          <w:sz w:val="28"/>
          <w:szCs w:val="28"/>
          <w:shd w:val="clear" w:color="auto" w:fill="FFFFFF"/>
        </w:rPr>
      </w:pPr>
      <w:r w:rsidRPr="00802D35">
        <w:rPr>
          <w:rFonts w:ascii="Times New Roman" w:hAnsi="Times New Roman" w:cs="Times New Roman"/>
          <w:sz w:val="28"/>
          <w:szCs w:val="28"/>
        </w:rPr>
        <w:t xml:space="preserve">В нашем случае по </w:t>
      </w:r>
      <w:r w:rsidRPr="00802D35">
        <w:rPr>
          <w:rStyle w:val="HTML"/>
          <w:rFonts w:ascii="Times New Roman" w:hAnsi="Times New Roman" w:cs="Times New Roman"/>
          <w:i w:val="0"/>
          <w:sz w:val="28"/>
          <w:szCs w:val="28"/>
          <w:shd w:val="clear" w:color="auto" w:fill="FFFFFF"/>
        </w:rPr>
        <w:t xml:space="preserve">АО Kaspi Bank все значения коэффициентов увеличения регрессии </w:t>
      </w:r>
      <w:r w:rsidRPr="00802D35">
        <w:rPr>
          <w:rFonts w:ascii="Times New Roman" w:hAnsi="Times New Roman" w:cs="Times New Roman"/>
          <w:sz w:val="28"/>
          <w:szCs w:val="28"/>
        </w:rPr>
        <w:t>VIF</w:t>
      </w:r>
      <w:r w:rsidRPr="00802D35">
        <w:rPr>
          <w:rFonts w:ascii="Times New Roman" w:hAnsi="Times New Roman" w:cs="Times New Roman"/>
          <w:sz w:val="28"/>
          <w:szCs w:val="28"/>
          <w:vertAlign w:val="subscript"/>
        </w:rPr>
        <w:t>i</w:t>
      </w:r>
      <w:r w:rsidRPr="00802D35">
        <w:rPr>
          <w:rStyle w:val="HTML"/>
          <w:rFonts w:ascii="Times New Roman" w:hAnsi="Times New Roman" w:cs="Times New Roman"/>
          <w:i w:val="0"/>
          <w:sz w:val="28"/>
          <w:szCs w:val="28"/>
          <w:shd w:val="clear" w:color="auto" w:fill="FFFFFF"/>
        </w:rPr>
        <w:t xml:space="preserve"> оказались в пределах нормы и не превысили допустимые значения. Следовательно, мультиколлинеарность можно исключить.</w:t>
      </w:r>
    </w:p>
    <w:p w:rsidR="00647FE1" w:rsidRPr="00802D35" w:rsidRDefault="00647FE1" w:rsidP="00647FE1">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Таким образом, анализ показал, что рассматриваемые казахстанские банки не имеют сильной зависимости от внешних факторов при привлечении вкладов. Однако, некоторые факторы макроуровня все же оказывают серьезное влияние на объемы вкладов в БВУ (рисунок 37).</w:t>
      </w:r>
    </w:p>
    <w:p w:rsidR="00647FE1" w:rsidRPr="00802D35" w:rsidRDefault="00647FE1" w:rsidP="00647FE1">
      <w:pPr>
        <w:spacing w:after="0" w:line="240" w:lineRule="auto"/>
        <w:ind w:firstLine="567"/>
        <w:jc w:val="both"/>
        <w:rPr>
          <w:rStyle w:val="HTML"/>
          <w:rFonts w:ascii="Times New Roman" w:hAnsi="Times New Roman" w:cs="Times New Roman"/>
          <w:i w:val="0"/>
          <w:sz w:val="28"/>
          <w:szCs w:val="28"/>
          <w:shd w:val="clear" w:color="auto" w:fill="FFFFFF"/>
        </w:rPr>
      </w:pPr>
    </w:p>
    <w:p w:rsidR="00647FE1" w:rsidRPr="00802D35" w:rsidRDefault="00647FE1" w:rsidP="00647FE1">
      <w:pPr>
        <w:spacing w:after="0" w:line="240" w:lineRule="auto"/>
        <w:jc w:val="both"/>
        <w:rPr>
          <w:rStyle w:val="HTML"/>
          <w:rFonts w:ascii="Times New Roman" w:hAnsi="Times New Roman" w:cs="Times New Roman"/>
          <w:i w:val="0"/>
          <w:sz w:val="28"/>
          <w:szCs w:val="28"/>
          <w:shd w:val="clear" w:color="auto" w:fill="FFFFFF"/>
        </w:rPr>
      </w:pPr>
      <w:r w:rsidRPr="00802D35">
        <w:rPr>
          <w:rFonts w:ascii="Times New Roman" w:hAnsi="Times New Roman" w:cs="Times New Roman"/>
          <w:noProof/>
          <w:lang w:eastAsia="ru-RU"/>
        </w:rPr>
        <w:drawing>
          <wp:inline distT="0" distB="0" distL="0" distR="0">
            <wp:extent cx="6141720" cy="3543300"/>
            <wp:effectExtent l="0" t="0" r="0" b="0"/>
            <wp:docPr id="375" name="Диаграмма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47FE1" w:rsidRPr="00802D35" w:rsidRDefault="00647FE1" w:rsidP="00647FE1">
      <w:pPr>
        <w:spacing w:after="0" w:line="240" w:lineRule="auto"/>
        <w:ind w:firstLine="567"/>
        <w:jc w:val="both"/>
        <w:rPr>
          <w:rStyle w:val="HTML"/>
          <w:rFonts w:ascii="Times New Roman" w:hAnsi="Times New Roman" w:cs="Times New Roman"/>
          <w:i w:val="0"/>
          <w:sz w:val="28"/>
          <w:szCs w:val="28"/>
          <w:shd w:val="clear" w:color="auto" w:fill="FFFFFF"/>
        </w:rPr>
      </w:pPr>
    </w:p>
    <w:p w:rsidR="00647FE1" w:rsidRPr="00802D35" w:rsidRDefault="00647FE1" w:rsidP="00647FE1">
      <w:pPr>
        <w:spacing w:after="0" w:line="240" w:lineRule="auto"/>
        <w:ind w:firstLine="567"/>
        <w:jc w:val="center"/>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i w:val="0"/>
          <w:sz w:val="28"/>
          <w:szCs w:val="28"/>
          <w:shd w:val="clear" w:color="auto" w:fill="FFFFFF"/>
        </w:rPr>
        <w:t>Рисунок 37 - Корреляционные показатели банков</w:t>
      </w:r>
    </w:p>
    <w:p w:rsidR="00647FE1" w:rsidRPr="00802D35" w:rsidRDefault="00647FE1" w:rsidP="00647FE1">
      <w:pPr>
        <w:spacing w:after="0" w:line="240" w:lineRule="auto"/>
        <w:ind w:firstLine="567"/>
        <w:jc w:val="both"/>
        <w:rPr>
          <w:rFonts w:ascii="Georgia, serif" w:hAnsi="Georgia, serif"/>
          <w:color w:val="555555"/>
          <w:sz w:val="32"/>
          <w:szCs w:val="32"/>
          <w:shd w:val="clear" w:color="auto" w:fill="FFFFFF"/>
        </w:rPr>
      </w:pPr>
    </w:p>
    <w:p w:rsidR="00647FE1" w:rsidRPr="00802D35" w:rsidRDefault="00647FE1" w:rsidP="00647FE1">
      <w:pPr>
        <w:spacing w:after="0" w:line="240" w:lineRule="auto"/>
        <w:ind w:firstLine="567"/>
        <w:jc w:val="both"/>
        <w:rPr>
          <w:rFonts w:ascii="Georgia, serif" w:hAnsi="Georgia, serif"/>
          <w:color w:val="555555"/>
          <w:sz w:val="32"/>
          <w:szCs w:val="32"/>
          <w:shd w:val="clear" w:color="auto" w:fill="FFFFFF"/>
        </w:rPr>
      </w:pPr>
      <w:r w:rsidRPr="00802D35">
        <w:rPr>
          <w:rFonts w:ascii="Times New Roman" w:hAnsi="Times New Roman" w:cs="Times New Roman"/>
          <w:color w:val="000000"/>
          <w:sz w:val="24"/>
          <w:szCs w:val="24"/>
        </w:rPr>
        <w:t>Примечание – составлено автором на основании расчетов</w:t>
      </w:r>
    </w:p>
    <w:p w:rsidR="00647FE1" w:rsidRPr="00802D35" w:rsidRDefault="00647FE1" w:rsidP="00647FE1">
      <w:pPr>
        <w:spacing w:after="0" w:line="240" w:lineRule="auto"/>
        <w:ind w:firstLine="567"/>
        <w:jc w:val="both"/>
        <w:rPr>
          <w:rFonts w:ascii="Georgia, serif" w:hAnsi="Georgia, serif"/>
          <w:color w:val="555555"/>
          <w:sz w:val="32"/>
          <w:szCs w:val="32"/>
          <w:shd w:val="clear" w:color="auto" w:fill="FFFFFF"/>
        </w:rPr>
      </w:pPr>
    </w:p>
    <w:p w:rsidR="00647FE1" w:rsidRPr="00802D35" w:rsidRDefault="00647FE1" w:rsidP="00647FE1">
      <w:pPr>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 xml:space="preserve">В большей степени внешняя зависимость наблюдается в отношении АО </w:t>
      </w:r>
      <w:r w:rsidRPr="00802D35">
        <w:rPr>
          <w:rStyle w:val="HTML"/>
          <w:rFonts w:ascii="Times New Roman" w:hAnsi="Times New Roman" w:cs="Times New Roman"/>
          <w:i w:val="0"/>
          <w:sz w:val="28"/>
          <w:szCs w:val="28"/>
          <w:shd w:val="clear" w:color="auto" w:fill="FFFFFF"/>
        </w:rPr>
        <w:t>Kaspi Bank</w:t>
      </w:r>
      <w:r w:rsidRPr="00802D35">
        <w:rPr>
          <w:rFonts w:ascii="Times New Roman" w:hAnsi="Times New Roman" w:cs="Times New Roman"/>
          <w:sz w:val="28"/>
          <w:szCs w:val="28"/>
          <w:shd w:val="clear" w:color="auto" w:fill="FFFFFF"/>
        </w:rPr>
        <w:t>, который проводит активную политику среди населения по привлечению вкладов. Наименее зависимым является АО АТФ</w:t>
      </w:r>
      <w:r w:rsidR="00E97FF6" w:rsidRPr="00802D35">
        <w:rPr>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 xml:space="preserve">Банк, который в настоящее время играет все меньшую роль в формировании экономического развития страны. При этом уровень депозитов АО </w:t>
      </w:r>
      <w:r w:rsidRPr="00802D35">
        <w:rPr>
          <w:rStyle w:val="HTML"/>
          <w:rFonts w:ascii="Times New Roman" w:hAnsi="Times New Roman" w:cs="Times New Roman"/>
          <w:i w:val="0"/>
          <w:sz w:val="28"/>
          <w:szCs w:val="28"/>
          <w:shd w:val="clear" w:color="auto" w:fill="FFFFFF"/>
        </w:rPr>
        <w:t>Halyk Bank</w:t>
      </w:r>
      <w:r w:rsidRPr="00802D35">
        <w:rPr>
          <w:rFonts w:ascii="Times New Roman" w:hAnsi="Times New Roman" w:cs="Times New Roman"/>
          <w:sz w:val="28"/>
          <w:szCs w:val="28"/>
          <w:shd w:val="clear" w:color="auto" w:fill="FFFFFF"/>
        </w:rPr>
        <w:t xml:space="preserve"> и АО АТФ</w:t>
      </w:r>
      <w:r w:rsidR="00E97FF6" w:rsidRPr="00802D35">
        <w:rPr>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 xml:space="preserve">Банк </w:t>
      </w:r>
      <w:r w:rsidRPr="00802D35">
        <w:rPr>
          <w:rFonts w:ascii="Times New Roman" w:hAnsi="Times New Roman" w:cs="Times New Roman"/>
          <w:sz w:val="28"/>
          <w:szCs w:val="28"/>
          <w:shd w:val="clear" w:color="auto" w:fill="FFFFFF"/>
        </w:rPr>
        <w:lastRenderedPageBreak/>
        <w:t xml:space="preserve">зависит от некоторых показателей самих банков. Поэтому при выборе этих двух банков большое внимание уделяется их финансовому положению и рейтингу, что явилось основанием предпочтения населения банка АО </w:t>
      </w:r>
      <w:r w:rsidRPr="00802D35">
        <w:rPr>
          <w:rStyle w:val="HTML"/>
          <w:rFonts w:ascii="Times New Roman" w:hAnsi="Times New Roman" w:cs="Times New Roman"/>
          <w:i w:val="0"/>
          <w:sz w:val="28"/>
          <w:szCs w:val="28"/>
          <w:shd w:val="clear" w:color="auto" w:fill="FFFFFF"/>
        </w:rPr>
        <w:t>Halyk Bank.</w:t>
      </w:r>
    </w:p>
    <w:p w:rsidR="00647FE1" w:rsidRPr="00802D35" w:rsidRDefault="00647FE1" w:rsidP="00647FE1">
      <w:pPr>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В целом модели зависимости, скорректированные с учетом систематической ошибки в оценках коэффициентов регрессии для исследованных казахстанских банков, имеют некоторое сходство. В частности, это касается факторов зависимости. Многие факторы, такие как внешние государственные займы, инфляция, безработица, показывают практически нулевую корреляцию для всех трех банков, как и банковская ликвидность и уровень межбанковского кредитования. АО АТФ</w:t>
      </w:r>
      <w:r w:rsidR="00E97FF6" w:rsidRPr="00802D35">
        <w:rPr>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 xml:space="preserve">Банк имеет средний уровень зависимости от объемов выпуска облигаций, что стало альтернативой банковским депозитам, особенно когда банк испытывал определенные трудности с привлечением средств. </w:t>
      </w:r>
    </w:p>
    <w:p w:rsidR="00647FE1" w:rsidRPr="00802D35" w:rsidRDefault="00647FE1" w:rsidP="00647FE1">
      <w:pPr>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Таким образом, представленный выше анализ факторов, влияющих на основной источник фондирования казахстанских банков индивидуально для каждого банка, позволяет определенным образом оценить положение банка на рынке страны, выявить аспекты, требующие первоочередного внимания банков в политика привлечения средств.</w:t>
      </w:r>
    </w:p>
    <w:p w:rsidR="001F130A" w:rsidRPr="00802D35" w:rsidRDefault="001F130A" w:rsidP="00647FE1">
      <w:pPr>
        <w:widowControl w:val="0"/>
        <w:spacing w:after="0" w:line="240" w:lineRule="auto"/>
        <w:ind w:firstLine="567"/>
        <w:jc w:val="both"/>
        <w:rPr>
          <w:rFonts w:ascii="Times New Roman" w:hAnsi="Times New Roman" w:cs="Times New Roman"/>
          <w:sz w:val="28"/>
          <w:szCs w:val="28"/>
        </w:rPr>
      </w:pPr>
    </w:p>
    <w:p w:rsidR="00647FE1" w:rsidRPr="00802D35" w:rsidRDefault="006249D9" w:rsidP="006249D9">
      <w:pPr>
        <w:rPr>
          <w:rFonts w:ascii="Times New Roman" w:hAnsi="Times New Roman" w:cs="Times New Roman"/>
          <w:sz w:val="28"/>
          <w:szCs w:val="28"/>
        </w:rPr>
      </w:pPr>
      <w:r w:rsidRPr="00802D35">
        <w:rPr>
          <w:rFonts w:ascii="Times New Roman" w:hAnsi="Times New Roman" w:cs="Times New Roman"/>
          <w:sz w:val="28"/>
          <w:szCs w:val="28"/>
        </w:rPr>
        <w:t xml:space="preserve">         </w:t>
      </w:r>
      <w:r w:rsidR="00647FE1" w:rsidRPr="00802D35">
        <w:rPr>
          <w:rFonts w:ascii="Times New Roman" w:hAnsi="Times New Roman" w:cs="Times New Roman"/>
          <w:sz w:val="28"/>
          <w:szCs w:val="28"/>
        </w:rPr>
        <w:t>Выводы по 2 разделу</w:t>
      </w:r>
    </w:p>
    <w:p w:rsidR="00647FE1" w:rsidRPr="00802D35" w:rsidRDefault="00647FE1" w:rsidP="00203A4B">
      <w:pPr>
        <w:pStyle w:val="a3"/>
        <w:numPr>
          <w:ilvl w:val="0"/>
          <w:numId w:val="16"/>
        </w:numPr>
        <w:tabs>
          <w:tab w:val="left" w:pos="993"/>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 xml:space="preserve">Структура фондирования зависит от масштабов деятельности банка и его специализации. Поскольку казахстанские банки более склонны к традиционной банковской, а не инвестиционной деятельности, то удельный вес вкладов в фондировании, как правило, преобладает. Решающее значение вкладов в структуре фондирования отечественных БВУ обосновывается также и сложностью развития самого финансового рынка, не способного пока обеспечить функционирование структурных банковских продуктов в полной мере, финансовая неграмотность клиентов банка, не способных пока понять преимущества и саму природу гибридных финансовых инструментов, недостаточная квалификация сотрудников БВУ, не способных пока осуществить и понять преимущества и сами процессы секьюритизации. Так, в 2016 г. доля вкладов в структуре источников фондирования выросла на 3,68%, в 2017 г. – на 3,82%. В 2018 г. доля вкладов сократилась на 2,87%. За 2020 г. вклады клиентов БВУ Казахстана выросли на 16,11%. </w:t>
      </w:r>
    </w:p>
    <w:p w:rsidR="00647FE1" w:rsidRPr="00802D35" w:rsidRDefault="00647FE1" w:rsidP="00647FE1">
      <w:pPr>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Выпущенные ценные бумаги занимают сравнительно незначительную долю в структуре фондирования деятельности БВУ. При этом, до 2017 г. их доля сокращалась. Так, в 2018 г. их доля выросла на 19,05%. В 2019 г. доля выпуска банковских ценных бумаг увеличилась еще на 0,3%, однако, в 2020 г. их доля вновь сократилась на 0,8%. </w:t>
      </w:r>
    </w:p>
    <w:p w:rsidR="00647FE1" w:rsidRPr="00802D35" w:rsidRDefault="00647FE1" w:rsidP="00647FE1">
      <w:pPr>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Доля нераспределенной прибыли в структуре источников фондирования значительно мала. В 2018 г. нераспределенная прибыль банков увеличилась до 3%. Однако, уже в 2019 г. доля использования нераспределенной прибыли в качестве фондирования сократилась на 0,4% и в 2020 г. – еще на 0,3%. </w:t>
      </w:r>
    </w:p>
    <w:p w:rsidR="00647FE1" w:rsidRPr="00802D35" w:rsidRDefault="00647FE1" w:rsidP="00647FE1">
      <w:pPr>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Следует также отметить, что в 2019 и 2020 гг. в структуре фондирования увеличивается доля займов, получаемых БВУ от Правительства РК на 0,7% и на 0,2% соответственно.</w:t>
      </w:r>
    </w:p>
    <w:p w:rsidR="00647FE1" w:rsidRPr="00802D35" w:rsidRDefault="00647FE1" w:rsidP="00647FE1">
      <w:pPr>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результате, анализ источников и инструментов фондирования казахстанских банков показал, что БВУ не заинтересованы в привлечении фондирования посредством эмиссии облигаций. Вместе с тем, у банков наблюдается зависимость от депозитного фондирования, причем в последнее время физических лиц. Повышение интереса населения в отношении фондового рынка должно переориентировать банки на увеличение оптового фондирования как на внутреннем, так и мировом финансовом рынке.</w:t>
      </w:r>
    </w:p>
    <w:p w:rsidR="00647FE1" w:rsidRPr="00802D35" w:rsidRDefault="00647FE1" w:rsidP="00203A4B">
      <w:pPr>
        <w:pStyle w:val="a3"/>
        <w:widowControl w:val="0"/>
        <w:numPr>
          <w:ilvl w:val="0"/>
          <w:numId w:val="16"/>
        </w:numPr>
        <w:tabs>
          <w:tab w:val="left" w:pos="993"/>
        </w:tabs>
        <w:spacing w:after="0" w:line="240" w:lineRule="auto"/>
        <w:ind w:left="0" w:firstLine="567"/>
        <w:contextualSpacing w:val="0"/>
        <w:jc w:val="both"/>
        <w:rPr>
          <w:rFonts w:ascii="Times New Roman" w:hAnsi="Times New Roman" w:cs="Times New Roman"/>
          <w:sz w:val="28"/>
          <w:szCs w:val="28"/>
        </w:rPr>
      </w:pPr>
      <w:r w:rsidRPr="00802D35">
        <w:rPr>
          <w:rFonts w:ascii="Times New Roman" w:hAnsi="Times New Roman" w:cs="Times New Roman"/>
          <w:sz w:val="28"/>
          <w:szCs w:val="28"/>
        </w:rPr>
        <w:t>Проведенный анализ по полиномиальным, экспоненциальным и асимптотическим моделям, а также модели MANOVA, показывает наличие высокого влияния вкладов клиентов БВУ на ВВП страны. Регрессионные модели также отметили наличие влияния уставного и резервного капитала БВУ на ВВП, однако, с указанием возможных ошибок в значимости моделей. Аналогичным образом, оценка по MANOVA показала, что имеется определенная степень влияния собственных средств банков на экономический рост Казахстана, но при риске 14,9%. Исходя из этого, можно сказать, что все же значительное и непосредственное влияние на экономический рост страны оказывают такие источники фондирования деятельности банков как вклады клиентов. Собственные ресурсы имеют значение и влияние, но оно не ярко выражено и имеет определенные риски ошибок.</w:t>
      </w:r>
    </w:p>
    <w:p w:rsidR="00647FE1" w:rsidRPr="00802D35" w:rsidRDefault="00647FE1" w:rsidP="00203A4B">
      <w:pPr>
        <w:pStyle w:val="a3"/>
        <w:numPr>
          <w:ilvl w:val="0"/>
          <w:numId w:val="16"/>
        </w:numPr>
        <w:tabs>
          <w:tab w:val="left" w:pos="993"/>
        </w:tabs>
        <w:spacing w:after="0" w:line="240" w:lineRule="auto"/>
        <w:ind w:left="0" w:firstLine="567"/>
        <w:contextualSpacing w:val="0"/>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 xml:space="preserve">Анализ влияния внешних и внутренних факторов на фондирование БВУ показал, что в большей степени внешняя зависимость наблюдается в отношении АО </w:t>
      </w:r>
      <w:r w:rsidRPr="00802D35">
        <w:rPr>
          <w:rStyle w:val="HTML"/>
          <w:rFonts w:ascii="Times New Roman" w:hAnsi="Times New Roman" w:cs="Times New Roman"/>
          <w:i w:val="0"/>
          <w:sz w:val="28"/>
          <w:szCs w:val="28"/>
          <w:shd w:val="clear" w:color="auto" w:fill="FFFFFF"/>
        </w:rPr>
        <w:t>Kaspi Bank</w:t>
      </w:r>
      <w:r w:rsidRPr="00802D35">
        <w:rPr>
          <w:rFonts w:ascii="Times New Roman" w:hAnsi="Times New Roman" w:cs="Times New Roman"/>
          <w:sz w:val="28"/>
          <w:szCs w:val="28"/>
          <w:shd w:val="clear" w:color="auto" w:fill="FFFFFF"/>
        </w:rPr>
        <w:t>, который проводит активную политику среди населения по привлечению вкладов. Наименее зависимым является АО АТФ</w:t>
      </w:r>
      <w:r w:rsidR="00E97FF6" w:rsidRPr="00802D35">
        <w:rPr>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 xml:space="preserve">Банк, который в настоящее время играет все меньшую роль в формировании экономического развития страны. </w:t>
      </w:r>
    </w:p>
    <w:p w:rsidR="00647FE1" w:rsidRPr="00802D35" w:rsidRDefault="00647FE1" w:rsidP="00647FE1">
      <w:pPr>
        <w:tabs>
          <w:tab w:val="left" w:pos="993"/>
        </w:tabs>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Многие факторы, такие как внешние государственные займы, инфляция, безработица, показывают практически нулевую корреляцию для всех трех банков, как и банковская ликвидность и уровень межбанковского кредитования. АО АТФ</w:t>
      </w:r>
      <w:r w:rsidR="00E97FF6" w:rsidRPr="00802D35">
        <w:rPr>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 xml:space="preserve">Банк имеет средний уровень зависимости от объемов выпуска облигаций, что стало альтернативой банковским депозитам, особенно когда банк испытывал определенные трудности с привлечением средств. </w:t>
      </w:r>
    </w:p>
    <w:p w:rsidR="00647FE1" w:rsidRPr="00802D35" w:rsidRDefault="00647FE1" w:rsidP="00647FE1">
      <w:pPr>
        <w:tabs>
          <w:tab w:val="left" w:pos="993"/>
        </w:tabs>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Таким образом, проведенный анализ позволил подтвердить гипотезу о том, что ввиду высокой значимости банков второго уровня в экономическом развитии государства высока значимость влияния как факторов макроэкономики на фондирование деятельности банков, так и структуры фондирования БВУ на уровень развития экономики Казахстана. Вместе с тем, следует отметить, что оценка факторов, влияющих на фондирование банков должно проводиться каждым банком индивидуально. Такой подход позволит определенным образом оценить значимость банка в развитии экономики страны, а также выявить аспекты, требующие первоочередного внимания банков в отношении политики привлечения средств.</w:t>
      </w:r>
    </w:p>
    <w:p w:rsidR="00E40DE9" w:rsidRPr="00802D35" w:rsidRDefault="00E40DE9" w:rsidP="00E40DE9">
      <w:pPr>
        <w:spacing w:after="0" w:line="240" w:lineRule="auto"/>
        <w:jc w:val="center"/>
        <w:rPr>
          <w:rFonts w:ascii="Times New Roman" w:hAnsi="Times New Roman" w:cs="Times New Roman"/>
          <w:b/>
          <w:caps/>
          <w:sz w:val="28"/>
          <w:szCs w:val="28"/>
        </w:rPr>
      </w:pPr>
      <w:r w:rsidRPr="00802D35">
        <w:rPr>
          <w:rFonts w:ascii="Times New Roman" w:hAnsi="Times New Roman" w:cs="Times New Roman"/>
          <w:b/>
          <w:caps/>
          <w:sz w:val="28"/>
          <w:szCs w:val="28"/>
        </w:rPr>
        <w:lastRenderedPageBreak/>
        <w:t>3 совершенствование фондирования в банках второго уровня Республики Казахстан</w:t>
      </w:r>
    </w:p>
    <w:p w:rsidR="00E40DE9" w:rsidRPr="00802D35" w:rsidRDefault="00E40DE9" w:rsidP="00E40DE9">
      <w:pPr>
        <w:spacing w:after="0" w:line="240" w:lineRule="auto"/>
        <w:jc w:val="center"/>
        <w:rPr>
          <w:rFonts w:ascii="Times New Roman" w:hAnsi="Times New Roman" w:cs="Times New Roman"/>
          <w:b/>
          <w:caps/>
          <w:sz w:val="28"/>
          <w:szCs w:val="28"/>
        </w:rPr>
      </w:pPr>
    </w:p>
    <w:p w:rsidR="00E40DE9" w:rsidRPr="00802D35" w:rsidRDefault="00E40DE9" w:rsidP="00E40DE9">
      <w:pPr>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b/>
          <w:sz w:val="28"/>
          <w:szCs w:val="28"/>
        </w:rPr>
        <w:t>3.1 Развитие мониторинга</w:t>
      </w:r>
      <w:r w:rsidRPr="00802D35">
        <w:rPr>
          <w:rFonts w:ascii="Times New Roman" w:hAnsi="Times New Roman" w:cs="Times New Roman"/>
          <w:b/>
          <w:bCs/>
          <w:sz w:val="28"/>
          <w:szCs w:val="28"/>
          <w:shd w:val="clear" w:color="auto" w:fill="FFFFFF"/>
        </w:rPr>
        <w:t xml:space="preserve"> фондирования в </w:t>
      </w:r>
      <w:r w:rsidRPr="00802D35">
        <w:rPr>
          <w:rFonts w:ascii="Times New Roman" w:hAnsi="Times New Roman" w:cs="Times New Roman"/>
          <w:b/>
          <w:sz w:val="28"/>
          <w:szCs w:val="28"/>
        </w:rPr>
        <w:t xml:space="preserve">банках второго уровня </w:t>
      </w:r>
    </w:p>
    <w:p w:rsidR="00E40DE9" w:rsidRPr="00802D35" w:rsidRDefault="00E40DE9" w:rsidP="00E40DE9">
      <w:pPr>
        <w:spacing w:after="0" w:line="240" w:lineRule="auto"/>
        <w:rPr>
          <w:rFonts w:ascii="Times New Roman" w:hAnsi="Times New Roman" w:cs="Times New Roman"/>
          <w:sz w:val="28"/>
          <w:szCs w:val="28"/>
        </w:rPr>
      </w:pPr>
    </w:p>
    <w:p w:rsidR="00E40DE9" w:rsidRPr="00802D35" w:rsidRDefault="00E40DE9" w:rsidP="00E40DE9">
      <w:pPr>
        <w:spacing w:after="0" w:line="240" w:lineRule="auto"/>
        <w:ind w:firstLine="567"/>
        <w:jc w:val="both"/>
        <w:rPr>
          <w:rStyle w:val="HTML"/>
          <w:rFonts w:ascii="Times New Roman" w:hAnsi="Times New Roman" w:cs="Times New Roman"/>
          <w:i w:val="0"/>
          <w:sz w:val="28"/>
          <w:szCs w:val="28"/>
          <w:shd w:val="clear" w:color="auto" w:fill="FFFFFF"/>
        </w:rPr>
      </w:pPr>
      <w:r w:rsidRPr="00802D35">
        <w:rPr>
          <w:rFonts w:ascii="Times New Roman" w:hAnsi="Times New Roman" w:cs="Times New Roman"/>
          <w:sz w:val="28"/>
          <w:szCs w:val="28"/>
        </w:rPr>
        <w:t xml:space="preserve">Проведенный в предыдущей главе анализ структуры фондирования трех банков Казахстана, таких как </w:t>
      </w:r>
      <w:r w:rsidRPr="00802D35">
        <w:rPr>
          <w:rStyle w:val="HTML"/>
          <w:rFonts w:ascii="Times New Roman" w:hAnsi="Times New Roman" w:cs="Times New Roman"/>
          <w:sz w:val="28"/>
          <w:szCs w:val="28"/>
          <w:shd w:val="clear" w:color="auto" w:fill="FFFFFF"/>
        </w:rPr>
        <w:t>АО Halyk Bank, АО АТФ</w:t>
      </w:r>
      <w:r w:rsidR="00E97FF6" w:rsidRPr="00802D35">
        <w:rPr>
          <w:rStyle w:val="HTML"/>
          <w:rFonts w:ascii="Times New Roman" w:hAnsi="Times New Roman" w:cs="Times New Roman"/>
          <w:sz w:val="28"/>
          <w:szCs w:val="28"/>
          <w:shd w:val="clear" w:color="auto" w:fill="FFFFFF"/>
        </w:rPr>
        <w:t xml:space="preserve"> </w:t>
      </w:r>
      <w:r w:rsidRPr="00802D35">
        <w:rPr>
          <w:rStyle w:val="HTML"/>
          <w:rFonts w:ascii="Times New Roman" w:hAnsi="Times New Roman" w:cs="Times New Roman"/>
          <w:sz w:val="28"/>
          <w:szCs w:val="28"/>
          <w:shd w:val="clear" w:color="auto" w:fill="FFFFFF"/>
        </w:rPr>
        <w:t xml:space="preserve">Банк, АО </w:t>
      </w:r>
      <w:r w:rsidRPr="00802D35">
        <w:rPr>
          <w:rFonts w:ascii="Times New Roman" w:hAnsi="Times New Roman" w:cs="Times New Roman"/>
          <w:color w:val="000000"/>
          <w:sz w:val="28"/>
          <w:szCs w:val="28"/>
          <w:shd w:val="clear" w:color="auto" w:fill="FFFFFF"/>
        </w:rPr>
        <w:t xml:space="preserve">Kaspi bank, показал, что БВУ в большей степени функционируют за счет вкладов клиентов, занимающих наибольшую долю. Вместе с тем, имеются определенные различия и потребность этих банков в привлечении средств. Так, </w:t>
      </w:r>
      <w:r w:rsidRPr="00802D35">
        <w:rPr>
          <w:rStyle w:val="HTML"/>
          <w:rFonts w:ascii="Times New Roman" w:hAnsi="Times New Roman" w:cs="Times New Roman"/>
          <w:sz w:val="28"/>
          <w:szCs w:val="28"/>
          <w:shd w:val="clear" w:color="auto" w:fill="FFFFFF"/>
        </w:rPr>
        <w:t xml:space="preserve">АО Halyk Bank фондирует свою деятельность преимущественно за счет срочных и текущих вкладов, нераспределенной прибыли и выпуском облигаций. При этом, срочные вклады и объем нераспределенной прибыли увеличиваются в противовес сокращению выпуска облигаций и межбанковских займов, которые занимают в портфеле фондирования банка порядка 3%. </w:t>
      </w:r>
    </w:p>
    <w:p w:rsidR="00E40DE9" w:rsidRPr="00802D35" w:rsidRDefault="00E40DE9" w:rsidP="00E40DE9">
      <w:pPr>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sz w:val="28"/>
          <w:szCs w:val="28"/>
          <w:shd w:val="clear" w:color="auto" w:fill="FFFFFF"/>
        </w:rPr>
        <w:t>В противоположность, АО АТФ</w:t>
      </w:r>
      <w:r w:rsidR="00E97FF6" w:rsidRPr="00802D35">
        <w:rPr>
          <w:rStyle w:val="HTML"/>
          <w:rFonts w:ascii="Times New Roman" w:hAnsi="Times New Roman" w:cs="Times New Roman"/>
          <w:sz w:val="28"/>
          <w:szCs w:val="28"/>
          <w:shd w:val="clear" w:color="auto" w:fill="FFFFFF"/>
        </w:rPr>
        <w:t xml:space="preserve"> </w:t>
      </w:r>
      <w:r w:rsidRPr="00802D35">
        <w:rPr>
          <w:rStyle w:val="HTML"/>
          <w:rFonts w:ascii="Times New Roman" w:hAnsi="Times New Roman" w:cs="Times New Roman"/>
          <w:sz w:val="28"/>
          <w:szCs w:val="28"/>
          <w:shd w:val="clear" w:color="auto" w:fill="FFFFFF"/>
        </w:rPr>
        <w:t xml:space="preserve">Банк фондирует свою деятельность, прибегая к выпуску облигаций и межбанковским займам, объемы которых растут в последние 5 лет. При этом, основную долю также занимают срочные вклады и текущие счета, однако, эти инструменты фондирования имеют устойчивую тенденцию к сокращению. </w:t>
      </w:r>
    </w:p>
    <w:p w:rsidR="00E40DE9" w:rsidRPr="00802D35" w:rsidRDefault="00E40DE9" w:rsidP="00E40DE9">
      <w:pPr>
        <w:spacing w:after="0" w:line="240" w:lineRule="auto"/>
        <w:ind w:firstLine="567"/>
        <w:jc w:val="both"/>
        <w:rPr>
          <w:rFonts w:ascii="Times New Roman" w:hAnsi="Times New Roman" w:cs="Times New Roman"/>
          <w:color w:val="000000"/>
          <w:sz w:val="28"/>
          <w:szCs w:val="28"/>
          <w:shd w:val="clear" w:color="auto" w:fill="FFFFFF"/>
        </w:rPr>
      </w:pPr>
      <w:r w:rsidRPr="00802D35">
        <w:rPr>
          <w:rStyle w:val="HTML"/>
          <w:rFonts w:ascii="Times New Roman" w:hAnsi="Times New Roman" w:cs="Times New Roman"/>
          <w:sz w:val="28"/>
          <w:szCs w:val="28"/>
          <w:shd w:val="clear" w:color="auto" w:fill="FFFFFF"/>
        </w:rPr>
        <w:t xml:space="preserve">В свою очередь, АО </w:t>
      </w:r>
      <w:r w:rsidRPr="00802D35">
        <w:rPr>
          <w:rFonts w:ascii="Times New Roman" w:hAnsi="Times New Roman" w:cs="Times New Roman"/>
          <w:color w:val="000000"/>
          <w:sz w:val="28"/>
          <w:szCs w:val="28"/>
          <w:shd w:val="clear" w:color="auto" w:fill="FFFFFF"/>
        </w:rPr>
        <w:t>Kaspi bank фондируется преимущественно за счет срочных вкладов в большей степени именно розничных клиентов, а также текущих счетов, имеющих устойчивую тенденцию роста. Вторым предпочитаемым инструментом фондирования выступают облигации банка, доля и объем которых значительно сокращаются в последние 5 лет. Достаточную долю занимает и нераспределенная прибыль банка.</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color w:val="000000"/>
          <w:sz w:val="28"/>
          <w:szCs w:val="28"/>
          <w:shd w:val="clear" w:color="auto" w:fill="FFFFFF"/>
        </w:rPr>
        <w:t xml:space="preserve">Таким образом, проведение анализа фондирования БВУ Казахстана позволило подтвердить необходимость регулярного мониторинга процесса, структуры, инструментов фондирования банками. </w:t>
      </w:r>
    </w:p>
    <w:p w:rsidR="00E40DE9" w:rsidRPr="00802D35" w:rsidRDefault="00E40DE9" w:rsidP="00E40DE9">
      <w:pPr>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rPr>
        <w:t xml:space="preserve">Как было отмечено ранее, банк должен постоянно мониторить плотность фондирования и поддерживать сбалансированность портфеля, чтобы обеспечить конкурентоустойчивость в условиях постоянных изменений финансового рынка. </w:t>
      </w:r>
      <w:r w:rsidRPr="00802D35">
        <w:rPr>
          <w:rFonts w:ascii="Times New Roman" w:eastAsia="Times New Roman" w:hAnsi="Times New Roman" w:cs="Times New Roman"/>
          <w:sz w:val="28"/>
          <w:szCs w:val="28"/>
          <w:lang w:eastAsia="ru-RU"/>
        </w:rPr>
        <w:t xml:space="preserve">Исходя из этого, нами предлагается использовать индекс </w:t>
      </w:r>
      <w:r w:rsidRPr="00802D35">
        <w:rPr>
          <w:rFonts w:ascii="Times New Roman" w:hAnsi="Times New Roman" w:cs="Times New Roman"/>
          <w:sz w:val="28"/>
          <w:szCs w:val="28"/>
          <w:shd w:val="clear" w:color="auto" w:fill="FFFFFF"/>
        </w:rPr>
        <w:t>HHI (Herfindahl-Hirschman index) – индекс Херфиндаля- Хиршмана, который оценивается следующим образом:</w:t>
      </w:r>
    </w:p>
    <w:p w:rsidR="00E40DE9" w:rsidRPr="00802D35" w:rsidRDefault="00E40DE9" w:rsidP="00E40DE9">
      <w:pPr>
        <w:widowControl w:val="0"/>
        <w:spacing w:after="0" w:line="240" w:lineRule="auto"/>
        <w:ind w:firstLine="567"/>
        <w:jc w:val="both"/>
        <w:rPr>
          <w:rFonts w:ascii="Times New Roman" w:hAnsi="Times New Roman" w:cs="Times New Roman"/>
          <w:sz w:val="28"/>
          <w:szCs w:val="28"/>
          <w:shd w:val="clear" w:color="auto" w:fill="FFFFFF"/>
        </w:rPr>
      </w:pPr>
    </w:p>
    <w:p w:rsidR="00E40DE9" w:rsidRPr="00802D35" w:rsidRDefault="00E40DE9" w:rsidP="00E40DE9">
      <w:pPr>
        <w:widowControl w:val="0"/>
        <w:spacing w:after="0" w:line="240" w:lineRule="auto"/>
        <w:ind w:firstLine="567"/>
        <w:jc w:val="right"/>
        <w:rPr>
          <w:rFonts w:ascii="Times New Roman" w:hAnsi="Times New Roman" w:cs="Times New Roman"/>
          <w:sz w:val="28"/>
          <w:szCs w:val="28"/>
          <w:shd w:val="clear" w:color="auto" w:fill="FFFFFF"/>
        </w:rPr>
      </w:pPr>
      <m:oMath>
        <m:r>
          <w:rPr>
            <w:rFonts w:ascii="Cambria Math" w:hAnsi="Cambria Math" w:cs="Times New Roman"/>
            <w:sz w:val="28"/>
            <w:szCs w:val="28"/>
            <w:shd w:val="clear" w:color="auto" w:fill="FFFFFF"/>
          </w:rPr>
          <m:t xml:space="preserve">HHI= </m:t>
        </m:r>
        <m:nary>
          <m:naryPr>
            <m:chr m:val="∑"/>
            <m:limLoc m:val="undOvr"/>
            <m:ctrlPr>
              <w:rPr>
                <w:rFonts w:ascii="Cambria Math" w:hAnsi="Cambria Math" w:cs="Times New Roman"/>
                <w:i/>
                <w:sz w:val="28"/>
                <w:szCs w:val="28"/>
                <w:shd w:val="clear" w:color="auto" w:fill="FFFFFF"/>
              </w:rPr>
            </m:ctrlPr>
          </m:naryPr>
          <m:sub>
            <m:r>
              <w:rPr>
                <w:rFonts w:ascii="Cambria Math" w:hAnsi="Cambria Math" w:cs="Times New Roman"/>
                <w:sz w:val="28"/>
                <w:szCs w:val="28"/>
                <w:shd w:val="clear" w:color="auto" w:fill="FFFFFF"/>
              </w:rPr>
              <m:t>i=1</m:t>
            </m:r>
          </m:sub>
          <m:sup>
            <m:r>
              <w:rPr>
                <w:rFonts w:ascii="Cambria Math" w:hAnsi="Cambria Math" w:cs="Times New Roman"/>
                <w:sz w:val="28"/>
                <w:szCs w:val="28"/>
                <w:shd w:val="clear" w:color="auto" w:fill="FFFFFF"/>
              </w:rPr>
              <m:t>n</m:t>
            </m:r>
          </m:sup>
          <m:e>
            <m:sSubSup>
              <m:sSubSupPr>
                <m:ctrlPr>
                  <w:rPr>
                    <w:rFonts w:ascii="Cambria Math" w:hAnsi="Cambria Math" w:cs="Times New Roman"/>
                    <w:i/>
                    <w:sz w:val="28"/>
                    <w:szCs w:val="28"/>
                    <w:shd w:val="clear" w:color="auto" w:fill="FFFFFF"/>
                  </w:rPr>
                </m:ctrlPr>
              </m:sSubSupPr>
              <m:e>
                <m:r>
                  <w:rPr>
                    <w:rFonts w:ascii="Cambria Math" w:hAnsi="Cambria Math" w:cs="Times New Roman"/>
                    <w:sz w:val="28"/>
                    <w:szCs w:val="28"/>
                    <w:shd w:val="clear" w:color="auto" w:fill="FFFFFF"/>
                  </w:rPr>
                  <m:t>s</m:t>
                </m:r>
              </m:e>
              <m:sub>
                <m:r>
                  <w:rPr>
                    <w:rFonts w:ascii="Cambria Math" w:hAnsi="Cambria Math" w:cs="Times New Roman"/>
                    <w:sz w:val="28"/>
                    <w:szCs w:val="28"/>
                    <w:shd w:val="clear" w:color="auto" w:fill="FFFFFF"/>
                  </w:rPr>
                  <m:t>i</m:t>
                </m:r>
              </m:sub>
              <m:sup>
                <m:r>
                  <w:rPr>
                    <w:rFonts w:ascii="Cambria Math" w:hAnsi="Cambria Math" w:cs="Times New Roman"/>
                    <w:sz w:val="28"/>
                    <w:szCs w:val="28"/>
                    <w:shd w:val="clear" w:color="auto" w:fill="FFFFFF"/>
                  </w:rPr>
                  <m:t>2</m:t>
                </m:r>
              </m:sup>
            </m:sSubSup>
          </m:e>
        </m:nary>
      </m:oMath>
      <w:r w:rsidRPr="00802D35">
        <w:rPr>
          <w:rFonts w:ascii="Times New Roman" w:hAnsi="Times New Roman" w:cs="Times New Roman"/>
          <w:sz w:val="28"/>
          <w:szCs w:val="28"/>
          <w:shd w:val="clear" w:color="auto" w:fill="FFFFFF"/>
        </w:rPr>
        <w:t xml:space="preserve">                                                  (28),</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где:</w:t>
      </w:r>
    </w:p>
    <w:p w:rsidR="00E40DE9" w:rsidRPr="00802D35" w:rsidRDefault="00E40DE9" w:rsidP="00E40DE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s</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 xml:space="preserve"> – доля i-й компании на рынке [</w:t>
      </w:r>
      <w:r w:rsidR="000B0564" w:rsidRPr="00802D35">
        <w:rPr>
          <w:rFonts w:ascii="Times New Roman" w:eastAsia="Times New Roman" w:hAnsi="Times New Roman" w:cs="Times New Roman"/>
          <w:sz w:val="28"/>
          <w:szCs w:val="28"/>
          <w:lang w:eastAsia="ru-RU"/>
        </w:rPr>
        <w:t>115</w:t>
      </w:r>
      <w:r w:rsidRPr="00802D35">
        <w:rPr>
          <w:rFonts w:ascii="Times New Roman" w:eastAsia="Times New Roman" w:hAnsi="Times New Roman" w:cs="Times New Roman"/>
          <w:sz w:val="28"/>
          <w:szCs w:val="28"/>
          <w:lang w:eastAsia="ru-RU"/>
        </w:rPr>
        <w:t>].</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В целом, как известно, данный индекс измеряет рыночную концентрацию отрасли. Высококонцентрированная отрасль - это отрасль, в которой лишь несколько игроков отрасли владеют большой долей рынка, что приводит к почти монополистической ситуации. Низкая степень концентрации означает, </w:t>
      </w:r>
      <w:r w:rsidRPr="00802D35">
        <w:rPr>
          <w:rFonts w:ascii="Times New Roman" w:eastAsia="Times New Roman" w:hAnsi="Times New Roman" w:cs="Times New Roman"/>
          <w:sz w:val="28"/>
          <w:szCs w:val="28"/>
          <w:lang w:eastAsia="ru-RU"/>
        </w:rPr>
        <w:lastRenderedPageBreak/>
        <w:t xml:space="preserve">что отрасль ближе к сценарию идеальной конкуренции, когда на рынке делят долю рынка многие фирмы более или менее равного размера.  </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Нами предлагается использовать данный индекс для оценки плотности фондирования, поскольку по сути, речь аналогично идет о диверсификации и множестве инструментов, валют, источников фондирования. При этом, классический инструмент нами предлагается модифицировать следующим образом:</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p>
    <w:p w:rsidR="00E40DE9" w:rsidRPr="00802D35" w:rsidRDefault="00FF4C7E" w:rsidP="00E40DE9">
      <w:pPr>
        <w:widowControl w:val="0"/>
        <w:spacing w:after="0" w:line="240" w:lineRule="auto"/>
        <w:ind w:firstLine="567"/>
        <w:jc w:val="right"/>
        <w:rPr>
          <w:rFonts w:ascii="Times New Roman" w:hAnsi="Times New Roman" w:cs="Times New Roman"/>
          <w:sz w:val="28"/>
          <w:szCs w:val="28"/>
          <w:shd w:val="clear" w:color="auto" w:fill="FFFFFF"/>
        </w:rPr>
      </w:pPr>
      <m:oMath>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HHI</m:t>
            </m:r>
          </m:e>
          <m:sub>
            <m:r>
              <w:rPr>
                <w:rFonts w:ascii="Cambria Math" w:hAnsi="Cambria Math" w:cs="Times New Roman"/>
                <w:sz w:val="28"/>
                <w:szCs w:val="28"/>
                <w:shd w:val="clear" w:color="auto" w:fill="FFFFFF"/>
              </w:rPr>
              <m:t>m</m:t>
            </m:r>
          </m:sub>
        </m:sSub>
        <m:r>
          <w:rPr>
            <w:rFonts w:ascii="Cambria Math" w:hAnsi="Cambria Math" w:cs="Times New Roman"/>
            <w:sz w:val="28"/>
            <w:szCs w:val="28"/>
            <w:shd w:val="clear" w:color="auto" w:fill="FFFFFF"/>
          </w:rPr>
          <m:t xml:space="preserve">= </m:t>
        </m:r>
        <m:sSup>
          <m:sSupPr>
            <m:ctrlPr>
              <w:rPr>
                <w:rFonts w:ascii="Cambria Math" w:hAnsi="Cambria Math" w:cs="Times New Roman"/>
                <w:i/>
                <w:sz w:val="28"/>
                <w:szCs w:val="28"/>
                <w:shd w:val="clear" w:color="auto" w:fill="FFFFFF"/>
              </w:rPr>
            </m:ctrlPr>
          </m:sSupPr>
          <m:e>
            <m:d>
              <m:dPr>
                <m:ctrlPr>
                  <w:rPr>
                    <w:rFonts w:ascii="Cambria Math" w:hAnsi="Cambria Math" w:cs="Times New Roman"/>
                    <w:i/>
                    <w:sz w:val="28"/>
                    <w:szCs w:val="28"/>
                    <w:shd w:val="clear" w:color="auto" w:fill="FFFFFF"/>
                  </w:rPr>
                </m:ctrlPr>
              </m:dPr>
              <m:e>
                <m:f>
                  <m:fPr>
                    <m:ctrlPr>
                      <w:rPr>
                        <w:rFonts w:ascii="Cambria Math" w:hAnsi="Cambria Math" w:cs="Times New Roman"/>
                        <w:i/>
                        <w:sz w:val="28"/>
                        <w:szCs w:val="28"/>
                        <w:shd w:val="clear" w:color="auto" w:fill="FFFFFF"/>
                      </w:rPr>
                    </m:ctrlPr>
                  </m:fPr>
                  <m:num>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S</m:t>
                        </m:r>
                      </m:e>
                      <m:sub>
                        <m:r>
                          <w:rPr>
                            <w:rFonts w:ascii="Cambria Math" w:hAnsi="Cambria Math" w:cs="Times New Roman"/>
                            <w:sz w:val="28"/>
                            <w:szCs w:val="28"/>
                            <w:shd w:val="clear" w:color="auto" w:fill="FFFFFF"/>
                          </w:rPr>
                          <m:t>d</m:t>
                        </m:r>
                      </m:sub>
                    </m:sSub>
                  </m:num>
                  <m:den>
                    <m:r>
                      <w:rPr>
                        <w:rFonts w:ascii="Cambria Math" w:hAnsi="Cambria Math" w:cs="Times New Roman"/>
                        <w:sz w:val="28"/>
                        <w:szCs w:val="28"/>
                        <w:shd w:val="clear" w:color="auto" w:fill="FFFFFF"/>
                      </w:rPr>
                      <m:t>2</m:t>
                    </m:r>
                  </m:den>
                </m:f>
              </m:e>
            </m:d>
          </m:e>
          <m:sup>
            <m:r>
              <w:rPr>
                <w:rFonts w:ascii="Cambria Math" w:hAnsi="Cambria Math" w:cs="Times New Roman"/>
                <w:sz w:val="28"/>
                <w:szCs w:val="28"/>
                <w:shd w:val="clear" w:color="auto" w:fill="FFFFFF"/>
              </w:rPr>
              <m:t>2</m:t>
            </m:r>
          </m:sup>
        </m:sSup>
        <m:r>
          <w:rPr>
            <w:rFonts w:ascii="Cambria Math" w:hAnsi="Cambria Math" w:cs="Times New Roman"/>
            <w:sz w:val="28"/>
            <w:szCs w:val="28"/>
            <w:shd w:val="clear" w:color="auto" w:fill="FFFFFF"/>
          </w:rPr>
          <m:t>+</m:t>
        </m:r>
        <m:nary>
          <m:naryPr>
            <m:chr m:val="∑"/>
            <m:limLoc m:val="undOvr"/>
            <m:ctrlPr>
              <w:rPr>
                <w:rFonts w:ascii="Cambria Math" w:hAnsi="Cambria Math" w:cs="Times New Roman"/>
                <w:i/>
                <w:sz w:val="28"/>
                <w:szCs w:val="28"/>
                <w:shd w:val="clear" w:color="auto" w:fill="FFFFFF"/>
              </w:rPr>
            </m:ctrlPr>
          </m:naryPr>
          <m:sub>
            <m:r>
              <w:rPr>
                <w:rFonts w:ascii="Cambria Math" w:hAnsi="Cambria Math" w:cs="Times New Roman"/>
                <w:sz w:val="28"/>
                <w:szCs w:val="28"/>
                <w:shd w:val="clear" w:color="auto" w:fill="FFFFFF"/>
              </w:rPr>
              <m:t>i=1</m:t>
            </m:r>
          </m:sub>
          <m:sup>
            <m:r>
              <w:rPr>
                <w:rFonts w:ascii="Cambria Math" w:hAnsi="Cambria Math" w:cs="Times New Roman"/>
                <w:sz w:val="28"/>
                <w:szCs w:val="28"/>
                <w:shd w:val="clear" w:color="auto" w:fill="FFFFFF"/>
              </w:rPr>
              <m:t>n</m:t>
            </m:r>
          </m:sup>
          <m:e>
            <m:sSubSup>
              <m:sSubSupPr>
                <m:ctrlPr>
                  <w:rPr>
                    <w:rFonts w:ascii="Cambria Math" w:hAnsi="Cambria Math" w:cs="Times New Roman"/>
                    <w:i/>
                    <w:sz w:val="28"/>
                    <w:szCs w:val="28"/>
                    <w:shd w:val="clear" w:color="auto" w:fill="FFFFFF"/>
                  </w:rPr>
                </m:ctrlPr>
              </m:sSubSupPr>
              <m:e>
                <m:r>
                  <w:rPr>
                    <w:rFonts w:ascii="Cambria Math" w:hAnsi="Cambria Math" w:cs="Times New Roman"/>
                    <w:sz w:val="28"/>
                    <w:szCs w:val="28"/>
                    <w:shd w:val="clear" w:color="auto" w:fill="FFFFFF"/>
                  </w:rPr>
                  <m:t>s</m:t>
                </m:r>
              </m:e>
              <m:sub>
                <m:r>
                  <w:rPr>
                    <w:rFonts w:ascii="Cambria Math" w:hAnsi="Cambria Math" w:cs="Times New Roman"/>
                    <w:sz w:val="28"/>
                    <w:szCs w:val="28"/>
                    <w:shd w:val="clear" w:color="auto" w:fill="FFFFFF"/>
                  </w:rPr>
                  <m:t>i</m:t>
                </m:r>
              </m:sub>
              <m:sup>
                <m:r>
                  <w:rPr>
                    <w:rFonts w:ascii="Cambria Math" w:hAnsi="Cambria Math" w:cs="Times New Roman"/>
                    <w:sz w:val="28"/>
                    <w:szCs w:val="28"/>
                    <w:shd w:val="clear" w:color="auto" w:fill="FFFFFF"/>
                  </w:rPr>
                  <m:t>2</m:t>
                </m:r>
              </m:sup>
            </m:sSubSup>
          </m:e>
        </m:nary>
      </m:oMath>
      <w:r w:rsidR="00E40DE9" w:rsidRPr="00802D35">
        <w:rPr>
          <w:rFonts w:ascii="Times New Roman" w:hAnsi="Times New Roman" w:cs="Times New Roman"/>
          <w:sz w:val="28"/>
          <w:szCs w:val="28"/>
          <w:shd w:val="clear" w:color="auto" w:fill="FFFFFF"/>
        </w:rPr>
        <w:t xml:space="preserve">                                        (29),</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где:</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S</w:t>
      </w:r>
      <w:r w:rsidRPr="00802D35">
        <w:rPr>
          <w:rFonts w:ascii="Times New Roman" w:eastAsia="Times New Roman" w:hAnsi="Times New Roman" w:cs="Times New Roman"/>
          <w:sz w:val="28"/>
          <w:szCs w:val="28"/>
          <w:vertAlign w:val="subscript"/>
          <w:lang w:eastAsia="ru-RU"/>
        </w:rPr>
        <w:t>d</w:t>
      </w:r>
      <w:r w:rsidRPr="00802D35">
        <w:rPr>
          <w:rFonts w:ascii="Times New Roman" w:eastAsia="Times New Roman" w:hAnsi="Times New Roman" w:cs="Times New Roman"/>
          <w:sz w:val="28"/>
          <w:szCs w:val="28"/>
          <w:lang w:eastAsia="ru-RU"/>
        </w:rPr>
        <w:t xml:space="preserve"> – доля срочных вкладов;</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s</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 xml:space="preserve"> – доля i-го инструмента (за исключением срочных вкладов), валюты, срока фондирования.</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Выделение и сокращение вдвое доли срочных вкладов обусловлено тем, что, во-первых, они являются предпочтительными инструментами для фондирования и учет их в индексе в абсолютном значении искажает результаты. Во-вторых, наличие значительной доли срочных вкладов как основного инструмента фондирования, как показал анализ в предыдущей главе, является особенностью всех казахстанских банков. Следовательно, учет его в реальном виде будет всегда показывать высокое значение индекса. </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Значение индекса до 1500 свидетельствует о низкой плотности фондирования, от 1500 до 2500 – средней плотности и свыше 2500 – высокой плотности фондирования. Следовательно, банк должен придерживаться пределов, не превышающих значения индекса 2500.</w:t>
      </w:r>
    </w:p>
    <w:p w:rsidR="00E40DE9" w:rsidRPr="00802D35" w:rsidRDefault="00E40DE9" w:rsidP="00E40DE9">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eastAsia="Times New Roman" w:hAnsi="Times New Roman" w:cs="Times New Roman"/>
          <w:sz w:val="28"/>
          <w:szCs w:val="28"/>
          <w:lang w:eastAsia="ru-RU"/>
        </w:rPr>
        <w:t xml:space="preserve">Проведение оценки плотности фондирования предлагается проводить в сравнении со средним значением по банковскому сектору страны в целом </w:t>
      </w:r>
      <w:r w:rsidRPr="00802D35">
        <w:rPr>
          <w:rFonts w:ascii="Times New Roman" w:hAnsi="Times New Roman" w:cs="Times New Roman"/>
          <w:sz w:val="28"/>
          <w:szCs w:val="28"/>
          <w:shd w:val="clear" w:color="auto" w:fill="FFFFFF"/>
        </w:rPr>
        <w:t>(таблица 13)</w:t>
      </w:r>
      <w:r w:rsidRPr="00802D35">
        <w:rPr>
          <w:rFonts w:ascii="Times New Roman" w:eastAsia="Times New Roman" w:hAnsi="Times New Roman" w:cs="Times New Roman"/>
          <w:sz w:val="28"/>
          <w:szCs w:val="28"/>
          <w:lang w:eastAsia="ru-RU"/>
        </w:rPr>
        <w:t xml:space="preserve">. </w:t>
      </w:r>
    </w:p>
    <w:p w:rsidR="00E40DE9" w:rsidRPr="00802D35" w:rsidRDefault="00E40DE9" w:rsidP="00E40DE9">
      <w:pPr>
        <w:widowControl w:val="0"/>
        <w:spacing w:after="0" w:line="240" w:lineRule="auto"/>
        <w:jc w:val="both"/>
        <w:rPr>
          <w:rFonts w:ascii="Times New Roman" w:hAnsi="Times New Roman" w:cs="Times New Roman"/>
          <w:sz w:val="28"/>
          <w:szCs w:val="28"/>
          <w:shd w:val="clear" w:color="auto" w:fill="FFFFFF"/>
        </w:rPr>
      </w:pPr>
    </w:p>
    <w:p w:rsidR="00E40DE9" w:rsidRPr="00802D35" w:rsidRDefault="00E40DE9" w:rsidP="00E40DE9">
      <w:pPr>
        <w:widowControl w:val="0"/>
        <w:spacing w:after="0" w:line="240" w:lineRule="auto"/>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Таблица 13 - Интерпретация результатов оценки плотности фондирования</w:t>
      </w:r>
    </w:p>
    <w:p w:rsidR="00E40DE9" w:rsidRPr="00802D35" w:rsidRDefault="00E40DE9" w:rsidP="00E40DE9">
      <w:pPr>
        <w:widowControl w:val="0"/>
        <w:spacing w:after="0" w:line="240" w:lineRule="auto"/>
        <w:jc w:val="both"/>
        <w:rPr>
          <w:rFonts w:ascii="Times New Roman" w:hAnsi="Times New Roman" w:cs="Times New Roman"/>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5436"/>
      </w:tblGrid>
      <w:tr w:rsidR="00E40DE9" w:rsidRPr="00802D35" w:rsidTr="00E40DE9">
        <w:tc>
          <w:tcPr>
            <w:tcW w:w="2093" w:type="dxa"/>
          </w:tcPr>
          <w:p w:rsidR="00E40DE9" w:rsidRPr="00802D35" w:rsidRDefault="00E40DE9" w:rsidP="00E40DE9">
            <w:pPr>
              <w:widowControl w:val="0"/>
              <w:spacing w:after="0" w:line="240" w:lineRule="auto"/>
              <w:jc w:val="center"/>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Индексы плотности</w:t>
            </w:r>
          </w:p>
        </w:tc>
        <w:tc>
          <w:tcPr>
            <w:tcW w:w="2126" w:type="dxa"/>
          </w:tcPr>
          <w:p w:rsidR="00E40DE9" w:rsidRPr="00802D35" w:rsidRDefault="00E40DE9" w:rsidP="00E40DE9">
            <w:pPr>
              <w:widowControl w:val="0"/>
              <w:spacing w:after="0" w:line="240" w:lineRule="auto"/>
              <w:jc w:val="center"/>
              <w:rPr>
                <w:rFonts w:ascii="Times New Roman" w:hAnsi="Times New Roman" w:cs="Times New Roman"/>
                <w:sz w:val="24"/>
                <w:szCs w:val="24"/>
                <w:shd w:val="clear" w:color="auto" w:fill="FFFFFF"/>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и объем фондирования</w:t>
            </w:r>
          </w:p>
        </w:tc>
        <w:tc>
          <w:tcPr>
            <w:tcW w:w="5436" w:type="dxa"/>
          </w:tcPr>
          <w:p w:rsidR="00E40DE9" w:rsidRPr="00802D35" w:rsidRDefault="00E40DE9" w:rsidP="00E40DE9">
            <w:pPr>
              <w:widowControl w:val="0"/>
              <w:spacing w:after="0" w:line="240" w:lineRule="auto"/>
              <w:jc w:val="center"/>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Пояснения</w:t>
            </w:r>
          </w:p>
        </w:tc>
      </w:tr>
      <w:tr w:rsidR="00E40DE9" w:rsidRPr="00802D35" w:rsidTr="00E40DE9">
        <w:tc>
          <w:tcPr>
            <w:tcW w:w="2093" w:type="dxa"/>
          </w:tcPr>
          <w:p w:rsidR="00E40DE9" w:rsidRPr="00802D35" w:rsidRDefault="00E40DE9" w:rsidP="00E40DE9">
            <w:pPr>
              <w:widowControl w:val="0"/>
              <w:spacing w:after="0" w:line="240" w:lineRule="auto"/>
              <w:jc w:val="center"/>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1</w:t>
            </w:r>
          </w:p>
        </w:tc>
        <w:tc>
          <w:tcPr>
            <w:tcW w:w="2126" w:type="dxa"/>
          </w:tcPr>
          <w:p w:rsidR="00E40DE9" w:rsidRPr="00802D35" w:rsidRDefault="00E40DE9" w:rsidP="00E40DE9">
            <w:pPr>
              <w:widowControl w:val="0"/>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w:t>
            </w:r>
          </w:p>
        </w:tc>
        <w:tc>
          <w:tcPr>
            <w:tcW w:w="5436" w:type="dxa"/>
          </w:tcPr>
          <w:p w:rsidR="00E40DE9" w:rsidRPr="00802D35" w:rsidRDefault="00E40DE9" w:rsidP="00E40DE9">
            <w:pPr>
              <w:widowControl w:val="0"/>
              <w:spacing w:after="0" w:line="240" w:lineRule="auto"/>
              <w:jc w:val="center"/>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3</w:t>
            </w:r>
          </w:p>
        </w:tc>
      </w:tr>
      <w:tr w:rsidR="00E40DE9" w:rsidRPr="00802D35" w:rsidTr="00E40DE9">
        <w:tc>
          <w:tcPr>
            <w:tcW w:w="2093"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&gt;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w:t>
            </w:r>
          </w:p>
        </w:tc>
        <w:tc>
          <w:tcPr>
            <w:tcW w:w="212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а объем фондирования↓</w:t>
            </w:r>
          </w:p>
        </w:tc>
        <w:tc>
          <w:tcPr>
            <w:tcW w:w="543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Высокая концентрация фондирования в одном или двух инструментах. Усиление плотности фондирования, низкая диверсификация и сбалансированность портфеля фондирования, высокие риски потери источников фондирования</w:t>
            </w:r>
          </w:p>
        </w:tc>
      </w:tr>
      <w:tr w:rsidR="00E40DE9" w:rsidRPr="00802D35" w:rsidTr="00E40DE9">
        <w:tc>
          <w:tcPr>
            <w:tcW w:w="2093" w:type="dxa"/>
            <w:tcBorders>
              <w:bottom w:val="nil"/>
            </w:tcBorders>
          </w:tcPr>
          <w:p w:rsidR="00E40DE9" w:rsidRPr="00802D35" w:rsidRDefault="00E40DE9" w:rsidP="00E40DE9">
            <w:pPr>
              <w:widowControl w:val="0"/>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&gt;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w:t>
            </w:r>
          </w:p>
        </w:tc>
        <w:tc>
          <w:tcPr>
            <w:tcW w:w="2126" w:type="dxa"/>
            <w:tcBorders>
              <w:bottom w:val="nil"/>
            </w:tcBorders>
          </w:tcPr>
          <w:p w:rsidR="00E40DE9" w:rsidRPr="00802D35" w:rsidRDefault="00E40DE9" w:rsidP="00E40DE9">
            <w:pPr>
              <w:widowControl w:val="0"/>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и объем фондирования↑</w:t>
            </w:r>
          </w:p>
        </w:tc>
        <w:tc>
          <w:tcPr>
            <w:tcW w:w="5436" w:type="dxa"/>
            <w:tcBorders>
              <w:bottom w:val="nil"/>
            </w:tcBorders>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Высокая концентрация фондирования в одном или двух инструментах. Структура фондирования остается прежней и не проводится политика по ее улучшению. Низкая диверсификация и сбалансированность портфеля фондирования, высокие риски потери источников фондирования</w:t>
            </w:r>
          </w:p>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p>
        </w:tc>
      </w:tr>
      <w:tr w:rsidR="00E40DE9" w:rsidRPr="00802D35" w:rsidTr="00E40DE9">
        <w:tc>
          <w:tcPr>
            <w:tcW w:w="9655" w:type="dxa"/>
            <w:gridSpan w:val="3"/>
            <w:tcBorders>
              <w:top w:val="nil"/>
              <w:left w:val="nil"/>
              <w:bottom w:val="single" w:sz="4" w:space="0" w:color="auto"/>
              <w:right w:val="nil"/>
            </w:tcBorders>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lastRenderedPageBreak/>
              <w:t>Продолжение таблицы 13</w:t>
            </w:r>
          </w:p>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p>
        </w:tc>
      </w:tr>
      <w:tr w:rsidR="00E40DE9" w:rsidRPr="00802D35" w:rsidTr="00E40DE9">
        <w:tc>
          <w:tcPr>
            <w:tcW w:w="2093" w:type="dxa"/>
            <w:tcBorders>
              <w:top w:val="single" w:sz="4" w:space="0" w:color="auto"/>
            </w:tcBorders>
          </w:tcPr>
          <w:p w:rsidR="00E40DE9" w:rsidRPr="00802D35" w:rsidRDefault="00E40DE9" w:rsidP="00E40DE9">
            <w:pPr>
              <w:widowControl w:val="0"/>
              <w:spacing w:after="0" w:line="240" w:lineRule="auto"/>
              <w:jc w:val="center"/>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1</w:t>
            </w:r>
          </w:p>
        </w:tc>
        <w:tc>
          <w:tcPr>
            <w:tcW w:w="2126" w:type="dxa"/>
            <w:tcBorders>
              <w:top w:val="single" w:sz="4" w:space="0" w:color="auto"/>
            </w:tcBorders>
          </w:tcPr>
          <w:p w:rsidR="00E40DE9" w:rsidRPr="00802D35" w:rsidRDefault="00E40DE9" w:rsidP="00E40DE9">
            <w:pPr>
              <w:widowControl w:val="0"/>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w:t>
            </w:r>
          </w:p>
        </w:tc>
        <w:tc>
          <w:tcPr>
            <w:tcW w:w="5436" w:type="dxa"/>
            <w:tcBorders>
              <w:top w:val="single" w:sz="4" w:space="0" w:color="auto"/>
            </w:tcBorders>
          </w:tcPr>
          <w:p w:rsidR="00E40DE9" w:rsidRPr="00802D35" w:rsidRDefault="00E40DE9" w:rsidP="00E40DE9">
            <w:pPr>
              <w:widowControl w:val="0"/>
              <w:spacing w:after="0" w:line="240" w:lineRule="auto"/>
              <w:jc w:val="center"/>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3</w:t>
            </w:r>
          </w:p>
        </w:tc>
      </w:tr>
      <w:tr w:rsidR="00E40DE9" w:rsidRPr="00802D35" w:rsidTr="00E40DE9">
        <w:tc>
          <w:tcPr>
            <w:tcW w:w="2093" w:type="dxa"/>
          </w:tcPr>
          <w:p w:rsidR="00E40DE9" w:rsidRPr="00802D35" w:rsidRDefault="00E40DE9" w:rsidP="00E40DE9">
            <w:pPr>
              <w:widowControl w:val="0"/>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&gt;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w:t>
            </w:r>
          </w:p>
        </w:tc>
        <w:tc>
          <w:tcPr>
            <w:tcW w:w="2126" w:type="dxa"/>
          </w:tcPr>
          <w:p w:rsidR="00E40DE9" w:rsidRPr="00802D35" w:rsidRDefault="00E40DE9" w:rsidP="00E40DE9">
            <w:pPr>
              <w:widowControl w:val="0"/>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и объем фондирования↓</w:t>
            </w:r>
          </w:p>
        </w:tc>
        <w:tc>
          <w:tcPr>
            <w:tcW w:w="543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Высокая концентрация фондирования в одном или двух инструментах. Понижение индекса положительно характеризует банк, однако, сокращаются и объемы поступления средств. высокие риски потери источников фондирования</w:t>
            </w:r>
          </w:p>
        </w:tc>
      </w:tr>
      <w:tr w:rsidR="00E40DE9" w:rsidRPr="00802D35" w:rsidTr="00E40DE9">
        <w:tc>
          <w:tcPr>
            <w:tcW w:w="2093" w:type="dxa"/>
          </w:tcPr>
          <w:p w:rsidR="00E40DE9" w:rsidRPr="00802D35" w:rsidRDefault="00E40DE9" w:rsidP="00E40DE9">
            <w:pPr>
              <w:widowControl w:val="0"/>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&gt;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w:t>
            </w:r>
          </w:p>
        </w:tc>
        <w:tc>
          <w:tcPr>
            <w:tcW w:w="2126" w:type="dxa"/>
          </w:tcPr>
          <w:p w:rsidR="00E40DE9" w:rsidRPr="00802D35" w:rsidRDefault="00E40DE9" w:rsidP="00E40DE9">
            <w:pPr>
              <w:widowControl w:val="0"/>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и объем фондирования↑</w:t>
            </w:r>
          </w:p>
        </w:tc>
        <w:tc>
          <w:tcPr>
            <w:tcW w:w="543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Несмотря на высокую концентрацию банк проводит политику управления портфелем фондирования и стремится его сбалансировать, что приводит к снижению зависимости банка от отдельных источников или инструментов фондирования</w:t>
            </w:r>
          </w:p>
        </w:tc>
      </w:tr>
      <w:tr w:rsidR="00E40DE9" w:rsidRPr="00802D35" w:rsidTr="00E40DE9">
        <w:tc>
          <w:tcPr>
            <w:tcW w:w="2093"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&lt;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w:t>
            </w:r>
          </w:p>
        </w:tc>
        <w:tc>
          <w:tcPr>
            <w:tcW w:w="212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а объем фондирования↓</w:t>
            </w:r>
          </w:p>
        </w:tc>
        <w:tc>
          <w:tcPr>
            <w:tcW w:w="543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Определенная зависимость от нескольких источников или инструментов фондирования, усиление зависимости, низкая сбалансированность и диверсификация, риски роста концентрации и потери поступления средств</w:t>
            </w:r>
          </w:p>
        </w:tc>
      </w:tr>
      <w:tr w:rsidR="00E40DE9" w:rsidRPr="00802D35" w:rsidTr="00E40DE9">
        <w:tc>
          <w:tcPr>
            <w:tcW w:w="2093" w:type="dxa"/>
          </w:tcPr>
          <w:p w:rsidR="00E40DE9" w:rsidRPr="00802D35" w:rsidRDefault="00E40DE9" w:rsidP="00E40DE9">
            <w:pPr>
              <w:spacing w:after="0" w:line="240" w:lineRule="auto"/>
              <w:rPr>
                <w:rFonts w:ascii="Times New Roman" w:hAnsi="Times New Roman" w:cs="Times New Roman"/>
                <w:sz w:val="24"/>
                <w:szCs w:val="24"/>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&lt;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w:t>
            </w:r>
          </w:p>
        </w:tc>
        <w:tc>
          <w:tcPr>
            <w:tcW w:w="2126" w:type="dxa"/>
          </w:tcPr>
          <w:p w:rsidR="00E40DE9" w:rsidRPr="00802D35" w:rsidRDefault="00E40DE9" w:rsidP="00E40DE9">
            <w:pPr>
              <w:widowControl w:val="0"/>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и объем фондирования↑</w:t>
            </w:r>
          </w:p>
        </w:tc>
        <w:tc>
          <w:tcPr>
            <w:tcW w:w="543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 xml:space="preserve">Чем дальше от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 тем лучше. Сохранение структуры фондирования, несбалансированность портфеля, отсутствие управления портфелем фондирования, низкие риски потери поступления средств</w:t>
            </w:r>
          </w:p>
        </w:tc>
      </w:tr>
      <w:tr w:rsidR="00E40DE9" w:rsidRPr="00802D35" w:rsidTr="00E40DE9">
        <w:tc>
          <w:tcPr>
            <w:tcW w:w="2093" w:type="dxa"/>
          </w:tcPr>
          <w:p w:rsidR="00E40DE9" w:rsidRPr="00802D35" w:rsidRDefault="00E40DE9" w:rsidP="00E40DE9">
            <w:pPr>
              <w:spacing w:after="0" w:line="240" w:lineRule="auto"/>
              <w:rPr>
                <w:rFonts w:ascii="Times New Roman" w:hAnsi="Times New Roman" w:cs="Times New Roman"/>
                <w:sz w:val="24"/>
                <w:szCs w:val="24"/>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&lt;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w:t>
            </w:r>
          </w:p>
        </w:tc>
        <w:tc>
          <w:tcPr>
            <w:tcW w:w="212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и объем фондирования↓</w:t>
            </w:r>
          </w:p>
        </w:tc>
        <w:tc>
          <w:tcPr>
            <w:tcW w:w="543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 xml:space="preserve">Чем дальше от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 тем лучше. Вызывает опасение снижение объемов фондирования. Структура сохраняется той же. Низкое качество управления портфелем фондирования</w:t>
            </w:r>
          </w:p>
        </w:tc>
      </w:tr>
      <w:tr w:rsidR="00E40DE9" w:rsidRPr="00802D35" w:rsidTr="00E40DE9">
        <w:tc>
          <w:tcPr>
            <w:tcW w:w="2093" w:type="dxa"/>
          </w:tcPr>
          <w:p w:rsidR="00E40DE9" w:rsidRPr="00802D35" w:rsidRDefault="00E40DE9" w:rsidP="00E40DE9">
            <w:pPr>
              <w:spacing w:after="0" w:line="240" w:lineRule="auto"/>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&lt; </w:t>
            </w: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отрасли</w:t>
            </w:r>
          </w:p>
        </w:tc>
        <w:tc>
          <w:tcPr>
            <w:tcW w:w="2126" w:type="dxa"/>
          </w:tcPr>
          <w:p w:rsidR="00E40DE9" w:rsidRPr="00802D35" w:rsidRDefault="00E40DE9" w:rsidP="00E40DE9">
            <w:pPr>
              <w:widowControl w:val="0"/>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HHI</w:t>
            </w:r>
            <w:r w:rsidRPr="00802D35">
              <w:rPr>
                <w:rFonts w:ascii="Times New Roman" w:eastAsia="Times New Roman" w:hAnsi="Times New Roman" w:cs="Times New Roman"/>
                <w:sz w:val="24"/>
                <w:szCs w:val="24"/>
                <w:vertAlign w:val="subscript"/>
                <w:lang w:eastAsia="ru-RU"/>
              </w:rPr>
              <w:t>m</w:t>
            </w:r>
            <w:r w:rsidRPr="00802D35">
              <w:rPr>
                <w:rFonts w:ascii="Times New Roman" w:hAnsi="Times New Roman" w:cs="Times New Roman"/>
                <w:sz w:val="24"/>
                <w:szCs w:val="24"/>
                <w:shd w:val="clear" w:color="auto" w:fill="FFFFFF"/>
              </w:rPr>
              <w:t xml:space="preserve"> банка↓ и объем фондирования↑</w:t>
            </w:r>
          </w:p>
        </w:tc>
        <w:tc>
          <w:tcPr>
            <w:tcW w:w="5436" w:type="dxa"/>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Отличное положение банка в отношении структуры и плотности фондирования. Регулярное управление портфелем, сбалансированная структура фондирования, низкие риски потери фондирования.</w:t>
            </w:r>
          </w:p>
        </w:tc>
      </w:tr>
      <w:tr w:rsidR="00E40DE9" w:rsidRPr="00802D35" w:rsidTr="00E40DE9">
        <w:tc>
          <w:tcPr>
            <w:tcW w:w="9655" w:type="dxa"/>
            <w:gridSpan w:val="3"/>
          </w:tcPr>
          <w:p w:rsidR="00E40DE9" w:rsidRPr="00802D35" w:rsidRDefault="00E40DE9" w:rsidP="00E40DE9">
            <w:pPr>
              <w:widowControl w:val="0"/>
              <w:spacing w:after="0" w:line="240" w:lineRule="auto"/>
              <w:jc w:val="both"/>
              <w:rPr>
                <w:rFonts w:ascii="Times New Roman" w:hAnsi="Times New Roman" w:cs="Times New Roman"/>
                <w:sz w:val="24"/>
                <w:szCs w:val="24"/>
                <w:shd w:val="clear" w:color="auto" w:fill="FFFFFF"/>
              </w:rPr>
            </w:pPr>
            <w:r w:rsidRPr="00802D35">
              <w:rPr>
                <w:rFonts w:ascii="Times New Roman" w:hAnsi="Times New Roman" w:cs="Times New Roman"/>
                <w:sz w:val="24"/>
                <w:szCs w:val="24"/>
                <w:shd w:val="clear" w:color="auto" w:fill="FFFFFF"/>
              </w:rPr>
              <w:t>Примечание – разработано автором</w:t>
            </w:r>
          </w:p>
        </w:tc>
      </w:tr>
    </w:tbl>
    <w:p w:rsidR="00E40DE9" w:rsidRPr="00802D35" w:rsidRDefault="00E40DE9" w:rsidP="00E40DE9">
      <w:pPr>
        <w:widowControl w:val="0"/>
        <w:spacing w:after="0" w:line="240" w:lineRule="auto"/>
        <w:jc w:val="both"/>
        <w:rPr>
          <w:rFonts w:ascii="Times New Roman" w:hAnsi="Times New Roman" w:cs="Times New Roman"/>
          <w:sz w:val="28"/>
          <w:szCs w:val="28"/>
          <w:shd w:val="clear" w:color="auto" w:fill="FFFFFF"/>
        </w:rPr>
      </w:pPr>
    </w:p>
    <w:p w:rsidR="00E40DE9" w:rsidRPr="00802D35" w:rsidRDefault="00E40DE9" w:rsidP="00E40DE9">
      <w:pPr>
        <w:widowControl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eastAsia="Times New Roman" w:hAnsi="Times New Roman" w:cs="Times New Roman"/>
          <w:sz w:val="28"/>
          <w:szCs w:val="28"/>
          <w:lang w:eastAsia="ru-RU"/>
        </w:rPr>
        <w:t xml:space="preserve">При отклонении значения индекса отдельного БВУ от среднего значения по сектору в целом можно будет делать выводы о лучшем или худшем положении банка. Значение индекса по банковскому сектору рассматриваются как пороговые значения. Также следует сравнивать индекс с динамикой инструментов фондирования. Таким образом, оценка плотности фондирования должна строится на следующих составляющих: индекс </w:t>
      </w:r>
      <w:r w:rsidRPr="00802D35">
        <w:rPr>
          <w:rFonts w:ascii="Times New Roman" w:hAnsi="Times New Roman" w:cs="Times New Roman"/>
          <w:sz w:val="28"/>
          <w:szCs w:val="28"/>
          <w:shd w:val="clear" w:color="auto" w:fill="FFFFFF"/>
        </w:rPr>
        <w:t xml:space="preserve">Херфиндаля- Хиршмана банка, </w:t>
      </w:r>
      <w:r w:rsidRPr="00802D35">
        <w:rPr>
          <w:rFonts w:ascii="Times New Roman" w:eastAsia="Times New Roman" w:hAnsi="Times New Roman" w:cs="Times New Roman"/>
          <w:sz w:val="28"/>
          <w:szCs w:val="28"/>
          <w:lang w:eastAsia="ru-RU"/>
        </w:rPr>
        <w:t xml:space="preserve">индекс </w:t>
      </w:r>
      <w:r w:rsidRPr="00802D35">
        <w:rPr>
          <w:rFonts w:ascii="Times New Roman" w:hAnsi="Times New Roman" w:cs="Times New Roman"/>
          <w:sz w:val="28"/>
          <w:szCs w:val="28"/>
          <w:shd w:val="clear" w:color="auto" w:fill="FFFFFF"/>
        </w:rPr>
        <w:t>Херфиндаля- Хиршмана банковского сектора и динамика структуры фондирования и индекса банка.</w:t>
      </w:r>
    </w:p>
    <w:p w:rsidR="00E40DE9" w:rsidRPr="00802D35" w:rsidRDefault="00E40DE9" w:rsidP="00E40DE9">
      <w:pPr>
        <w:widowControl w:val="0"/>
        <w:spacing w:after="0" w:line="240" w:lineRule="auto"/>
        <w:ind w:firstLine="567"/>
        <w:jc w:val="both"/>
        <w:rPr>
          <w:rFonts w:ascii="Times New Roman" w:hAnsi="Times New Roman" w:cs="Times New Roman"/>
          <w:color w:val="000000"/>
          <w:sz w:val="28"/>
          <w:szCs w:val="28"/>
          <w:shd w:val="clear" w:color="auto" w:fill="FFFFFF"/>
        </w:rPr>
      </w:pPr>
      <w:r w:rsidRPr="00802D35">
        <w:rPr>
          <w:rFonts w:ascii="Times New Roman" w:eastAsia="Times New Roman" w:hAnsi="Times New Roman" w:cs="Times New Roman"/>
          <w:sz w:val="28"/>
          <w:szCs w:val="28"/>
          <w:lang w:eastAsia="ru-RU"/>
        </w:rPr>
        <w:t xml:space="preserve">Проведем оценку плотности фондирования по инструментам фондирования в рассматриваемых нами трех банках: </w:t>
      </w:r>
      <w:r w:rsidRPr="00802D35">
        <w:rPr>
          <w:rStyle w:val="HTML"/>
          <w:rFonts w:ascii="Times New Roman" w:hAnsi="Times New Roman" w:cs="Times New Roman"/>
          <w:sz w:val="28"/>
          <w:szCs w:val="28"/>
          <w:shd w:val="clear" w:color="auto" w:fill="FFFFFF"/>
        </w:rPr>
        <w:t>АО Halyk Bank, АО АТФ</w:t>
      </w:r>
      <w:r w:rsidR="00E97FF6" w:rsidRPr="00802D35">
        <w:rPr>
          <w:rStyle w:val="HTML"/>
          <w:rFonts w:ascii="Times New Roman" w:hAnsi="Times New Roman" w:cs="Times New Roman"/>
          <w:sz w:val="28"/>
          <w:szCs w:val="28"/>
          <w:shd w:val="clear" w:color="auto" w:fill="FFFFFF"/>
        </w:rPr>
        <w:t xml:space="preserve"> </w:t>
      </w:r>
      <w:r w:rsidRPr="00802D35">
        <w:rPr>
          <w:rStyle w:val="HTML"/>
          <w:rFonts w:ascii="Times New Roman" w:hAnsi="Times New Roman" w:cs="Times New Roman"/>
          <w:sz w:val="28"/>
          <w:szCs w:val="28"/>
          <w:shd w:val="clear" w:color="auto" w:fill="FFFFFF"/>
        </w:rPr>
        <w:t xml:space="preserve">Банк, АО </w:t>
      </w:r>
      <w:r w:rsidRPr="00802D35">
        <w:rPr>
          <w:rFonts w:ascii="Times New Roman" w:hAnsi="Times New Roman" w:cs="Times New Roman"/>
          <w:color w:val="000000"/>
          <w:sz w:val="28"/>
          <w:szCs w:val="28"/>
          <w:shd w:val="clear" w:color="auto" w:fill="FFFFFF"/>
        </w:rPr>
        <w:t>Kaspi bank. Осуществим сравнительный анализ между банками с учетом среднего значения по банковскому сектору Казахстана (таблица 14).</w:t>
      </w:r>
    </w:p>
    <w:p w:rsidR="00E40DE9" w:rsidRPr="00802D35" w:rsidRDefault="00E40DE9" w:rsidP="00E40DE9">
      <w:pPr>
        <w:widowControl w:val="0"/>
        <w:spacing w:after="0" w:line="240" w:lineRule="auto"/>
        <w:jc w:val="both"/>
        <w:rPr>
          <w:rFonts w:ascii="Times New Roman" w:hAnsi="Times New Roman" w:cs="Times New Roman"/>
          <w:color w:val="000000"/>
          <w:sz w:val="28"/>
          <w:szCs w:val="28"/>
          <w:shd w:val="clear" w:color="auto" w:fill="FFFFFF"/>
        </w:rPr>
      </w:pPr>
      <w:r w:rsidRPr="00802D35">
        <w:rPr>
          <w:rFonts w:ascii="Times New Roman" w:hAnsi="Times New Roman" w:cs="Times New Roman"/>
          <w:color w:val="000000"/>
          <w:sz w:val="28"/>
          <w:szCs w:val="28"/>
          <w:shd w:val="clear" w:color="auto" w:fill="FFFFFF"/>
        </w:rPr>
        <w:lastRenderedPageBreak/>
        <w:t>Таблица 14 - Результаты расчетов индекса плотности по инструментам фондирования</w:t>
      </w:r>
    </w:p>
    <w:p w:rsidR="00E40DE9" w:rsidRPr="00802D35" w:rsidRDefault="00E40DE9" w:rsidP="00E40DE9">
      <w:pPr>
        <w:widowControl w:val="0"/>
        <w:spacing w:after="0" w:line="240" w:lineRule="auto"/>
        <w:ind w:firstLine="567"/>
        <w:jc w:val="both"/>
        <w:rPr>
          <w:rFonts w:ascii="Times New Roman" w:hAnsi="Times New Roman" w:cs="Times New Roman"/>
          <w:color w:val="000000"/>
          <w:sz w:val="28"/>
          <w:szCs w:val="28"/>
          <w:shd w:val="clear" w:color="auto" w:fill="FFFFFF"/>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76"/>
        <w:gridCol w:w="1275"/>
        <w:gridCol w:w="1276"/>
        <w:gridCol w:w="1275"/>
        <w:gridCol w:w="1276"/>
        <w:gridCol w:w="1276"/>
      </w:tblGrid>
      <w:tr w:rsidR="00E40DE9" w:rsidRPr="00802D35" w:rsidTr="00E40DE9">
        <w:trPr>
          <w:trHeight w:val="288"/>
        </w:trPr>
        <w:tc>
          <w:tcPr>
            <w:tcW w:w="3276"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Банки</w:t>
            </w:r>
          </w:p>
        </w:tc>
        <w:tc>
          <w:tcPr>
            <w:tcW w:w="1275"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2016 г.</w:t>
            </w:r>
          </w:p>
        </w:tc>
        <w:tc>
          <w:tcPr>
            <w:tcW w:w="1276"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2017 г.</w:t>
            </w:r>
          </w:p>
        </w:tc>
        <w:tc>
          <w:tcPr>
            <w:tcW w:w="1275"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2018 г.</w:t>
            </w:r>
          </w:p>
        </w:tc>
        <w:tc>
          <w:tcPr>
            <w:tcW w:w="1276"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2019 г.</w:t>
            </w:r>
          </w:p>
        </w:tc>
        <w:tc>
          <w:tcPr>
            <w:tcW w:w="1276"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2020 г.</w:t>
            </w:r>
          </w:p>
        </w:tc>
      </w:tr>
      <w:tr w:rsidR="00E40DE9" w:rsidRPr="00802D35" w:rsidTr="00E40DE9">
        <w:trPr>
          <w:trHeight w:val="278"/>
        </w:trPr>
        <w:tc>
          <w:tcPr>
            <w:tcW w:w="3276"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rPr>
                <w:rFonts w:ascii="Times New Roman" w:hAnsi="Times New Roman" w:cs="Times New Roman"/>
                <w:iCs/>
                <w:color w:val="000000"/>
                <w:sz w:val="28"/>
                <w:szCs w:val="28"/>
              </w:rPr>
            </w:pPr>
            <w:r w:rsidRPr="00802D35">
              <w:rPr>
                <w:rFonts w:ascii="Times New Roman" w:hAnsi="Times New Roman" w:cs="Times New Roman"/>
                <w:iCs/>
                <w:color w:val="000000"/>
                <w:sz w:val="28"/>
                <w:szCs w:val="28"/>
              </w:rPr>
              <w:t>АО Halyk Bank</w:t>
            </w:r>
          </w:p>
        </w:tc>
        <w:tc>
          <w:tcPr>
            <w:tcW w:w="1275"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1343,14</w:t>
            </w:r>
          </w:p>
        </w:tc>
        <w:tc>
          <w:tcPr>
            <w:tcW w:w="1276"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1373,22</w:t>
            </w:r>
          </w:p>
        </w:tc>
        <w:tc>
          <w:tcPr>
            <w:tcW w:w="1275" w:type="dxa"/>
            <w:shd w:val="clear" w:color="auto" w:fill="auto"/>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bCs/>
                <w:color w:val="000000"/>
                <w:sz w:val="28"/>
                <w:szCs w:val="28"/>
              </w:rPr>
            </w:pPr>
            <w:r w:rsidRPr="00802D35">
              <w:rPr>
                <w:rFonts w:ascii="Times New Roman" w:hAnsi="Times New Roman" w:cs="Times New Roman"/>
                <w:bCs/>
                <w:color w:val="000000"/>
                <w:sz w:val="28"/>
                <w:szCs w:val="28"/>
              </w:rPr>
              <w:t>1566,40</w:t>
            </w:r>
          </w:p>
        </w:tc>
        <w:tc>
          <w:tcPr>
            <w:tcW w:w="1276" w:type="dxa"/>
            <w:shd w:val="clear" w:color="auto" w:fill="auto"/>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bCs/>
                <w:color w:val="000000"/>
                <w:sz w:val="28"/>
                <w:szCs w:val="28"/>
              </w:rPr>
            </w:pPr>
            <w:r w:rsidRPr="00802D35">
              <w:rPr>
                <w:rFonts w:ascii="Times New Roman" w:hAnsi="Times New Roman" w:cs="Times New Roman"/>
                <w:bCs/>
                <w:color w:val="000000"/>
                <w:sz w:val="28"/>
                <w:szCs w:val="28"/>
              </w:rPr>
              <w:t>1443,10</w:t>
            </w:r>
          </w:p>
        </w:tc>
        <w:tc>
          <w:tcPr>
            <w:tcW w:w="1276"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1416,67</w:t>
            </w:r>
          </w:p>
        </w:tc>
      </w:tr>
      <w:tr w:rsidR="00E40DE9" w:rsidRPr="00802D35" w:rsidTr="00E40DE9">
        <w:trPr>
          <w:trHeight w:val="241"/>
        </w:trPr>
        <w:tc>
          <w:tcPr>
            <w:tcW w:w="3276"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rPr>
                <w:rFonts w:ascii="Times New Roman" w:hAnsi="Times New Roman" w:cs="Times New Roman"/>
                <w:iCs/>
                <w:color w:val="000000"/>
                <w:sz w:val="28"/>
                <w:szCs w:val="28"/>
              </w:rPr>
            </w:pPr>
            <w:r w:rsidRPr="00802D35">
              <w:rPr>
                <w:rFonts w:ascii="Times New Roman" w:hAnsi="Times New Roman" w:cs="Times New Roman"/>
                <w:iCs/>
                <w:color w:val="000000"/>
                <w:sz w:val="28"/>
                <w:szCs w:val="28"/>
              </w:rPr>
              <w:t>АО АТФ</w:t>
            </w:r>
            <w:r w:rsidR="00E97FF6" w:rsidRPr="00802D35">
              <w:rPr>
                <w:rFonts w:ascii="Times New Roman" w:hAnsi="Times New Roman" w:cs="Times New Roman"/>
                <w:iCs/>
                <w:color w:val="000000"/>
                <w:sz w:val="28"/>
                <w:szCs w:val="28"/>
                <w:lang w:val="en-US"/>
              </w:rPr>
              <w:t xml:space="preserve"> </w:t>
            </w:r>
            <w:r w:rsidRPr="00802D35">
              <w:rPr>
                <w:rFonts w:ascii="Times New Roman" w:hAnsi="Times New Roman" w:cs="Times New Roman"/>
                <w:iCs/>
                <w:color w:val="000000"/>
                <w:sz w:val="28"/>
                <w:szCs w:val="28"/>
              </w:rPr>
              <w:t>Банк</w:t>
            </w:r>
          </w:p>
        </w:tc>
        <w:tc>
          <w:tcPr>
            <w:tcW w:w="1275" w:type="dxa"/>
            <w:shd w:val="clear" w:color="auto" w:fill="auto"/>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bCs/>
                <w:color w:val="000000"/>
                <w:sz w:val="28"/>
                <w:szCs w:val="28"/>
              </w:rPr>
            </w:pPr>
            <w:r w:rsidRPr="00802D35">
              <w:rPr>
                <w:rFonts w:ascii="Times New Roman" w:hAnsi="Times New Roman" w:cs="Times New Roman"/>
                <w:bCs/>
                <w:color w:val="000000"/>
                <w:sz w:val="28"/>
                <w:szCs w:val="28"/>
              </w:rPr>
              <w:t>1967,08</w:t>
            </w:r>
          </w:p>
        </w:tc>
        <w:tc>
          <w:tcPr>
            <w:tcW w:w="1276" w:type="dxa"/>
            <w:shd w:val="clear" w:color="auto" w:fill="auto"/>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bCs/>
                <w:color w:val="000000"/>
                <w:sz w:val="28"/>
                <w:szCs w:val="28"/>
              </w:rPr>
            </w:pPr>
            <w:r w:rsidRPr="00802D35">
              <w:rPr>
                <w:rFonts w:ascii="Times New Roman" w:hAnsi="Times New Roman" w:cs="Times New Roman"/>
                <w:bCs/>
                <w:color w:val="000000"/>
                <w:sz w:val="28"/>
                <w:szCs w:val="28"/>
              </w:rPr>
              <w:t>1660,52</w:t>
            </w:r>
          </w:p>
        </w:tc>
        <w:tc>
          <w:tcPr>
            <w:tcW w:w="1275" w:type="dxa"/>
            <w:shd w:val="clear" w:color="auto" w:fill="auto"/>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bCs/>
                <w:color w:val="000000"/>
                <w:sz w:val="28"/>
                <w:szCs w:val="28"/>
              </w:rPr>
            </w:pPr>
            <w:r w:rsidRPr="00802D35">
              <w:rPr>
                <w:rFonts w:ascii="Times New Roman" w:hAnsi="Times New Roman" w:cs="Times New Roman"/>
                <w:bCs/>
                <w:color w:val="000000"/>
                <w:sz w:val="28"/>
                <w:szCs w:val="28"/>
              </w:rPr>
              <w:t>1734</w:t>
            </w:r>
          </w:p>
        </w:tc>
        <w:tc>
          <w:tcPr>
            <w:tcW w:w="1276" w:type="dxa"/>
            <w:shd w:val="clear" w:color="auto" w:fill="auto"/>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bCs/>
                <w:color w:val="000000"/>
                <w:sz w:val="28"/>
                <w:szCs w:val="28"/>
              </w:rPr>
            </w:pPr>
            <w:r w:rsidRPr="00802D35">
              <w:rPr>
                <w:rFonts w:ascii="Times New Roman" w:hAnsi="Times New Roman" w:cs="Times New Roman"/>
                <w:bCs/>
                <w:color w:val="000000"/>
                <w:sz w:val="28"/>
                <w:szCs w:val="28"/>
              </w:rPr>
              <w:t>1769,57</w:t>
            </w:r>
          </w:p>
        </w:tc>
        <w:tc>
          <w:tcPr>
            <w:tcW w:w="1276" w:type="dxa"/>
            <w:shd w:val="clear" w:color="auto" w:fill="auto"/>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bCs/>
                <w:color w:val="000000"/>
                <w:sz w:val="28"/>
                <w:szCs w:val="28"/>
              </w:rPr>
            </w:pPr>
            <w:r w:rsidRPr="00802D35">
              <w:rPr>
                <w:rFonts w:ascii="Times New Roman" w:hAnsi="Times New Roman" w:cs="Times New Roman"/>
                <w:bCs/>
                <w:color w:val="000000"/>
                <w:sz w:val="28"/>
                <w:szCs w:val="28"/>
              </w:rPr>
              <w:t>1863,93</w:t>
            </w:r>
          </w:p>
        </w:tc>
      </w:tr>
      <w:tr w:rsidR="00E40DE9" w:rsidRPr="00802D35" w:rsidTr="00E40DE9">
        <w:trPr>
          <w:trHeight w:val="230"/>
        </w:trPr>
        <w:tc>
          <w:tcPr>
            <w:tcW w:w="3276"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rPr>
                <w:rFonts w:ascii="Times New Roman" w:hAnsi="Times New Roman" w:cs="Times New Roman"/>
                <w:iCs/>
                <w:color w:val="000000"/>
                <w:sz w:val="28"/>
                <w:szCs w:val="28"/>
              </w:rPr>
            </w:pPr>
            <w:r w:rsidRPr="00802D35">
              <w:rPr>
                <w:rFonts w:ascii="Times New Roman" w:hAnsi="Times New Roman" w:cs="Times New Roman"/>
                <w:iCs/>
                <w:color w:val="000000"/>
                <w:sz w:val="28"/>
                <w:szCs w:val="28"/>
              </w:rPr>
              <w:t xml:space="preserve">АО </w:t>
            </w:r>
            <w:r w:rsidRPr="00802D35">
              <w:rPr>
                <w:rFonts w:ascii="Times New Roman" w:hAnsi="Times New Roman" w:cs="Times New Roman"/>
                <w:color w:val="000000"/>
                <w:sz w:val="28"/>
                <w:szCs w:val="28"/>
              </w:rPr>
              <w:t>Kaspi bank</w:t>
            </w:r>
          </w:p>
        </w:tc>
        <w:tc>
          <w:tcPr>
            <w:tcW w:w="1275"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1466,191</w:t>
            </w:r>
          </w:p>
        </w:tc>
        <w:tc>
          <w:tcPr>
            <w:tcW w:w="1276"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1430,042</w:t>
            </w:r>
          </w:p>
        </w:tc>
        <w:tc>
          <w:tcPr>
            <w:tcW w:w="1275"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1456,409</w:t>
            </w:r>
          </w:p>
        </w:tc>
        <w:tc>
          <w:tcPr>
            <w:tcW w:w="1276"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1424,566</w:t>
            </w:r>
          </w:p>
        </w:tc>
        <w:tc>
          <w:tcPr>
            <w:tcW w:w="1276"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color w:val="000000"/>
                <w:sz w:val="28"/>
                <w:szCs w:val="28"/>
              </w:rPr>
            </w:pPr>
            <w:r w:rsidRPr="00802D35">
              <w:rPr>
                <w:rFonts w:ascii="Times New Roman" w:hAnsi="Times New Roman" w:cs="Times New Roman"/>
                <w:color w:val="000000"/>
                <w:sz w:val="28"/>
                <w:szCs w:val="28"/>
              </w:rPr>
              <w:t>1330,113</w:t>
            </w:r>
          </w:p>
        </w:tc>
      </w:tr>
      <w:tr w:rsidR="00E40DE9" w:rsidRPr="00802D35" w:rsidTr="00E40DE9">
        <w:trPr>
          <w:trHeight w:val="224"/>
        </w:trPr>
        <w:tc>
          <w:tcPr>
            <w:tcW w:w="3276" w:type="dxa"/>
            <w:shd w:val="clear" w:color="auto" w:fill="auto"/>
            <w:noWrap/>
            <w:tcMar>
              <w:top w:w="15" w:type="dxa"/>
              <w:left w:w="15" w:type="dxa"/>
              <w:bottom w:w="0" w:type="dxa"/>
              <w:right w:w="15" w:type="dxa"/>
            </w:tcMar>
            <w:vAlign w:val="bottom"/>
            <w:hideMark/>
          </w:tcPr>
          <w:p w:rsidR="00E40DE9" w:rsidRPr="00802D35" w:rsidRDefault="00E40DE9" w:rsidP="00E40DE9">
            <w:pPr>
              <w:spacing w:after="0" w:line="240" w:lineRule="auto"/>
              <w:rPr>
                <w:rFonts w:ascii="Times New Roman" w:hAnsi="Times New Roman" w:cs="Times New Roman"/>
                <w:i/>
                <w:color w:val="000000"/>
                <w:sz w:val="28"/>
                <w:szCs w:val="28"/>
              </w:rPr>
            </w:pPr>
            <w:r w:rsidRPr="00802D35">
              <w:rPr>
                <w:rFonts w:ascii="Times New Roman" w:hAnsi="Times New Roman" w:cs="Times New Roman"/>
                <w:i/>
                <w:color w:val="000000"/>
                <w:sz w:val="28"/>
                <w:szCs w:val="28"/>
              </w:rPr>
              <w:t>Банковский сектор</w:t>
            </w:r>
          </w:p>
        </w:tc>
        <w:tc>
          <w:tcPr>
            <w:tcW w:w="1275"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i/>
                <w:color w:val="000000"/>
                <w:sz w:val="28"/>
                <w:szCs w:val="28"/>
              </w:rPr>
            </w:pPr>
            <w:r w:rsidRPr="00802D35">
              <w:rPr>
                <w:rFonts w:ascii="Times New Roman" w:hAnsi="Times New Roman" w:cs="Times New Roman"/>
                <w:i/>
                <w:color w:val="000000"/>
                <w:sz w:val="28"/>
                <w:szCs w:val="28"/>
              </w:rPr>
              <w:t>1564,82</w:t>
            </w:r>
          </w:p>
        </w:tc>
        <w:tc>
          <w:tcPr>
            <w:tcW w:w="1276"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i/>
                <w:color w:val="000000"/>
                <w:sz w:val="28"/>
                <w:szCs w:val="28"/>
              </w:rPr>
            </w:pPr>
            <w:r w:rsidRPr="00802D35">
              <w:rPr>
                <w:rFonts w:ascii="Times New Roman" w:hAnsi="Times New Roman" w:cs="Times New Roman"/>
                <w:i/>
                <w:color w:val="000000"/>
                <w:sz w:val="28"/>
                <w:szCs w:val="28"/>
              </w:rPr>
              <w:t>1677,553</w:t>
            </w:r>
          </w:p>
        </w:tc>
        <w:tc>
          <w:tcPr>
            <w:tcW w:w="1275"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i/>
                <w:color w:val="000000"/>
                <w:sz w:val="28"/>
                <w:szCs w:val="28"/>
              </w:rPr>
            </w:pPr>
            <w:r w:rsidRPr="00802D35">
              <w:rPr>
                <w:rFonts w:ascii="Times New Roman" w:hAnsi="Times New Roman" w:cs="Times New Roman"/>
                <w:i/>
                <w:color w:val="000000"/>
                <w:sz w:val="28"/>
                <w:szCs w:val="28"/>
              </w:rPr>
              <w:t>1590,433</w:t>
            </w:r>
          </w:p>
        </w:tc>
        <w:tc>
          <w:tcPr>
            <w:tcW w:w="1276"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i/>
                <w:color w:val="000000"/>
                <w:sz w:val="28"/>
                <w:szCs w:val="28"/>
              </w:rPr>
            </w:pPr>
            <w:r w:rsidRPr="00802D35">
              <w:rPr>
                <w:rFonts w:ascii="Times New Roman" w:hAnsi="Times New Roman" w:cs="Times New Roman"/>
                <w:i/>
                <w:color w:val="000000"/>
                <w:sz w:val="28"/>
                <w:szCs w:val="28"/>
              </w:rPr>
              <w:t>1617,96</w:t>
            </w:r>
          </w:p>
        </w:tc>
        <w:tc>
          <w:tcPr>
            <w:tcW w:w="1276" w:type="dxa"/>
            <w:shd w:val="clear" w:color="auto" w:fill="auto"/>
            <w:noWrap/>
            <w:tcMar>
              <w:top w:w="15" w:type="dxa"/>
              <w:left w:w="15" w:type="dxa"/>
              <w:bottom w:w="0" w:type="dxa"/>
              <w:right w:w="15" w:type="dxa"/>
            </w:tcMar>
            <w:vAlign w:val="center"/>
            <w:hideMark/>
          </w:tcPr>
          <w:p w:rsidR="00E40DE9" w:rsidRPr="00802D35" w:rsidRDefault="00E40DE9" w:rsidP="00E40DE9">
            <w:pPr>
              <w:spacing w:after="0" w:line="240" w:lineRule="auto"/>
              <w:jc w:val="center"/>
              <w:rPr>
                <w:rFonts w:ascii="Times New Roman" w:hAnsi="Times New Roman" w:cs="Times New Roman"/>
                <w:i/>
                <w:color w:val="000000"/>
                <w:sz w:val="28"/>
                <w:szCs w:val="28"/>
              </w:rPr>
            </w:pPr>
            <w:r w:rsidRPr="00802D35">
              <w:rPr>
                <w:rFonts w:ascii="Times New Roman" w:hAnsi="Times New Roman" w:cs="Times New Roman"/>
                <w:i/>
                <w:color w:val="000000"/>
                <w:sz w:val="28"/>
                <w:szCs w:val="28"/>
              </w:rPr>
              <w:t>1663,03</w:t>
            </w:r>
          </w:p>
        </w:tc>
      </w:tr>
      <w:tr w:rsidR="00E40DE9" w:rsidRPr="00802D35" w:rsidTr="00E40DE9">
        <w:trPr>
          <w:trHeight w:val="259"/>
        </w:trPr>
        <w:tc>
          <w:tcPr>
            <w:tcW w:w="9654" w:type="dxa"/>
            <w:gridSpan w:val="6"/>
            <w:shd w:val="clear" w:color="auto" w:fill="auto"/>
            <w:noWrap/>
            <w:tcMar>
              <w:top w:w="15" w:type="dxa"/>
              <w:left w:w="15" w:type="dxa"/>
              <w:bottom w:w="0" w:type="dxa"/>
              <w:right w:w="15" w:type="dxa"/>
            </w:tcMar>
            <w:vAlign w:val="bottom"/>
          </w:tcPr>
          <w:p w:rsidR="00E40DE9" w:rsidRPr="00802D35" w:rsidRDefault="00E40DE9" w:rsidP="00E40DE9">
            <w:pPr>
              <w:spacing w:after="0" w:line="240" w:lineRule="auto"/>
              <w:jc w:val="both"/>
              <w:rPr>
                <w:rFonts w:ascii="Times New Roman" w:hAnsi="Times New Roman" w:cs="Times New Roman"/>
                <w:color w:val="000000"/>
                <w:sz w:val="28"/>
                <w:szCs w:val="28"/>
              </w:rPr>
            </w:pPr>
            <w:r w:rsidRPr="00802D35">
              <w:rPr>
                <w:rFonts w:ascii="Times New Roman" w:hAnsi="Times New Roman" w:cs="Times New Roman"/>
                <w:color w:val="000000"/>
                <w:sz w:val="28"/>
                <w:szCs w:val="28"/>
              </w:rPr>
              <w:t>Примечание - составлено автором на основании расчетов</w:t>
            </w:r>
          </w:p>
        </w:tc>
      </w:tr>
    </w:tbl>
    <w:p w:rsidR="00E40DE9" w:rsidRPr="00802D35" w:rsidRDefault="00E40DE9" w:rsidP="00E40DE9">
      <w:pPr>
        <w:widowControl w:val="0"/>
        <w:spacing w:after="0" w:line="240" w:lineRule="auto"/>
        <w:ind w:firstLine="567"/>
        <w:jc w:val="both"/>
        <w:rPr>
          <w:rFonts w:ascii="Times New Roman" w:hAnsi="Times New Roman" w:cs="Times New Roman"/>
          <w:color w:val="000000"/>
          <w:sz w:val="28"/>
          <w:szCs w:val="28"/>
          <w:shd w:val="clear" w:color="auto" w:fill="FFFFFF"/>
        </w:rPr>
      </w:pPr>
    </w:p>
    <w:p w:rsidR="00E40DE9" w:rsidRPr="00802D35" w:rsidRDefault="00E40DE9" w:rsidP="00E40DE9">
      <w:pPr>
        <w:widowControl w:val="0"/>
        <w:spacing w:after="0" w:line="240" w:lineRule="auto"/>
        <w:ind w:firstLine="567"/>
        <w:jc w:val="both"/>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sz w:val="28"/>
          <w:szCs w:val="28"/>
          <w:lang w:eastAsia="ru-RU"/>
        </w:rPr>
        <w:t>На основании полученных данных можно отметить, что наибольшие значения индекса плотности были характерны АО АТФ</w:t>
      </w:r>
      <w:r w:rsidR="00E97FF6" w:rsidRPr="00802D35">
        <w:rPr>
          <w:rFonts w:ascii="Times New Roman" w:eastAsia="Times New Roman" w:hAnsi="Times New Roman" w:cs="Times New Roman"/>
          <w:sz w:val="28"/>
          <w:szCs w:val="28"/>
          <w:lang w:eastAsia="ru-RU"/>
        </w:rPr>
        <w:t xml:space="preserve"> </w:t>
      </w:r>
      <w:r w:rsidRPr="00802D35">
        <w:rPr>
          <w:rFonts w:ascii="Times New Roman" w:eastAsia="Times New Roman" w:hAnsi="Times New Roman" w:cs="Times New Roman"/>
          <w:sz w:val="28"/>
          <w:szCs w:val="28"/>
          <w:lang w:eastAsia="ru-RU"/>
        </w:rPr>
        <w:t xml:space="preserve">Банк в 2016 г. и 2017 г. В последующие периоды начиная с 2018 г. наибольшие значения характерны для </w:t>
      </w:r>
      <w:r w:rsidRPr="00802D35">
        <w:rPr>
          <w:rStyle w:val="HTML"/>
          <w:rFonts w:ascii="Times New Roman" w:hAnsi="Times New Roman" w:cs="Times New Roman"/>
          <w:sz w:val="28"/>
          <w:szCs w:val="28"/>
          <w:shd w:val="clear" w:color="auto" w:fill="FFFFFF"/>
        </w:rPr>
        <w:t>АО Halyk Bank (рисунок 38).</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p>
    <w:p w:rsidR="00E40DE9" w:rsidRPr="00802D35" w:rsidRDefault="00E40DE9" w:rsidP="00E40DE9">
      <w:pPr>
        <w:widowControl w:val="0"/>
        <w:spacing w:after="0" w:line="240" w:lineRule="auto"/>
        <w:jc w:val="both"/>
        <w:rPr>
          <w:rFonts w:ascii="Times New Roman" w:eastAsia="Times New Roman" w:hAnsi="Times New Roman" w:cs="Times New Roman"/>
          <w:sz w:val="28"/>
          <w:szCs w:val="28"/>
          <w:lang w:eastAsia="ru-RU"/>
        </w:rPr>
      </w:pPr>
      <w:r w:rsidRPr="00802D35">
        <w:rPr>
          <w:noProof/>
          <w:lang w:eastAsia="ru-RU"/>
        </w:rPr>
        <w:drawing>
          <wp:inline distT="0" distB="0" distL="0" distR="0">
            <wp:extent cx="6216242" cy="2743200"/>
            <wp:effectExtent l="0" t="0" r="0" b="0"/>
            <wp:docPr id="2" name="Диаграмма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p>
    <w:p w:rsidR="00E40DE9" w:rsidRPr="00802D35" w:rsidRDefault="00E40DE9" w:rsidP="00E40DE9">
      <w:pPr>
        <w:widowControl w:val="0"/>
        <w:spacing w:after="0" w:line="240" w:lineRule="auto"/>
        <w:ind w:firstLine="567"/>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Рисунок 38 - Значения HHI</w:t>
      </w:r>
      <w:r w:rsidRPr="00802D35">
        <w:rPr>
          <w:rFonts w:ascii="Times New Roman" w:eastAsia="Times New Roman" w:hAnsi="Times New Roman" w:cs="Times New Roman"/>
          <w:sz w:val="28"/>
          <w:szCs w:val="28"/>
          <w:vertAlign w:val="subscript"/>
          <w:lang w:eastAsia="ru-RU"/>
        </w:rPr>
        <w:t>m</w:t>
      </w:r>
      <w:r w:rsidRPr="00802D35">
        <w:rPr>
          <w:rFonts w:ascii="Times New Roman" w:eastAsia="Times New Roman" w:hAnsi="Times New Roman" w:cs="Times New Roman"/>
          <w:sz w:val="28"/>
          <w:szCs w:val="28"/>
          <w:lang w:eastAsia="ru-RU"/>
        </w:rPr>
        <w:t xml:space="preserve"> по банкам и банковскому сектору Казахстана</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hAnsi="Times New Roman" w:cs="Times New Roman"/>
          <w:color w:val="000000"/>
          <w:sz w:val="24"/>
          <w:szCs w:val="24"/>
        </w:rPr>
        <w:t>Примечание - составлено автором на основании расчетов</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p>
    <w:p w:rsidR="00E40DE9" w:rsidRPr="00802D35" w:rsidRDefault="00E40DE9" w:rsidP="00E40DE9">
      <w:pPr>
        <w:widowControl w:val="0"/>
        <w:spacing w:after="0" w:line="240" w:lineRule="auto"/>
        <w:ind w:firstLine="567"/>
        <w:jc w:val="both"/>
        <w:rPr>
          <w:rStyle w:val="HTML"/>
          <w:rFonts w:ascii="Times New Roman" w:hAnsi="Times New Roman" w:cs="Times New Roman"/>
          <w:i w:val="0"/>
          <w:sz w:val="28"/>
          <w:szCs w:val="28"/>
          <w:shd w:val="clear" w:color="auto" w:fill="FFFFFF"/>
        </w:rPr>
      </w:pPr>
      <w:r w:rsidRPr="00802D35">
        <w:rPr>
          <w:rFonts w:ascii="Times New Roman" w:eastAsia="Times New Roman" w:hAnsi="Times New Roman" w:cs="Times New Roman"/>
          <w:sz w:val="28"/>
          <w:szCs w:val="28"/>
          <w:lang w:eastAsia="ru-RU"/>
        </w:rPr>
        <w:t>Если сравнивать значения индекса по отдельным банкам и банковскому сектору в целом, то можно отметить, что с 2018 г. по АО АТФ</w:t>
      </w:r>
      <w:r w:rsidR="00E97FF6" w:rsidRPr="00802D35">
        <w:rPr>
          <w:rFonts w:ascii="Times New Roman" w:eastAsia="Times New Roman" w:hAnsi="Times New Roman" w:cs="Times New Roman"/>
          <w:sz w:val="28"/>
          <w:szCs w:val="28"/>
          <w:lang w:eastAsia="ru-RU"/>
        </w:rPr>
        <w:t xml:space="preserve"> </w:t>
      </w:r>
      <w:r w:rsidRPr="00802D35">
        <w:rPr>
          <w:rFonts w:ascii="Times New Roman" w:eastAsia="Times New Roman" w:hAnsi="Times New Roman" w:cs="Times New Roman"/>
          <w:sz w:val="28"/>
          <w:szCs w:val="28"/>
          <w:lang w:eastAsia="ru-RU"/>
        </w:rPr>
        <w:t>Банку наблюдалось превышение индекса плотности фондирования над средним значением по отрасли в целом, что свидетельствует о сильной концентрации фондирования банка и его зависимости от отдельных источников фондирования. В последующие периоды все рассматриваемые банки имели более диверсифицированную структуру фондирования. При этом, в 2017 г. плотность индекса по АО АТФ</w:t>
      </w:r>
      <w:r w:rsidR="00E97FF6" w:rsidRPr="00802D35">
        <w:rPr>
          <w:rFonts w:ascii="Times New Roman" w:eastAsia="Times New Roman" w:hAnsi="Times New Roman" w:cs="Times New Roman"/>
          <w:sz w:val="28"/>
          <w:szCs w:val="28"/>
          <w:lang w:eastAsia="ru-RU"/>
        </w:rPr>
        <w:t xml:space="preserve"> </w:t>
      </w:r>
      <w:r w:rsidRPr="00802D35">
        <w:rPr>
          <w:rFonts w:ascii="Times New Roman" w:eastAsia="Times New Roman" w:hAnsi="Times New Roman" w:cs="Times New Roman"/>
          <w:sz w:val="28"/>
          <w:szCs w:val="28"/>
          <w:lang w:eastAsia="ru-RU"/>
        </w:rPr>
        <w:t xml:space="preserve">Банк была приближена к пороговому значению, а в 2018 г. это коснулось и </w:t>
      </w:r>
      <w:r w:rsidRPr="00802D35">
        <w:rPr>
          <w:rStyle w:val="HTML"/>
          <w:rFonts w:ascii="Times New Roman" w:hAnsi="Times New Roman" w:cs="Times New Roman"/>
          <w:sz w:val="28"/>
          <w:szCs w:val="28"/>
          <w:shd w:val="clear" w:color="auto" w:fill="FFFFFF"/>
        </w:rPr>
        <w:t>АО Halyk Bank. Однако, 2019-2020 гг. характеризуются существенным расхождением показателей индекса от пороговых значений.</w:t>
      </w:r>
    </w:p>
    <w:p w:rsidR="00E40DE9" w:rsidRPr="00802D35" w:rsidRDefault="00E40DE9" w:rsidP="00E40DE9">
      <w:pPr>
        <w:pStyle w:val="af3"/>
        <w:tabs>
          <w:tab w:val="left" w:pos="9638"/>
        </w:tabs>
        <w:ind w:right="-1" w:firstLine="567"/>
        <w:jc w:val="both"/>
        <w:rPr>
          <w:rFonts w:ascii="Times New Roman" w:hAnsi="Times New Roman"/>
          <w:szCs w:val="28"/>
        </w:rPr>
      </w:pPr>
      <w:r w:rsidRPr="00802D35">
        <w:rPr>
          <w:rStyle w:val="HTML"/>
          <w:rFonts w:ascii="Times New Roman" w:hAnsi="Times New Roman"/>
          <w:szCs w:val="28"/>
          <w:shd w:val="clear" w:color="auto" w:fill="FFFFFF"/>
        </w:rPr>
        <w:lastRenderedPageBreak/>
        <w:t xml:space="preserve">При обращении к анализу структуры фондирования, проведенному в предыдущем разделе, по данным банкам можно отметить, что в те периоды, когда наблюдается увеличение </w:t>
      </w:r>
      <w:r w:rsidRPr="00802D35">
        <w:rPr>
          <w:rFonts w:ascii="Times New Roman" w:eastAsia="Times New Roman" w:hAnsi="Times New Roman"/>
          <w:szCs w:val="28"/>
          <w:lang w:eastAsia="ru-RU"/>
        </w:rPr>
        <w:t>HHI</w:t>
      </w:r>
      <w:r w:rsidRPr="00802D35">
        <w:rPr>
          <w:rFonts w:ascii="Times New Roman" w:eastAsia="Times New Roman" w:hAnsi="Times New Roman"/>
          <w:szCs w:val="28"/>
          <w:vertAlign w:val="subscript"/>
          <w:lang w:eastAsia="ru-RU"/>
        </w:rPr>
        <w:t>m</w:t>
      </w:r>
      <w:r w:rsidRPr="00802D35">
        <w:rPr>
          <w:rFonts w:ascii="Times New Roman" w:eastAsia="Times New Roman" w:hAnsi="Times New Roman"/>
          <w:szCs w:val="28"/>
          <w:lang w:eastAsia="ru-RU"/>
        </w:rPr>
        <w:t xml:space="preserve"> банки испытывали либо серьезную зависимость от какого-либо одного источника фондирования, либо имели сложности с поступлением средств в банк в целом. В частности, такая тенденция прослеживается у АО АТФ</w:t>
      </w:r>
      <w:r w:rsidR="00E97FF6" w:rsidRPr="00802D35">
        <w:rPr>
          <w:rFonts w:ascii="Times New Roman" w:eastAsia="Times New Roman" w:hAnsi="Times New Roman"/>
          <w:szCs w:val="28"/>
          <w:lang w:eastAsia="ru-RU"/>
        </w:rPr>
        <w:t xml:space="preserve"> </w:t>
      </w:r>
      <w:r w:rsidRPr="00802D35">
        <w:rPr>
          <w:rFonts w:ascii="Times New Roman" w:eastAsia="Times New Roman" w:hAnsi="Times New Roman"/>
          <w:szCs w:val="28"/>
          <w:lang w:eastAsia="ru-RU"/>
        </w:rPr>
        <w:t>Банка. Так, н</w:t>
      </w:r>
      <w:r w:rsidRPr="00802D35">
        <w:rPr>
          <w:rFonts w:ascii="Times New Roman" w:hAnsi="Times New Roman"/>
          <w:szCs w:val="28"/>
        </w:rPr>
        <w:t>а начало 2018 г. таких клиентов осталось всего двое, что характеризует усиление концентрации фондирования банка. таким образом, основным источником фондирования деятельности банка являются высоко концентрированные счета клиентов, которые к концу 2020 г. составили 73% от общих обязательств АО АТФ</w:t>
      </w:r>
      <w:r w:rsidR="00E97FF6" w:rsidRPr="00802D35">
        <w:rPr>
          <w:rFonts w:ascii="Times New Roman" w:hAnsi="Times New Roman"/>
          <w:szCs w:val="28"/>
        </w:rPr>
        <w:t xml:space="preserve"> </w:t>
      </w:r>
      <w:r w:rsidRPr="00802D35">
        <w:rPr>
          <w:rFonts w:ascii="Times New Roman" w:hAnsi="Times New Roman"/>
          <w:szCs w:val="28"/>
        </w:rPr>
        <w:t>Банк.</w:t>
      </w:r>
    </w:p>
    <w:p w:rsidR="00E40DE9" w:rsidRPr="00802D35" w:rsidRDefault="00E40DE9" w:rsidP="00E40DE9">
      <w:pPr>
        <w:pStyle w:val="af3"/>
        <w:tabs>
          <w:tab w:val="left" w:pos="9638"/>
        </w:tabs>
        <w:ind w:right="-1" w:firstLine="567"/>
        <w:jc w:val="both"/>
        <w:rPr>
          <w:rStyle w:val="HTML"/>
          <w:rFonts w:ascii="Times New Roman" w:hAnsi="Times New Roman"/>
          <w:i w:val="0"/>
          <w:szCs w:val="28"/>
          <w:shd w:val="clear" w:color="auto" w:fill="FFFFFF"/>
        </w:rPr>
      </w:pPr>
      <w:r w:rsidRPr="00802D35">
        <w:rPr>
          <w:rFonts w:ascii="Times New Roman" w:hAnsi="Times New Roman"/>
          <w:szCs w:val="28"/>
        </w:rPr>
        <w:t xml:space="preserve">В отношении </w:t>
      </w:r>
      <w:r w:rsidRPr="00802D35">
        <w:rPr>
          <w:rStyle w:val="HTML"/>
          <w:rFonts w:ascii="Times New Roman" w:hAnsi="Times New Roman"/>
          <w:szCs w:val="28"/>
          <w:shd w:val="clear" w:color="auto" w:fill="FFFFFF"/>
        </w:rPr>
        <w:t xml:space="preserve">АО Halyk Bank в 2018-2019 гг. </w:t>
      </w:r>
      <w:r w:rsidRPr="00802D35">
        <w:rPr>
          <w:rFonts w:ascii="Times New Roman" w:hAnsi="Times New Roman"/>
          <w:szCs w:val="28"/>
        </w:rPr>
        <w:t xml:space="preserve">десятка самых крупных клиентов банка составляла 27%, на начало 20201 г. их доля сократилась до 23%, а структура портфеля фондирования приобрела более диверсифицированный характер. Одновременно, можно заметить и снижение </w:t>
      </w:r>
      <w:r w:rsidRPr="00802D35">
        <w:rPr>
          <w:rFonts w:ascii="Times New Roman" w:eastAsia="Times New Roman" w:hAnsi="Times New Roman"/>
          <w:szCs w:val="28"/>
          <w:lang w:eastAsia="ru-RU"/>
        </w:rPr>
        <w:t>HHI</w:t>
      </w:r>
      <w:r w:rsidRPr="00802D35">
        <w:rPr>
          <w:rFonts w:ascii="Times New Roman" w:eastAsia="Times New Roman" w:hAnsi="Times New Roman"/>
          <w:szCs w:val="28"/>
          <w:vertAlign w:val="subscript"/>
          <w:lang w:eastAsia="ru-RU"/>
        </w:rPr>
        <w:t>m</w:t>
      </w:r>
      <w:r w:rsidRPr="00802D35">
        <w:rPr>
          <w:rFonts w:ascii="Times New Roman" w:eastAsia="Times New Roman" w:hAnsi="Times New Roman"/>
          <w:szCs w:val="28"/>
          <w:lang w:eastAsia="ru-RU"/>
        </w:rPr>
        <w:t xml:space="preserve"> по данному банку, индекс которого опустился ниже среднего уровня по банковскому сектору Казахстана в целом. </w:t>
      </w:r>
    </w:p>
    <w:p w:rsidR="00E40DE9" w:rsidRPr="00802D35" w:rsidRDefault="00E40DE9" w:rsidP="00E40DE9">
      <w:pPr>
        <w:widowControl w:val="0"/>
        <w:spacing w:after="0" w:line="240" w:lineRule="auto"/>
        <w:ind w:firstLine="567"/>
        <w:jc w:val="both"/>
        <w:rPr>
          <w:rStyle w:val="HTML"/>
          <w:rFonts w:ascii="Times New Roman" w:hAnsi="Times New Roman" w:cs="Times New Roman"/>
          <w:i w:val="0"/>
          <w:sz w:val="28"/>
          <w:szCs w:val="28"/>
          <w:shd w:val="clear" w:color="auto" w:fill="FFFFFF"/>
        </w:rPr>
      </w:pPr>
      <w:r w:rsidRPr="00802D35">
        <w:rPr>
          <w:rFonts w:ascii="Times New Roman" w:eastAsia="Times New Roman" w:hAnsi="Times New Roman" w:cs="Times New Roman"/>
          <w:sz w:val="28"/>
          <w:szCs w:val="28"/>
          <w:lang w:eastAsia="ru-RU"/>
        </w:rPr>
        <w:t xml:space="preserve">Далее, необходимо отследить наличие положительной или отрицательной динамики портфеля фондирования по банкам. У </w:t>
      </w:r>
      <w:r w:rsidRPr="00802D35">
        <w:rPr>
          <w:rStyle w:val="HTML"/>
          <w:rFonts w:ascii="Times New Roman" w:hAnsi="Times New Roman" w:cs="Times New Roman"/>
          <w:sz w:val="28"/>
          <w:szCs w:val="28"/>
          <w:shd w:val="clear" w:color="auto" w:fill="FFFFFF"/>
        </w:rPr>
        <w:t>АО Halyk Bank индекс увеличивается в течение 2016-2018 гг. и динамика портфеля фондирования также является положительной. В 2019 г. объем фондирования падает и индекс сокращается аналогичным образом. Однако, в 2020 г. имеется положительная динамика объемов фондирования при снижении индекса плотности. Такая ситуация свидетельствует о более грамотной политике привлечения ресурсов, соблюдении принципов фондирования, отсутствия зависимости банка от определенных источников фондирования и наличии хорошей диверсификации портфеля.</w:t>
      </w:r>
    </w:p>
    <w:p w:rsidR="00E40DE9" w:rsidRPr="00802D35" w:rsidRDefault="00E40DE9" w:rsidP="00E40DE9">
      <w:pPr>
        <w:widowControl w:val="0"/>
        <w:spacing w:after="0" w:line="240" w:lineRule="auto"/>
        <w:ind w:firstLine="567"/>
        <w:jc w:val="both"/>
        <w:rPr>
          <w:rStyle w:val="HTML"/>
          <w:rFonts w:ascii="Times New Roman" w:hAnsi="Times New Roman" w:cs="Times New Roman"/>
          <w:i w:val="0"/>
          <w:sz w:val="28"/>
          <w:szCs w:val="28"/>
          <w:shd w:val="clear" w:color="auto" w:fill="FFFFFF"/>
        </w:rPr>
      </w:pPr>
      <w:r w:rsidRPr="00802D35">
        <w:rPr>
          <w:rStyle w:val="HTML"/>
          <w:rFonts w:ascii="Times New Roman" w:hAnsi="Times New Roman" w:cs="Times New Roman"/>
          <w:sz w:val="28"/>
          <w:szCs w:val="28"/>
          <w:shd w:val="clear" w:color="auto" w:fill="FFFFFF"/>
        </w:rPr>
        <w:t>В отношении АО АТФ</w:t>
      </w:r>
      <w:r w:rsidR="00E97FF6" w:rsidRPr="00802D35">
        <w:rPr>
          <w:rStyle w:val="HTML"/>
          <w:rFonts w:ascii="Times New Roman" w:hAnsi="Times New Roman" w:cs="Times New Roman"/>
          <w:sz w:val="28"/>
          <w:szCs w:val="28"/>
          <w:shd w:val="clear" w:color="auto" w:fill="FFFFFF"/>
        </w:rPr>
        <w:t xml:space="preserve"> </w:t>
      </w:r>
      <w:r w:rsidRPr="00802D35">
        <w:rPr>
          <w:rStyle w:val="HTML"/>
          <w:rFonts w:ascii="Times New Roman" w:hAnsi="Times New Roman" w:cs="Times New Roman"/>
          <w:sz w:val="28"/>
          <w:szCs w:val="28"/>
          <w:shd w:val="clear" w:color="auto" w:fill="FFFFFF"/>
        </w:rPr>
        <w:t>Банк объемы фондирования сокращаются лишь в 2017 г., это касается и индекса фондирования. Однако, начиная с 2018 г. объемы фондирования растут, а индекс плотности сокращается, что также свидетельствует об улучшении фондирования деятельности банка.</w:t>
      </w:r>
    </w:p>
    <w:p w:rsidR="00E40DE9" w:rsidRPr="00802D35" w:rsidRDefault="00E40DE9" w:rsidP="00E40DE9">
      <w:pPr>
        <w:widowControl w:val="0"/>
        <w:spacing w:after="0" w:line="240" w:lineRule="auto"/>
        <w:ind w:firstLine="567"/>
        <w:jc w:val="both"/>
        <w:rPr>
          <w:rFonts w:ascii="Times New Roman" w:hAnsi="Times New Roman" w:cs="Times New Roman"/>
          <w:color w:val="000000"/>
          <w:sz w:val="28"/>
          <w:szCs w:val="28"/>
          <w:shd w:val="clear" w:color="auto" w:fill="FFFFFF"/>
        </w:rPr>
      </w:pPr>
      <w:r w:rsidRPr="00802D35">
        <w:rPr>
          <w:rStyle w:val="HTML"/>
          <w:rFonts w:ascii="Times New Roman" w:hAnsi="Times New Roman" w:cs="Times New Roman"/>
          <w:i w:val="0"/>
          <w:sz w:val="28"/>
          <w:szCs w:val="28"/>
          <w:shd w:val="clear" w:color="auto" w:fill="FFFFFF"/>
        </w:rPr>
        <w:t>АО</w:t>
      </w:r>
      <w:r w:rsidRPr="00802D35">
        <w:rPr>
          <w:rStyle w:val="HTML"/>
          <w:rFonts w:ascii="Times New Roman" w:hAnsi="Times New Roman" w:cs="Times New Roman"/>
          <w:sz w:val="28"/>
          <w:szCs w:val="28"/>
          <w:shd w:val="clear" w:color="auto" w:fill="FFFFFF"/>
        </w:rPr>
        <w:t xml:space="preserve"> </w:t>
      </w:r>
      <w:r w:rsidRPr="00802D35">
        <w:rPr>
          <w:rFonts w:ascii="Times New Roman" w:hAnsi="Times New Roman" w:cs="Times New Roman"/>
          <w:color w:val="000000"/>
          <w:sz w:val="28"/>
          <w:szCs w:val="28"/>
          <w:shd w:val="clear" w:color="auto" w:fill="FFFFFF"/>
        </w:rPr>
        <w:t xml:space="preserve">Kaspi bank имеет постоянную тенденцию роста объемов фондирования. При этом, лишь в 2018 г. рост объемов фондирования характеризовался ростом индекса, что говорит о наличии той же структуры и зависимости от отдельных источников (вкладов населения). Однако, в остальные периоды, в частности, начиная с 2019 г. рост объемов фондирования сопровождался снижением индекса плотности, что свидетельствует о более сбалансированной структуре фондирования.  </w:t>
      </w:r>
    </w:p>
    <w:p w:rsidR="00E40DE9" w:rsidRPr="00802D35" w:rsidRDefault="00E40DE9" w:rsidP="00E40DE9">
      <w:pPr>
        <w:widowControl w:val="0"/>
        <w:spacing w:after="0" w:line="240" w:lineRule="auto"/>
        <w:ind w:firstLine="567"/>
        <w:jc w:val="both"/>
        <w:rPr>
          <w:rFonts w:ascii="Times New Roman" w:hAnsi="Times New Roman" w:cs="Times New Roman"/>
          <w:color w:val="000000"/>
          <w:sz w:val="28"/>
          <w:szCs w:val="28"/>
          <w:shd w:val="clear" w:color="auto" w:fill="FFFFFF"/>
        </w:rPr>
      </w:pPr>
      <w:r w:rsidRPr="00802D35">
        <w:rPr>
          <w:rFonts w:ascii="Times New Roman" w:hAnsi="Times New Roman" w:cs="Times New Roman"/>
          <w:color w:val="000000"/>
          <w:sz w:val="28"/>
          <w:szCs w:val="28"/>
          <w:shd w:val="clear" w:color="auto" w:fill="FFFFFF"/>
        </w:rPr>
        <w:t xml:space="preserve">Таким образом, при проведении параллели между анализом структуры фондирования рассмотренных банков и рассчитанным нами индексом плотности можно отметить, что в те периоды, когда банки испытывали сложности с фондированием в результате усиления концентрации на отдельных источниках фондирования, индекс плотности увеличивается. При увеличении индекса плотности и снижении объемов фондирования банки начинают испытывать нехватку ресурсов, увеличиваются риски нестабильности </w:t>
      </w:r>
      <w:r w:rsidRPr="00802D35">
        <w:rPr>
          <w:rFonts w:ascii="Times New Roman" w:hAnsi="Times New Roman" w:cs="Times New Roman"/>
          <w:color w:val="000000"/>
          <w:sz w:val="28"/>
          <w:szCs w:val="28"/>
          <w:shd w:val="clear" w:color="auto" w:fill="FFFFFF"/>
        </w:rPr>
        <w:lastRenderedPageBreak/>
        <w:t>поступления ресурсов.</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Как было обозначено в первой главе БВУ должны постоянно мониторить процесс и состояние фондирования в банке. Понятное дело, что выполнение пруденциальных нормативов обеспечивает наличие стабильного фондирования, однако, в операционном порядке на уровне управленческой отчетности банки также должны осуществлять контроль в данном направлении.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Внедренный Национальным банком РК в систему пруденциального норматирования коэффициент нетто-стабильного фондирования по стандартам Базеля </w:t>
      </w:r>
      <w:r w:rsidRPr="00802D35">
        <w:rPr>
          <w:rFonts w:ascii="Times New Roman" w:hAnsi="Times New Roman" w:cs="Times New Roman"/>
          <w:sz w:val="28"/>
          <w:szCs w:val="28"/>
          <w:shd w:val="clear" w:color="auto" w:fill="FFFFFF"/>
        </w:rPr>
        <w:t xml:space="preserve">III, как говорилось ранее, позволяет проанализировать возможности банков к стабильному поступлению потоков фондирования и оценить насколько банк устойчив к внешним кризисным проявлениям на финансовом рынке. Вместе с тем, </w:t>
      </w:r>
      <w:r w:rsidRPr="00802D35">
        <w:rPr>
          <w:rFonts w:ascii="Times New Roman" w:hAnsi="Times New Roman" w:cs="Times New Roman"/>
          <w:sz w:val="28"/>
          <w:szCs w:val="28"/>
        </w:rPr>
        <w:t xml:space="preserve">проблема фондирования БВУ все еще остается и находит свое отражение в основных двух аспектах: проблемы эмиссии облигаций и других инструментов фондирования и проблема расчета коэффициента </w:t>
      </w:r>
      <w:r w:rsidRPr="00802D35">
        <w:rPr>
          <w:rFonts w:ascii="Times New Roman" w:hAnsi="Times New Roman" w:cs="Times New Roman"/>
          <w:sz w:val="28"/>
          <w:szCs w:val="28"/>
          <w:shd w:val="clear" w:color="auto" w:fill="FFFFFF"/>
        </w:rPr>
        <w:t>NSFR</w:t>
      </w:r>
      <w:r w:rsidRPr="00802D35">
        <w:rPr>
          <w:rFonts w:ascii="Times New Roman" w:hAnsi="Times New Roman" w:cs="Times New Roman"/>
          <w:sz w:val="28"/>
          <w:szCs w:val="28"/>
        </w:rPr>
        <w:t>. В частности, крупные БВУ, имеющие высокие кредитные рейтинги, не заинтересованы в эмиссии облигаций ввиду высоких процентов. Вторая же группа БВУ не могут разместить свои облигации ввиду недоверия к ним со стороны инвесторов.</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При оценке коэффициента </w:t>
      </w:r>
      <w:r w:rsidRPr="00802D35">
        <w:rPr>
          <w:rFonts w:ascii="Times New Roman" w:hAnsi="Times New Roman" w:cs="Times New Roman"/>
          <w:sz w:val="28"/>
          <w:szCs w:val="28"/>
          <w:shd w:val="clear" w:color="auto" w:fill="FFFFFF"/>
        </w:rPr>
        <w:t xml:space="preserve">NSFR </w:t>
      </w:r>
      <w:r w:rsidRPr="00802D35">
        <w:rPr>
          <w:rFonts w:ascii="Times New Roman" w:hAnsi="Times New Roman" w:cs="Times New Roman"/>
          <w:sz w:val="28"/>
          <w:szCs w:val="28"/>
        </w:rPr>
        <w:t>остатки на счетах населения практически во всех странах мира рассматриваются в качестве стабильной долгосрочной базы фондирования. Учитывая, что в БВУ имеется неснижаемый остаток при изъятии средств досрочно, а вклады физических лиц подлежат обязательному страхованию, банки вполне могут использовать их в течение заданного периода времени, что также позволяет рассматривать их в качестве стабильной базы фондирования.</w:t>
      </w:r>
    </w:p>
    <w:p w:rsidR="00E40DE9" w:rsidRPr="00802D35" w:rsidRDefault="00E40DE9" w:rsidP="00E40DE9">
      <w:pPr>
        <w:spacing w:after="0" w:line="240" w:lineRule="auto"/>
        <w:ind w:firstLine="567"/>
        <w:jc w:val="both"/>
        <w:rPr>
          <w:rFonts w:ascii="Times New Roman" w:hAnsi="Times New Roman"/>
          <w:bCs/>
          <w:sz w:val="28"/>
          <w:szCs w:val="28"/>
        </w:rPr>
      </w:pPr>
      <w:r w:rsidRPr="00802D35">
        <w:rPr>
          <w:rFonts w:ascii="Times New Roman" w:hAnsi="Times New Roman" w:cs="Times New Roman"/>
          <w:sz w:val="28"/>
          <w:szCs w:val="28"/>
        </w:rPr>
        <w:t xml:space="preserve">Если рассмотреть таблицу по обязательствам </w:t>
      </w:r>
      <w:r w:rsidRPr="00802D35">
        <w:rPr>
          <w:rFonts w:ascii="Times New Roman" w:hAnsi="Times New Roman"/>
          <w:bCs/>
          <w:sz w:val="28"/>
          <w:szCs w:val="28"/>
        </w:rPr>
        <w:t xml:space="preserve">доступного стабильного фондирования согласно пруденциального регулирования НБРК, то можно отметить, что даже срочные вклады не учитываются по 100%, а остатки на счетах вообще не рассматриваются в качестве устойчивого фондирования.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имеет смысл предложить интегрированный показатель, отражающий эффективность фондирования банка. Данный интегрированный показатель (индекс качества фондирования) оценивается следующим образом:</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FF4C7E" w:rsidP="00E40DE9">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F</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8</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e>
        </m:nary>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 xml:space="preserve">,  при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8</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e>
        </m:nary>
        <m:r>
          <w:rPr>
            <w:rFonts w:ascii="Cambria Math" w:hAnsi="Cambria Math" w:cs="Times New Roman"/>
            <w:sz w:val="28"/>
            <w:szCs w:val="28"/>
          </w:rPr>
          <m:t>=1</m:t>
        </m:r>
      </m:oMath>
      <w:r w:rsidR="00E40DE9" w:rsidRPr="00802D35">
        <w:rPr>
          <w:rFonts w:ascii="Times New Roman" w:eastAsiaTheme="minorEastAsia" w:hAnsi="Times New Roman" w:cs="Times New Roman"/>
          <w:sz w:val="28"/>
          <w:szCs w:val="28"/>
        </w:rPr>
        <w:t xml:space="preserve">                                        (30),</w:t>
      </w:r>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r w:rsidRPr="00802D35">
        <w:rPr>
          <w:rFonts w:ascii="Times New Roman" w:eastAsiaTheme="minorEastAsia"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C</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 i-ый коэффициент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Q</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 вес i-ого коэффициента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rPr>
        <w:t xml:space="preserve">В мировой практике рассматривается такой показатель качества пассивов банка как коэффициент устойчивого фондирования, который отражает часть активов, финансируемую за счет источников фондирования, которые используются банком более года. По сути он схож с коэффициентом </w:t>
      </w:r>
      <w:r w:rsidRPr="00802D35">
        <w:rPr>
          <w:rFonts w:ascii="Times New Roman" w:hAnsi="Times New Roman" w:cs="Times New Roman"/>
          <w:sz w:val="28"/>
          <w:szCs w:val="28"/>
          <w:shd w:val="clear" w:color="auto" w:fill="FFFFFF"/>
        </w:rPr>
        <w:t xml:space="preserve">NSFR с той лишь разницей, что здесь учитываются как срочные обязательства свыше 1 </w:t>
      </w:r>
      <w:r w:rsidRPr="00802D35">
        <w:rPr>
          <w:rFonts w:ascii="Times New Roman" w:hAnsi="Times New Roman" w:cs="Times New Roman"/>
          <w:sz w:val="28"/>
          <w:szCs w:val="28"/>
          <w:shd w:val="clear" w:color="auto" w:fill="FFFFFF"/>
        </w:rPr>
        <w:lastRenderedPageBreak/>
        <w:t>года, так и остатки на текущих счетах, то есть все привлеченные ресурсы, за исключением вкладов до востребования:</w:t>
      </w:r>
    </w:p>
    <w:p w:rsidR="00E40DE9" w:rsidRPr="00802D35" w:rsidRDefault="00E40DE9" w:rsidP="00E40DE9">
      <w:pPr>
        <w:spacing w:after="0" w:line="240" w:lineRule="auto"/>
        <w:ind w:firstLine="567"/>
        <w:jc w:val="both"/>
        <w:rPr>
          <w:rFonts w:ascii="Times New Roman" w:hAnsi="Times New Roman" w:cs="Times New Roman"/>
          <w:sz w:val="28"/>
          <w:szCs w:val="28"/>
          <w:shd w:val="clear" w:color="auto" w:fill="FFFFFF"/>
        </w:rPr>
      </w:pPr>
    </w:p>
    <w:p w:rsidR="00E40DE9" w:rsidRPr="00802D35" w:rsidRDefault="00FF4C7E" w:rsidP="00E40DE9">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 xml:space="preserve">L-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d</m:t>
                </m:r>
              </m:sub>
            </m:sSub>
          </m:num>
          <m:den>
            <m:r>
              <w:rPr>
                <w:rFonts w:ascii="Cambria Math" w:hAnsi="Cambria Math" w:cs="Times New Roman"/>
                <w:sz w:val="28"/>
                <w:szCs w:val="28"/>
              </w:rPr>
              <m:t>L</m:t>
            </m:r>
          </m:den>
        </m:f>
        <m:r>
          <w:rPr>
            <w:rFonts w:ascii="Cambria Math" w:hAnsi="Cambria Math" w:cs="Times New Roman"/>
            <w:sz w:val="28"/>
            <w:szCs w:val="28"/>
          </w:rPr>
          <m:t xml:space="preserve"> ≥0,7</m:t>
        </m:r>
      </m:oMath>
      <w:r w:rsidR="00E40DE9" w:rsidRPr="00802D35">
        <w:rPr>
          <w:rFonts w:ascii="Times New Roman" w:eastAsiaTheme="minorEastAsia" w:hAnsi="Times New Roman" w:cs="Times New Roman"/>
          <w:sz w:val="28"/>
          <w:szCs w:val="28"/>
        </w:rPr>
        <w:t xml:space="preserve">                                                  (31),</w:t>
      </w:r>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r w:rsidRPr="00802D35">
        <w:rPr>
          <w:rFonts w:ascii="Times New Roman" w:eastAsiaTheme="minorEastAsia"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L – совокупные обязательства банка;</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D</w:t>
      </w:r>
      <w:r w:rsidRPr="00802D35">
        <w:rPr>
          <w:rFonts w:ascii="Times New Roman" w:hAnsi="Times New Roman" w:cs="Times New Roman"/>
          <w:sz w:val="28"/>
          <w:szCs w:val="28"/>
          <w:vertAlign w:val="subscript"/>
        </w:rPr>
        <w:t>d</w:t>
      </w:r>
      <w:r w:rsidRPr="00802D35">
        <w:rPr>
          <w:rFonts w:ascii="Times New Roman" w:hAnsi="Times New Roman" w:cs="Times New Roman"/>
          <w:sz w:val="28"/>
          <w:szCs w:val="28"/>
        </w:rPr>
        <w:t xml:space="preserve"> – вклады до востребования.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Следующим показателем качества фондирования можно назвать коэффициент базы клиентов, который показывает насколько банк обеспечен вкладами клиентов, способен их привлекать:</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FF4C7E" w:rsidP="00E40DE9">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r</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c</m:t>
                </m:r>
              </m:sub>
            </m:sSub>
          </m:num>
          <m:den>
            <m:r>
              <w:rPr>
                <w:rFonts w:ascii="Cambria Math" w:hAnsi="Cambria Math" w:cs="Times New Roman"/>
                <w:sz w:val="28"/>
                <w:szCs w:val="28"/>
              </w:rPr>
              <m:t>L</m:t>
            </m:r>
          </m:den>
        </m:f>
        <m:r>
          <w:rPr>
            <w:rFonts w:ascii="Cambria Math" w:hAnsi="Cambria Math" w:cs="Times New Roman"/>
            <w:sz w:val="28"/>
            <w:szCs w:val="28"/>
          </w:rPr>
          <m:t>≥0,7</m:t>
        </m:r>
      </m:oMath>
      <w:r w:rsidR="00E40DE9" w:rsidRPr="00802D35">
        <w:rPr>
          <w:rFonts w:ascii="Times New Roman" w:eastAsiaTheme="minorEastAsia" w:hAnsi="Times New Roman" w:cs="Times New Roman"/>
          <w:sz w:val="28"/>
          <w:szCs w:val="28"/>
        </w:rPr>
        <w:t xml:space="preserve">                                                   (32),</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r w:rsidRPr="00802D35">
        <w:rPr>
          <w:rFonts w:ascii="Times New Roman" w:eastAsiaTheme="minorEastAsia"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Dr – вклады физических лиц;</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Dc – корпоративные вклады.</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При этом, банк в большей степени может рассчитывать на срочные привлеченные ресурсы. Увеличение доли обязательств до востребования повышает риски платежеспособности банка. Поэтому имеет смысл рассмотреть и коэффициент текущего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FF4C7E" w:rsidP="00E40DE9">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d</m:t>
                </m:r>
              </m:sub>
            </m:sSub>
          </m:num>
          <m:den>
            <m:r>
              <w:rPr>
                <w:rFonts w:ascii="Cambria Math" w:hAnsi="Cambria Math" w:cs="Times New Roman"/>
                <w:sz w:val="28"/>
                <w:szCs w:val="28"/>
              </w:rPr>
              <m:t>L</m:t>
            </m:r>
          </m:den>
        </m:f>
        <m:r>
          <w:rPr>
            <w:rFonts w:ascii="Cambria Math" w:hAnsi="Cambria Math" w:cs="Times New Roman"/>
            <w:sz w:val="28"/>
            <w:szCs w:val="28"/>
          </w:rPr>
          <m:t xml:space="preserve"> ≤0,5</m:t>
        </m:r>
      </m:oMath>
      <w:r w:rsidR="00E40DE9" w:rsidRPr="00802D35">
        <w:rPr>
          <w:rFonts w:ascii="Times New Roman" w:eastAsiaTheme="minorEastAsia" w:hAnsi="Times New Roman" w:cs="Times New Roman"/>
          <w:sz w:val="28"/>
          <w:szCs w:val="28"/>
        </w:rPr>
        <w:t xml:space="preserve">                                                (33)</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Рассматривая в первой главе принципы фондирования, нами было определено, что чем большая часть кредитов, выдаваемых банками, покрывается вкладами, выступающими наиболее дешевыми и стабильными источниками фондирования деятельности, тем выше устойчивость банка второго уровня. Таким образом, коэффициент покрытия кредитов равен:</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FF4C7E" w:rsidP="00E40DE9">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Cr</m:t>
            </m:r>
          </m:den>
        </m:f>
        <m:r>
          <w:rPr>
            <w:rFonts w:ascii="Cambria Math" w:hAnsi="Cambria Math" w:cs="Times New Roman"/>
            <w:sz w:val="28"/>
            <w:szCs w:val="28"/>
          </w:rPr>
          <m:t xml:space="preserve"> ≥0,8</m:t>
        </m:r>
      </m:oMath>
      <w:r w:rsidR="00E40DE9" w:rsidRPr="00802D35">
        <w:rPr>
          <w:rFonts w:ascii="Times New Roman" w:eastAsiaTheme="minorEastAsia" w:hAnsi="Times New Roman" w:cs="Times New Roman"/>
          <w:sz w:val="28"/>
          <w:szCs w:val="28"/>
        </w:rPr>
        <w:t xml:space="preserve">                                               (34),</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r w:rsidRPr="00802D35">
        <w:rPr>
          <w:rFonts w:ascii="Times New Roman" w:eastAsiaTheme="minorEastAsia"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Cr – совокупные кредиты, выданные банком;</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D – совокупные вклады.</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было сказано ранее, для БВУ проблематично наличие высоких долей недепозитных источников фондирования, поскольку, особенно в периоды кризисов, они увеличивают стоимость фондирования и зависимость банка по выплате сравнительно высоких вознаграждений. Коэффициент зависимости банка от межбанковских кредитов оценивается как:</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FF4C7E" w:rsidP="00E40DE9">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5</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Cr</m:t>
                </m:r>
              </m:e>
              <m:sub>
                <m:r>
                  <w:rPr>
                    <w:rFonts w:ascii="Cambria Math" w:hAnsi="Cambria Math" w:cs="Times New Roman"/>
                    <w:sz w:val="28"/>
                    <w:szCs w:val="28"/>
                  </w:rPr>
                  <m:t>b</m:t>
                </m:r>
              </m:sub>
            </m:sSub>
          </m:num>
          <m:den>
            <m:r>
              <w:rPr>
                <w:rFonts w:ascii="Cambria Math" w:hAnsi="Cambria Math" w:cs="Times New Roman"/>
                <w:sz w:val="28"/>
                <w:szCs w:val="28"/>
              </w:rPr>
              <m:t>L</m:t>
            </m:r>
          </m:den>
        </m:f>
        <m:r>
          <w:rPr>
            <w:rFonts w:ascii="Cambria Math" w:hAnsi="Cambria Math" w:cs="Times New Roman"/>
            <w:sz w:val="28"/>
            <w:szCs w:val="28"/>
          </w:rPr>
          <m:t xml:space="preserve"> ≤0,15</m:t>
        </m:r>
      </m:oMath>
      <w:r w:rsidR="00E40DE9" w:rsidRPr="00802D35">
        <w:rPr>
          <w:rFonts w:ascii="Times New Roman" w:eastAsiaTheme="minorEastAsia" w:hAnsi="Times New Roman" w:cs="Times New Roman"/>
          <w:sz w:val="28"/>
          <w:szCs w:val="28"/>
        </w:rPr>
        <w:t xml:space="preserve">                                             (35),</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r w:rsidRPr="00802D35">
        <w:rPr>
          <w:rFonts w:ascii="Times New Roman" w:eastAsiaTheme="minorEastAsia"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Cr</w:t>
      </w:r>
      <w:r w:rsidRPr="00802D35">
        <w:rPr>
          <w:rFonts w:ascii="Times New Roman" w:hAnsi="Times New Roman" w:cs="Times New Roman"/>
          <w:sz w:val="28"/>
          <w:szCs w:val="28"/>
          <w:vertAlign w:val="subscript"/>
        </w:rPr>
        <w:t>b</w:t>
      </w:r>
      <w:r w:rsidRPr="00802D35">
        <w:rPr>
          <w:rFonts w:ascii="Times New Roman" w:hAnsi="Times New Roman" w:cs="Times New Roman"/>
          <w:sz w:val="28"/>
          <w:szCs w:val="28"/>
        </w:rPr>
        <w:t xml:space="preserve"> – межбанковские кредиты.</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идеале соотношение стоимости размещенных средств к стоимости фондирования должно составлять более 1. В противном случае банк либо не зарабатывает ничего от мобилизации фондируемых ресурсов (при соотношении, равном 0), либо получает убытки (при соотношении меньше 1). Иными словами такой коэффициент, отражающий соотношение стоимостей размещения и привлечения отражает эффективность фондирования в банке. Назовем данный коэффициент коэффициентом фондирования.</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p>
    <w:p w:rsidR="00E40DE9" w:rsidRPr="00802D35" w:rsidRDefault="00FF4C7E" w:rsidP="00E40DE9">
      <w:pPr>
        <w:widowControl w:val="0"/>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6</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a</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F</m:t>
                </m:r>
              </m:sub>
            </m:sSub>
          </m:den>
        </m:f>
        <m:r>
          <w:rPr>
            <w:rFonts w:ascii="Cambria Math" w:hAnsi="Cambria Math" w:cs="Times New Roman"/>
            <w:sz w:val="28"/>
            <w:szCs w:val="28"/>
          </w:rPr>
          <m:t xml:space="preserve"> ≥1</m:t>
        </m:r>
      </m:oMath>
      <w:r w:rsidR="00E40DE9" w:rsidRPr="00802D35">
        <w:rPr>
          <w:rFonts w:ascii="Times New Roman" w:eastAsiaTheme="minorEastAsia" w:hAnsi="Times New Roman" w:cs="Times New Roman"/>
          <w:sz w:val="28"/>
          <w:szCs w:val="28"/>
        </w:rPr>
        <w:t xml:space="preserve">                                                        (36),</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i/>
          <w:sz w:val="28"/>
          <w:szCs w:val="28"/>
        </w:rPr>
        <w:t>P</w:t>
      </w:r>
      <w:r w:rsidRPr="00802D35">
        <w:rPr>
          <w:rFonts w:ascii="Times New Roman" w:hAnsi="Times New Roman" w:cs="Times New Roman"/>
          <w:i/>
          <w:sz w:val="28"/>
          <w:szCs w:val="28"/>
          <w:vertAlign w:val="subscript"/>
        </w:rPr>
        <w:t>a</w:t>
      </w:r>
      <w:r w:rsidRPr="00802D35">
        <w:rPr>
          <w:rFonts w:ascii="Times New Roman" w:hAnsi="Times New Roman" w:cs="Times New Roman"/>
          <w:sz w:val="28"/>
          <w:szCs w:val="28"/>
        </w:rPr>
        <w:t xml:space="preserve"> – стоимость размещения ресурсов банка;</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i/>
          <w:sz w:val="28"/>
          <w:szCs w:val="28"/>
        </w:rPr>
        <w:t>P</w:t>
      </w:r>
      <w:r w:rsidRPr="00802D35">
        <w:rPr>
          <w:rFonts w:ascii="Times New Roman" w:hAnsi="Times New Roman" w:cs="Times New Roman"/>
          <w:i/>
          <w:sz w:val="28"/>
          <w:szCs w:val="28"/>
          <w:vertAlign w:val="subscript"/>
        </w:rPr>
        <w:t>F</w:t>
      </w:r>
      <w:r w:rsidRPr="00802D35">
        <w:rPr>
          <w:rFonts w:ascii="Times New Roman" w:hAnsi="Times New Roman" w:cs="Times New Roman"/>
          <w:sz w:val="28"/>
          <w:szCs w:val="28"/>
        </w:rPr>
        <w:t xml:space="preserve"> – стоимость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первой части работы нами были введены такие понятия как предельная стоимость фондирования и стоимость запасов фондирования. Говоря о предельной стоимости фондирования, полагается, что положительный эффект достигается лишь в том случае, если прирост стоимости фондирования меньше или хотя бы тот же, чем прирост объемов фондирования. Иными словами, если привлечение дополнительных единиц фондирования возможно лишь при увеличении их стоимости, то прирост количества единиц в процентах должен давать больший эффект:</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FF4C7E" w:rsidP="00E40DE9">
      <w:pPr>
        <w:widowControl w:val="0"/>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7</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F</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F</m:t>
                </m:r>
              </m:sub>
            </m:sSub>
          </m:den>
        </m:f>
        <m:r>
          <w:rPr>
            <w:rFonts w:ascii="Cambria Math" w:hAnsi="Cambria Math" w:cs="Times New Roman"/>
            <w:sz w:val="28"/>
            <w:szCs w:val="28"/>
          </w:rPr>
          <m:t xml:space="preserve"> ≥1</m:t>
        </m:r>
      </m:oMath>
      <w:r w:rsidR="00E40DE9" w:rsidRPr="00802D35">
        <w:rPr>
          <w:rFonts w:ascii="Times New Roman" w:eastAsiaTheme="minorEastAsia" w:hAnsi="Times New Roman" w:cs="Times New Roman"/>
          <w:sz w:val="28"/>
          <w:szCs w:val="28"/>
        </w:rPr>
        <w:t xml:space="preserve">                                                        (37),</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V</w:t>
      </w:r>
      <w:r w:rsidRPr="00802D35">
        <w:rPr>
          <w:rFonts w:ascii="Times New Roman" w:hAnsi="Times New Roman" w:cs="Times New Roman"/>
          <w:sz w:val="28"/>
          <w:szCs w:val="28"/>
          <w:vertAlign w:val="subscript"/>
        </w:rPr>
        <w:t>F</w:t>
      </w:r>
      <w:r w:rsidRPr="00802D35">
        <w:rPr>
          <w:rFonts w:ascii="Times New Roman" w:hAnsi="Times New Roman" w:cs="Times New Roman"/>
          <w:sz w:val="28"/>
          <w:szCs w:val="28"/>
        </w:rPr>
        <w:t xml:space="preserve"> – объем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Рассматривая фондирование деятельности банка, нами было отмечено, что все привлеченные средства должны иметь размещение, чтобы не возникало больших запасов фондирования, рост которых свидетельствует о неэффективной деятельности банка, избыточной ликвидности. Рассматривая запасы фондирования, следует отметить, что их не должно быть. Привлеченные ресурсы должны быть распределены в полном объеме. Конечно же, на практике невозможно выявить такие простои, но в конечном итоге, если сумма привлеченных ресурсов окажется выше суммы активов, приносящих доход </w:t>
      </w:r>
      <w:r w:rsidRPr="00802D35">
        <w:rPr>
          <w:rFonts w:ascii="Times New Roman" w:hAnsi="Times New Roman" w:cs="Times New Roman"/>
          <w:sz w:val="28"/>
          <w:szCs w:val="28"/>
        </w:rPr>
        <w:lastRenderedPageBreak/>
        <w:t>банку, то возникают те самые запасы фондирования. Коэффициент использования привлеченных ресурсов будем оценивать следующим образом:</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FF4C7E" w:rsidP="00E40DE9">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8</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num>
          <m:den>
            <m:r>
              <w:rPr>
                <w:rFonts w:ascii="Cambria Math" w:hAnsi="Cambria Math" w:cs="Times New Roman"/>
                <w:sz w:val="28"/>
                <w:szCs w:val="28"/>
              </w:rPr>
              <m:t>L</m:t>
            </m:r>
          </m:den>
        </m:f>
        <m:r>
          <w:rPr>
            <w:rFonts w:ascii="Cambria Math" w:hAnsi="Cambria Math" w:cs="Times New Roman"/>
            <w:sz w:val="28"/>
            <w:szCs w:val="28"/>
          </w:rPr>
          <m:t xml:space="preserve"> ≥0,8</m:t>
        </m:r>
      </m:oMath>
      <w:r w:rsidR="00E40DE9" w:rsidRPr="00802D35">
        <w:rPr>
          <w:rFonts w:ascii="Times New Roman" w:eastAsiaTheme="minorEastAsia" w:hAnsi="Times New Roman" w:cs="Times New Roman"/>
          <w:sz w:val="28"/>
          <w:szCs w:val="28"/>
        </w:rPr>
        <w:t xml:space="preserve">                                                 (38),</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r w:rsidRPr="00802D35">
        <w:rPr>
          <w:rFonts w:ascii="Times New Roman" w:eastAsiaTheme="minorEastAsia" w:hAnsi="Times New Roman" w:cs="Times New Roman"/>
          <w:sz w:val="28"/>
          <w:szCs w:val="28"/>
        </w:rPr>
        <w:t>где:</w:t>
      </w:r>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r w:rsidRPr="00802D35">
        <w:rPr>
          <w:rFonts w:ascii="Times New Roman" w:eastAsiaTheme="minorEastAsia" w:hAnsi="Times New Roman" w:cs="Times New Roman"/>
          <w:sz w:val="28"/>
          <w:szCs w:val="28"/>
        </w:rPr>
        <w:t>A</w:t>
      </w:r>
      <w:r w:rsidRPr="00802D35">
        <w:rPr>
          <w:rFonts w:ascii="Times New Roman" w:eastAsiaTheme="minorEastAsia" w:hAnsi="Times New Roman" w:cs="Times New Roman"/>
          <w:sz w:val="28"/>
          <w:szCs w:val="28"/>
          <w:vertAlign w:val="subscript"/>
        </w:rPr>
        <w:t>I</w:t>
      </w:r>
      <w:r w:rsidRPr="00802D35">
        <w:rPr>
          <w:rFonts w:ascii="Times New Roman" w:eastAsiaTheme="minorEastAsia" w:hAnsi="Times New Roman" w:cs="Times New Roman"/>
          <w:sz w:val="28"/>
          <w:szCs w:val="28"/>
        </w:rPr>
        <w:t xml:space="preserve"> – активы, приносящие доход.</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Важность оценки стоимости запасов фондирования заключается в том, что увеличение динамики их роста может свидетельствовать о наличии избыточной ликвидности и о неэффективной политике размещения средств в банке. Более того, увеличение стоимости запасов фондирования свидетельствует о росте риска неплатежеспособности банка, поскольку эти расходы не возмещаются за счет стабильных доходов. При этом, большое значение имеет и срок, в течение которого запасы фондирования остаются нераспределенными. Чем больше данный срок, тем выше риски банка.</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распределяя значимость каждого коэффициента, получим:</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FF4C7E" w:rsidP="00E40DE9">
      <w:pPr>
        <w:spacing w:after="0" w:line="240" w:lineRule="auto"/>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F</m:t>
              </m:r>
            </m:sub>
          </m:sSub>
          <m:r>
            <w:rPr>
              <w:rFonts w:ascii="Cambria Math" w:hAnsi="Cambria Math" w:cs="Times New Roman"/>
              <w:sz w:val="28"/>
              <w:szCs w:val="28"/>
            </w:rPr>
            <m:t>=0,2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+0,1</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+0,1</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+0,2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r>
            <w:rPr>
              <w:rFonts w:ascii="Cambria Math" w:hAnsi="Cambria Math" w:cs="Times New Roman"/>
              <w:sz w:val="28"/>
              <w:szCs w:val="28"/>
            </w:rPr>
            <m:t>+0,1</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5</m:t>
              </m:r>
            </m:sub>
          </m:sSub>
          <m:r>
            <w:rPr>
              <w:rFonts w:ascii="Cambria Math" w:hAnsi="Cambria Math" w:cs="Times New Roman"/>
              <w:sz w:val="28"/>
              <w:szCs w:val="28"/>
            </w:rPr>
            <m:t>+0,1</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6</m:t>
              </m:r>
            </m:sub>
          </m:sSub>
          <m:r>
            <w:rPr>
              <w:rFonts w:ascii="Cambria Math" w:hAnsi="Cambria Math" w:cs="Times New Roman"/>
              <w:sz w:val="28"/>
              <w:szCs w:val="28"/>
            </w:rPr>
            <m:t>+0,1</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7</m:t>
              </m:r>
            </m:sub>
          </m:sSub>
          <m:r>
            <w:rPr>
              <w:rFonts w:ascii="Cambria Math" w:hAnsi="Cambria Math" w:cs="Times New Roman"/>
              <w:sz w:val="28"/>
              <w:szCs w:val="28"/>
            </w:rPr>
            <m:t>+0,1</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8</m:t>
              </m:r>
            </m:sub>
          </m:sSub>
        </m:oMath>
      </m:oMathPara>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На основании обозначенных пределов и расчетов составим матрицу зон качества фондирования (рисунок 39).</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noProof/>
          <w:sz w:val="28"/>
          <w:szCs w:val="28"/>
          <w:lang w:eastAsia="ru-RU"/>
        </w:rPr>
        <w:drawing>
          <wp:inline distT="0" distB="0" distL="0" distR="0">
            <wp:extent cx="6073629" cy="3322040"/>
            <wp:effectExtent l="76200" t="57150" r="22860" b="12065"/>
            <wp:docPr id="3" name="Схема 3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Рисунок 39 - Матрица зон качества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4"/>
          <w:szCs w:val="24"/>
        </w:rPr>
      </w:pPr>
      <w:r w:rsidRPr="00802D35">
        <w:rPr>
          <w:rFonts w:ascii="Times New Roman" w:hAnsi="Times New Roman" w:cs="Times New Roman"/>
          <w:sz w:val="24"/>
          <w:szCs w:val="24"/>
        </w:rPr>
        <w:t>Примечание – разработано автором</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Размер воздействия будет зависеть от того, насколько возрастет предельная стоимость фондирования, а также от того, насколько больше текущий объем фондирования в сравнении с объемом существующего фондирования, поскольку это, в конечном итоге, определяет, как в среднем предельная стоимость фондирования оказывает влияние на стоимость фондирования в целом.</w:t>
      </w:r>
    </w:p>
    <w:p w:rsidR="00E40DE9" w:rsidRPr="00802D35" w:rsidRDefault="00E40DE9" w:rsidP="00E40DE9">
      <w:pPr>
        <w:widowControl w:val="0"/>
        <w:spacing w:after="0" w:line="240" w:lineRule="auto"/>
        <w:ind w:firstLine="567"/>
        <w:jc w:val="both"/>
        <w:rPr>
          <w:rFonts w:ascii="Times New Roman" w:hAnsi="Times New Roman" w:cs="Times New Roman"/>
          <w:color w:val="000000"/>
          <w:sz w:val="28"/>
          <w:szCs w:val="28"/>
          <w:shd w:val="clear" w:color="auto" w:fill="FFFFFF"/>
        </w:rPr>
      </w:pPr>
      <w:r w:rsidRPr="00802D35">
        <w:rPr>
          <w:rFonts w:ascii="Times New Roman" w:hAnsi="Times New Roman" w:cs="Times New Roman"/>
          <w:sz w:val="28"/>
          <w:szCs w:val="28"/>
        </w:rPr>
        <w:t xml:space="preserve">Оценим качество фондирования в рассматриваемых нами БВУ Казахстана: </w:t>
      </w:r>
      <w:r w:rsidRPr="00802D35">
        <w:rPr>
          <w:rStyle w:val="HTML"/>
          <w:rFonts w:ascii="Times New Roman" w:hAnsi="Times New Roman" w:cs="Times New Roman"/>
          <w:sz w:val="28"/>
          <w:szCs w:val="28"/>
          <w:shd w:val="clear" w:color="auto" w:fill="FFFFFF"/>
        </w:rPr>
        <w:t>АО Halyk Bank, АО АТФ</w:t>
      </w:r>
      <w:r w:rsidR="00E97FF6" w:rsidRPr="00802D35">
        <w:rPr>
          <w:rStyle w:val="HTML"/>
          <w:rFonts w:ascii="Times New Roman" w:hAnsi="Times New Roman" w:cs="Times New Roman"/>
          <w:sz w:val="28"/>
          <w:szCs w:val="28"/>
          <w:shd w:val="clear" w:color="auto" w:fill="FFFFFF"/>
        </w:rPr>
        <w:t xml:space="preserve"> </w:t>
      </w:r>
      <w:r w:rsidRPr="00802D35">
        <w:rPr>
          <w:rStyle w:val="HTML"/>
          <w:rFonts w:ascii="Times New Roman" w:hAnsi="Times New Roman" w:cs="Times New Roman"/>
          <w:sz w:val="28"/>
          <w:szCs w:val="28"/>
          <w:shd w:val="clear" w:color="auto" w:fill="FFFFFF"/>
        </w:rPr>
        <w:t xml:space="preserve">Банк, АО </w:t>
      </w:r>
      <w:r w:rsidRPr="00802D35">
        <w:rPr>
          <w:rFonts w:ascii="Times New Roman" w:hAnsi="Times New Roman" w:cs="Times New Roman"/>
          <w:color w:val="000000"/>
          <w:sz w:val="28"/>
          <w:szCs w:val="28"/>
          <w:shd w:val="clear" w:color="auto" w:fill="FFFFFF"/>
        </w:rPr>
        <w:t>Kaspi bank. Результаты оценки представлены в таблице 15.</w:t>
      </w:r>
    </w:p>
    <w:p w:rsidR="00E40DE9" w:rsidRPr="00802D35" w:rsidRDefault="00E40DE9" w:rsidP="00E40DE9">
      <w:pPr>
        <w:widowControl w:val="0"/>
        <w:spacing w:after="0" w:line="240" w:lineRule="auto"/>
        <w:ind w:firstLine="567"/>
        <w:jc w:val="both"/>
        <w:rPr>
          <w:rFonts w:ascii="Times New Roman" w:hAnsi="Times New Roman" w:cs="Times New Roman"/>
          <w:color w:val="000000"/>
          <w:sz w:val="28"/>
          <w:szCs w:val="28"/>
          <w:shd w:val="clear" w:color="auto" w:fill="FFFFFF"/>
        </w:rPr>
      </w:pPr>
    </w:p>
    <w:p w:rsidR="00E40DE9" w:rsidRPr="00802D35" w:rsidRDefault="00E40DE9" w:rsidP="00E40DE9">
      <w:pPr>
        <w:spacing w:after="0" w:line="240" w:lineRule="auto"/>
        <w:jc w:val="both"/>
        <w:rPr>
          <w:rFonts w:ascii="Times New Roman" w:hAnsi="Times New Roman" w:cs="Times New Roman"/>
          <w:color w:val="000000"/>
          <w:sz w:val="28"/>
          <w:szCs w:val="28"/>
          <w:shd w:val="clear" w:color="auto" w:fill="FFFFFF"/>
        </w:rPr>
      </w:pPr>
      <w:r w:rsidRPr="00802D35">
        <w:rPr>
          <w:rFonts w:ascii="Times New Roman" w:hAnsi="Times New Roman" w:cs="Times New Roman"/>
          <w:color w:val="000000"/>
          <w:sz w:val="28"/>
          <w:szCs w:val="28"/>
          <w:shd w:val="clear" w:color="auto" w:fill="FFFFFF"/>
        </w:rPr>
        <w:t>Таблица 15 - Результаты оценки качества фондирования в БВУ Казахстана</w:t>
      </w:r>
    </w:p>
    <w:p w:rsidR="00E40DE9" w:rsidRPr="00802D35" w:rsidRDefault="00E40DE9" w:rsidP="00E40DE9">
      <w:pPr>
        <w:spacing w:after="0" w:line="240" w:lineRule="auto"/>
        <w:jc w:val="both"/>
        <w:rPr>
          <w:rFonts w:ascii="Times New Roman" w:hAnsi="Times New Roman" w:cs="Times New Roman"/>
          <w:color w:val="000000"/>
          <w:sz w:val="28"/>
          <w:szCs w:val="28"/>
          <w:shd w:val="clear" w:color="auto" w:fill="FFFFFF"/>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82"/>
        <w:gridCol w:w="882"/>
        <w:gridCol w:w="882"/>
        <w:gridCol w:w="882"/>
        <w:gridCol w:w="882"/>
        <w:gridCol w:w="882"/>
        <w:gridCol w:w="882"/>
        <w:gridCol w:w="882"/>
        <w:gridCol w:w="882"/>
      </w:tblGrid>
      <w:tr w:rsidR="00E40DE9" w:rsidRPr="00802D35" w:rsidTr="00E40DE9">
        <w:tc>
          <w:tcPr>
            <w:tcW w:w="1809"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Коэффициент</w:t>
            </w:r>
          </w:p>
        </w:tc>
        <w:tc>
          <w:tcPr>
            <w:tcW w:w="882" w:type="dxa"/>
          </w:tcPr>
          <w:p w:rsidR="00E40DE9" w:rsidRPr="00802D35" w:rsidRDefault="00E40DE9" w:rsidP="00E40DE9">
            <w:pPr>
              <w:spacing w:after="0" w:line="240" w:lineRule="auto"/>
              <w:jc w:val="center"/>
              <w:rPr>
                <w:rFonts w:ascii="Times New Roman" w:hAnsi="Times New Roman" w:cs="Times New Roman"/>
                <w:i/>
                <w:sz w:val="24"/>
                <w:szCs w:val="24"/>
              </w:rPr>
            </w:pPr>
            <w:r w:rsidRPr="00802D35">
              <w:rPr>
                <w:rFonts w:ascii="Times New Roman" w:hAnsi="Times New Roman" w:cs="Times New Roman"/>
                <w:i/>
                <w:sz w:val="24"/>
                <w:szCs w:val="24"/>
              </w:rPr>
              <w:t>С</w:t>
            </w:r>
            <w:r w:rsidRPr="00802D35">
              <w:rPr>
                <w:rFonts w:ascii="Times New Roman" w:hAnsi="Times New Roman" w:cs="Times New Roman"/>
                <w:i/>
                <w:sz w:val="24"/>
                <w:szCs w:val="24"/>
                <w:vertAlign w:val="subscript"/>
              </w:rPr>
              <w:t>1</w:t>
            </w:r>
          </w:p>
        </w:tc>
        <w:tc>
          <w:tcPr>
            <w:tcW w:w="882" w:type="dxa"/>
          </w:tcPr>
          <w:p w:rsidR="00E40DE9" w:rsidRPr="00802D35" w:rsidRDefault="00E40DE9" w:rsidP="00E40DE9">
            <w:pPr>
              <w:spacing w:after="0" w:line="240" w:lineRule="auto"/>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С</w:t>
            </w:r>
            <w:r w:rsidRPr="00802D35">
              <w:rPr>
                <w:rStyle w:val="HTML"/>
                <w:rFonts w:ascii="Times New Roman" w:hAnsi="Times New Roman" w:cs="Times New Roman"/>
                <w:sz w:val="24"/>
                <w:szCs w:val="24"/>
                <w:shd w:val="clear" w:color="auto" w:fill="FFFFFF"/>
                <w:vertAlign w:val="subscript"/>
              </w:rPr>
              <w:t>2</w:t>
            </w:r>
          </w:p>
        </w:tc>
        <w:tc>
          <w:tcPr>
            <w:tcW w:w="882" w:type="dxa"/>
          </w:tcPr>
          <w:p w:rsidR="00E40DE9" w:rsidRPr="00802D35" w:rsidRDefault="00E40DE9" w:rsidP="00E40DE9">
            <w:pPr>
              <w:spacing w:after="0" w:line="240" w:lineRule="auto"/>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С</w:t>
            </w:r>
            <w:r w:rsidRPr="00802D35">
              <w:rPr>
                <w:rStyle w:val="HTML"/>
                <w:rFonts w:ascii="Times New Roman" w:hAnsi="Times New Roman" w:cs="Times New Roman"/>
                <w:sz w:val="24"/>
                <w:szCs w:val="24"/>
                <w:shd w:val="clear" w:color="auto" w:fill="FFFFFF"/>
                <w:vertAlign w:val="subscript"/>
              </w:rPr>
              <w:t>3</w:t>
            </w:r>
          </w:p>
        </w:tc>
        <w:tc>
          <w:tcPr>
            <w:tcW w:w="882" w:type="dxa"/>
          </w:tcPr>
          <w:p w:rsidR="00E40DE9" w:rsidRPr="00802D35" w:rsidRDefault="00E40DE9" w:rsidP="00E40DE9">
            <w:pPr>
              <w:spacing w:after="0" w:line="240" w:lineRule="auto"/>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С</w:t>
            </w:r>
            <w:r w:rsidRPr="00802D35">
              <w:rPr>
                <w:rStyle w:val="HTML"/>
                <w:rFonts w:ascii="Times New Roman" w:hAnsi="Times New Roman" w:cs="Times New Roman"/>
                <w:sz w:val="24"/>
                <w:szCs w:val="24"/>
                <w:shd w:val="clear" w:color="auto" w:fill="FFFFFF"/>
                <w:vertAlign w:val="subscript"/>
              </w:rPr>
              <w:t>4</w:t>
            </w:r>
          </w:p>
        </w:tc>
        <w:tc>
          <w:tcPr>
            <w:tcW w:w="882" w:type="dxa"/>
          </w:tcPr>
          <w:p w:rsidR="00E40DE9" w:rsidRPr="00802D35" w:rsidRDefault="00E40DE9" w:rsidP="00E40DE9">
            <w:pPr>
              <w:spacing w:after="0" w:line="240" w:lineRule="auto"/>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С</w:t>
            </w:r>
            <w:r w:rsidRPr="00802D35">
              <w:rPr>
                <w:rStyle w:val="HTML"/>
                <w:rFonts w:ascii="Times New Roman" w:hAnsi="Times New Roman" w:cs="Times New Roman"/>
                <w:sz w:val="24"/>
                <w:szCs w:val="24"/>
                <w:shd w:val="clear" w:color="auto" w:fill="FFFFFF"/>
                <w:vertAlign w:val="subscript"/>
              </w:rPr>
              <w:t>5</w:t>
            </w:r>
          </w:p>
        </w:tc>
        <w:tc>
          <w:tcPr>
            <w:tcW w:w="882" w:type="dxa"/>
          </w:tcPr>
          <w:p w:rsidR="00E40DE9" w:rsidRPr="00802D35" w:rsidRDefault="00E40DE9" w:rsidP="00E40DE9">
            <w:pPr>
              <w:spacing w:after="0" w:line="240" w:lineRule="auto"/>
              <w:jc w:val="center"/>
              <w:rPr>
                <w:rFonts w:ascii="Times New Roman" w:hAnsi="Times New Roman" w:cs="Times New Roman"/>
                <w:i/>
                <w:sz w:val="24"/>
                <w:szCs w:val="24"/>
              </w:rPr>
            </w:pPr>
            <w:r w:rsidRPr="00802D35">
              <w:rPr>
                <w:rFonts w:ascii="Times New Roman" w:hAnsi="Times New Roman" w:cs="Times New Roman"/>
                <w:i/>
                <w:sz w:val="24"/>
                <w:szCs w:val="24"/>
              </w:rPr>
              <w:t>С</w:t>
            </w:r>
            <w:r w:rsidRPr="00802D35">
              <w:rPr>
                <w:rFonts w:ascii="Times New Roman" w:hAnsi="Times New Roman" w:cs="Times New Roman"/>
                <w:i/>
                <w:sz w:val="24"/>
                <w:szCs w:val="24"/>
                <w:vertAlign w:val="subscript"/>
              </w:rPr>
              <w:t>6</w:t>
            </w:r>
          </w:p>
        </w:tc>
        <w:tc>
          <w:tcPr>
            <w:tcW w:w="882" w:type="dxa"/>
          </w:tcPr>
          <w:p w:rsidR="00E40DE9" w:rsidRPr="00802D35" w:rsidRDefault="00E40DE9" w:rsidP="00E40DE9">
            <w:pPr>
              <w:spacing w:after="0" w:line="240" w:lineRule="auto"/>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С</w:t>
            </w:r>
            <w:r w:rsidRPr="00802D35">
              <w:rPr>
                <w:rStyle w:val="HTML"/>
                <w:rFonts w:ascii="Times New Roman" w:hAnsi="Times New Roman" w:cs="Times New Roman"/>
                <w:sz w:val="24"/>
                <w:szCs w:val="24"/>
                <w:shd w:val="clear" w:color="auto" w:fill="FFFFFF"/>
                <w:vertAlign w:val="subscript"/>
              </w:rPr>
              <w:t>7</w:t>
            </w:r>
          </w:p>
        </w:tc>
        <w:tc>
          <w:tcPr>
            <w:tcW w:w="882" w:type="dxa"/>
          </w:tcPr>
          <w:p w:rsidR="00E40DE9" w:rsidRPr="00802D35" w:rsidRDefault="00E40DE9" w:rsidP="00E40DE9">
            <w:pPr>
              <w:spacing w:after="0" w:line="240" w:lineRule="auto"/>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С</w:t>
            </w:r>
            <w:r w:rsidRPr="00802D35">
              <w:rPr>
                <w:rStyle w:val="HTML"/>
                <w:rFonts w:ascii="Times New Roman" w:hAnsi="Times New Roman" w:cs="Times New Roman"/>
                <w:sz w:val="24"/>
                <w:szCs w:val="24"/>
                <w:shd w:val="clear" w:color="auto" w:fill="FFFFFF"/>
                <w:vertAlign w:val="subscript"/>
              </w:rPr>
              <w:t>8</w:t>
            </w:r>
          </w:p>
        </w:tc>
        <w:tc>
          <w:tcPr>
            <w:tcW w:w="882" w:type="dxa"/>
          </w:tcPr>
          <w:p w:rsidR="00E40DE9" w:rsidRPr="00802D35" w:rsidRDefault="00E40DE9" w:rsidP="00E40DE9">
            <w:pPr>
              <w:spacing w:after="0" w:line="240" w:lineRule="auto"/>
              <w:jc w:val="center"/>
              <w:rPr>
                <w:rStyle w:val="HTML"/>
                <w:rFonts w:ascii="Times New Roman" w:hAnsi="Times New Roman" w:cs="Times New Roman"/>
                <w:sz w:val="24"/>
                <w:szCs w:val="24"/>
                <w:shd w:val="clear" w:color="auto" w:fill="FFFFFF"/>
              </w:rPr>
            </w:pPr>
            <w:r w:rsidRPr="00802D35">
              <w:rPr>
                <w:rStyle w:val="HTML"/>
                <w:rFonts w:ascii="Times New Roman" w:hAnsi="Times New Roman" w:cs="Times New Roman"/>
                <w:sz w:val="24"/>
                <w:szCs w:val="24"/>
                <w:shd w:val="clear" w:color="auto" w:fill="FFFFFF"/>
              </w:rPr>
              <w:t>I</w:t>
            </w:r>
            <w:r w:rsidRPr="00802D35">
              <w:rPr>
                <w:rStyle w:val="HTML"/>
                <w:rFonts w:ascii="Times New Roman" w:hAnsi="Times New Roman" w:cs="Times New Roman"/>
                <w:sz w:val="24"/>
                <w:szCs w:val="24"/>
                <w:shd w:val="clear" w:color="auto" w:fill="FFFFFF"/>
                <w:vertAlign w:val="subscript"/>
              </w:rPr>
              <w:t>F</w:t>
            </w:r>
          </w:p>
        </w:tc>
      </w:tr>
      <w:tr w:rsidR="00E40DE9" w:rsidRPr="00802D35" w:rsidTr="00E40DE9">
        <w:tc>
          <w:tcPr>
            <w:tcW w:w="9747" w:type="dxa"/>
            <w:gridSpan w:val="10"/>
          </w:tcPr>
          <w:p w:rsidR="00E40DE9" w:rsidRPr="00802D35" w:rsidRDefault="00E40DE9" w:rsidP="00E40DE9">
            <w:pPr>
              <w:spacing w:after="0" w:line="240" w:lineRule="auto"/>
              <w:jc w:val="cente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АО Halyk Bank</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2016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0,91</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0,72</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0,09</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1,65</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0,03</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1,3</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0,93</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0,92</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2017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0,91</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0,74</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0,09</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1,89</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0,03</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1,5</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1,11</w:t>
            </w:r>
          </w:p>
        </w:tc>
        <w:tc>
          <w:tcPr>
            <w:tcW w:w="882" w:type="dxa"/>
            <w:shd w:val="clear" w:color="auto" w:fill="FFFF0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1,027</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2018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0,88</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0,75</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0,12</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1,97</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0,02</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1,9</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0,93</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0,802</w:t>
            </w:r>
          </w:p>
        </w:tc>
        <w:tc>
          <w:tcPr>
            <w:tcW w:w="882" w:type="dxa"/>
            <w:shd w:val="clear" w:color="auto" w:fill="FFFF0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1,0222</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2019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0,89</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0,71</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0,11</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1,71</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0,03</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1,8</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0,946</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2020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0,89</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0,73</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0,11</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1,6</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0,03</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2,0</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0,99</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0,84</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0,968</w:t>
            </w:r>
          </w:p>
        </w:tc>
      </w:tr>
      <w:tr w:rsidR="00E40DE9" w:rsidRPr="00802D35" w:rsidTr="00E40DE9">
        <w:tc>
          <w:tcPr>
            <w:tcW w:w="9747" w:type="dxa"/>
            <w:gridSpan w:val="10"/>
          </w:tcPr>
          <w:p w:rsidR="00E40DE9" w:rsidRPr="00802D35" w:rsidRDefault="00E40DE9" w:rsidP="00E40DE9">
            <w:pPr>
              <w:spacing w:after="0" w:line="240" w:lineRule="auto"/>
              <w:jc w:val="cente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АО АТФ</w:t>
            </w:r>
            <w:r w:rsidR="00E97FF6" w:rsidRPr="00802D35">
              <w:rPr>
                <w:rStyle w:val="HTML"/>
                <w:rFonts w:ascii="Times New Roman" w:hAnsi="Times New Roman" w:cs="Times New Roman"/>
                <w:sz w:val="24"/>
                <w:szCs w:val="24"/>
                <w:shd w:val="clear" w:color="auto" w:fill="FFFFFF"/>
                <w:lang w:val="en-US"/>
              </w:rPr>
              <w:t xml:space="preserve"> </w:t>
            </w:r>
            <w:r w:rsidRPr="00802D35">
              <w:rPr>
                <w:rStyle w:val="HTML"/>
                <w:rFonts w:ascii="Times New Roman" w:hAnsi="Times New Roman" w:cs="Times New Roman"/>
                <w:sz w:val="24"/>
                <w:szCs w:val="24"/>
                <w:shd w:val="clear" w:color="auto" w:fill="FFFFFF"/>
              </w:rPr>
              <w:t>Банк</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2016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0,87</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0,79</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0,13</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1,32</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0,04</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1,7</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1,4</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1,32</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0,976</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2017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0,88</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0,73</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0,12</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1,15</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0,04</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1,8</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1,51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1,11</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0,937</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2018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0,68</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0,1</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1,09</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0,05</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2,1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1,09</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0,93</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0,893</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2019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0,93</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0,61</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0,07</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1,05</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0,05</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0,92</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0,98</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1,01</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0,76</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2020 г.</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0,59</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0,09</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1,04</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0,05</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0,94</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0,88</w:t>
            </w:r>
          </w:p>
        </w:tc>
        <w:tc>
          <w:tcPr>
            <w:tcW w:w="882" w:type="dxa"/>
            <w:shd w:val="clear" w:color="auto" w:fill="92D050"/>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0,755</w:t>
            </w:r>
          </w:p>
        </w:tc>
      </w:tr>
      <w:tr w:rsidR="00E40DE9" w:rsidRPr="00802D35" w:rsidTr="00E40DE9">
        <w:tc>
          <w:tcPr>
            <w:tcW w:w="9747" w:type="dxa"/>
            <w:gridSpan w:val="10"/>
          </w:tcPr>
          <w:p w:rsidR="00E40DE9" w:rsidRPr="00802D35" w:rsidRDefault="00E40DE9" w:rsidP="00E40DE9">
            <w:pPr>
              <w:spacing w:after="0" w:line="240" w:lineRule="auto"/>
              <w:jc w:val="center"/>
              <w:rPr>
                <w:rFonts w:ascii="Times New Roman" w:hAnsi="Times New Roman" w:cs="Times New Roman"/>
                <w:sz w:val="24"/>
                <w:szCs w:val="24"/>
              </w:rPr>
            </w:pPr>
            <w:r w:rsidRPr="00802D35">
              <w:rPr>
                <w:rStyle w:val="HTML"/>
                <w:rFonts w:ascii="Times New Roman" w:hAnsi="Times New Roman" w:cs="Times New Roman"/>
                <w:sz w:val="24"/>
                <w:szCs w:val="24"/>
                <w:shd w:val="clear" w:color="auto" w:fill="FFFFFF"/>
              </w:rPr>
              <w:t xml:space="preserve">АО </w:t>
            </w:r>
            <w:r w:rsidRPr="00802D35">
              <w:rPr>
                <w:rFonts w:ascii="Times New Roman" w:hAnsi="Times New Roman" w:cs="Times New Roman"/>
                <w:sz w:val="24"/>
                <w:szCs w:val="24"/>
                <w:shd w:val="clear" w:color="auto" w:fill="FFFFFF"/>
              </w:rPr>
              <w:t>Kaspi bank</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2016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0,97</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0,63</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0,03</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1,14</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0,03</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1,02</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1,3</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0,843</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2017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0,98</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0,66</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0,02</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1,12</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0,04</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1,4</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1,3</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1,27</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0,889</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2018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0,97</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0,71</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0,03</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1,16</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0,0003</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1,32</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1,36</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0,878</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2019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0,97</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0,75</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0,03</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1,27</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0,001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1,05</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0,99</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1,01</w:t>
            </w:r>
          </w:p>
        </w:tc>
        <w:tc>
          <w:tcPr>
            <w:tcW w:w="882" w:type="dxa"/>
            <w:shd w:val="clear" w:color="auto" w:fill="92D05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0,8311</w:t>
            </w:r>
          </w:p>
        </w:tc>
      </w:tr>
      <w:tr w:rsidR="00E40DE9" w:rsidRPr="00802D35" w:rsidTr="00E40DE9">
        <w:tc>
          <w:tcPr>
            <w:tcW w:w="1809" w:type="dxa"/>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2020 г.</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0,97</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0,74</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0,03</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1,59</w:t>
            </w:r>
          </w:p>
        </w:tc>
        <w:tc>
          <w:tcPr>
            <w:tcW w:w="882"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0,01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1,91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1,11</w:t>
            </w:r>
          </w:p>
        </w:tc>
        <w:tc>
          <w:tcPr>
            <w:tcW w:w="882"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w:t>
            </w:r>
          </w:p>
        </w:tc>
        <w:tc>
          <w:tcPr>
            <w:tcW w:w="882" w:type="dxa"/>
            <w:shd w:val="clear" w:color="auto" w:fill="FFFF00"/>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1,012</w:t>
            </w:r>
          </w:p>
        </w:tc>
      </w:tr>
      <w:tr w:rsidR="00E40DE9" w:rsidRPr="00802D35" w:rsidTr="00E40DE9">
        <w:tc>
          <w:tcPr>
            <w:tcW w:w="9747" w:type="dxa"/>
            <w:gridSpan w:val="10"/>
          </w:tcPr>
          <w:p w:rsidR="00E40DE9" w:rsidRPr="00802D35" w:rsidRDefault="00E40DE9" w:rsidP="00E40DE9">
            <w:pPr>
              <w:spacing w:after="0" w:line="240" w:lineRule="auto"/>
              <w:rPr>
                <w:rFonts w:ascii="Times New Roman" w:hAnsi="Times New Roman" w:cs="Times New Roman"/>
                <w:sz w:val="24"/>
                <w:szCs w:val="24"/>
              </w:rPr>
            </w:pPr>
            <w:r w:rsidRPr="00802D35">
              <w:rPr>
                <w:rFonts w:ascii="Times New Roman" w:hAnsi="Times New Roman" w:cs="Times New Roman"/>
                <w:sz w:val="24"/>
                <w:szCs w:val="24"/>
              </w:rPr>
              <w:t>Примечание – составлено автором на основании расчетов</w:t>
            </w:r>
          </w:p>
        </w:tc>
      </w:tr>
    </w:tbl>
    <w:p w:rsidR="00E40DE9" w:rsidRPr="00802D35" w:rsidRDefault="00E40DE9" w:rsidP="00E40DE9">
      <w:pPr>
        <w:spacing w:after="0" w:line="240" w:lineRule="auto"/>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Исходя из полученных данных можно отметить, что АО АТФ</w:t>
      </w:r>
      <w:r w:rsidR="00E97FF6" w:rsidRPr="00802D35">
        <w:rPr>
          <w:rFonts w:ascii="Times New Roman" w:hAnsi="Times New Roman" w:cs="Times New Roman"/>
          <w:sz w:val="28"/>
          <w:szCs w:val="28"/>
        </w:rPr>
        <w:t xml:space="preserve"> </w:t>
      </w:r>
      <w:r w:rsidRPr="00802D35">
        <w:rPr>
          <w:rFonts w:ascii="Times New Roman" w:hAnsi="Times New Roman" w:cs="Times New Roman"/>
          <w:sz w:val="28"/>
          <w:szCs w:val="28"/>
        </w:rPr>
        <w:t xml:space="preserve">Банк за рассматриваемый период находился в благоприятной зоне фондирования. Вместе с тем, можно отметить, что индекс качества снижается. В большей степени это было связано с ситуацией, когда у банка стоимость размещения по некоторым активам оказалась ниже, чем стоимость фондирования, что привело к отрицательным результатам.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Высокие показатели индекса качества фондирования у </w:t>
      </w:r>
      <w:r w:rsidRPr="00802D35">
        <w:rPr>
          <w:rStyle w:val="HTML"/>
          <w:rFonts w:ascii="Times New Roman" w:hAnsi="Times New Roman" w:cs="Times New Roman"/>
          <w:sz w:val="28"/>
          <w:szCs w:val="28"/>
          <w:shd w:val="clear" w:color="auto" w:fill="FFFFFF"/>
        </w:rPr>
        <w:t>АО Halyk Bank, за исключением 2017-2018 гг. когда значение индекса превысило 1. Однако, следует отметить, что данное превышение являлось незначительным и было связано с возникновением запасов фондирования и снижением предельной стоимости фондирования в 2017 г. и увеличением объемов кредитов в 2018 г.</w:t>
      </w:r>
      <w:r w:rsidRPr="00802D35">
        <w:rPr>
          <w:rFonts w:ascii="Times New Roman" w:hAnsi="Times New Roman" w:cs="Times New Roman"/>
          <w:i/>
          <w:sz w:val="28"/>
          <w:szCs w:val="28"/>
        </w:rPr>
        <w:t xml:space="preserve"> </w:t>
      </w:r>
      <w:r w:rsidRPr="00802D35">
        <w:rPr>
          <w:rFonts w:ascii="Times New Roman" w:hAnsi="Times New Roman" w:cs="Times New Roman"/>
          <w:sz w:val="28"/>
          <w:szCs w:val="28"/>
        </w:rPr>
        <w:t xml:space="preserve">В целом, можно отметить сбалансированность фондирования и соответствие всем нормам фондирования по данному банку. </w:t>
      </w:r>
    </w:p>
    <w:p w:rsidR="00E40DE9" w:rsidRPr="00802D35" w:rsidRDefault="00E40DE9" w:rsidP="00E40DE9">
      <w:pPr>
        <w:spacing w:after="0" w:line="240" w:lineRule="auto"/>
        <w:ind w:firstLine="567"/>
        <w:jc w:val="both"/>
        <w:rPr>
          <w:rFonts w:ascii="Times New Roman" w:hAnsi="Times New Roman" w:cs="Times New Roman"/>
          <w:color w:val="000000"/>
          <w:sz w:val="28"/>
          <w:szCs w:val="28"/>
          <w:shd w:val="clear" w:color="auto" w:fill="FFFFFF"/>
        </w:rPr>
      </w:pPr>
      <w:r w:rsidRPr="00802D35">
        <w:rPr>
          <w:rFonts w:ascii="Times New Roman" w:hAnsi="Times New Roman" w:cs="Times New Roman"/>
          <w:sz w:val="28"/>
          <w:szCs w:val="28"/>
        </w:rPr>
        <w:lastRenderedPageBreak/>
        <w:t xml:space="preserve">По </w:t>
      </w:r>
      <w:r w:rsidRPr="00802D35">
        <w:rPr>
          <w:rStyle w:val="HTML"/>
          <w:rFonts w:ascii="Times New Roman" w:hAnsi="Times New Roman" w:cs="Times New Roman"/>
          <w:sz w:val="28"/>
          <w:szCs w:val="28"/>
          <w:shd w:val="clear" w:color="auto" w:fill="FFFFFF"/>
        </w:rPr>
        <w:t xml:space="preserve">АО </w:t>
      </w:r>
      <w:r w:rsidRPr="00802D35">
        <w:rPr>
          <w:rFonts w:ascii="Times New Roman" w:hAnsi="Times New Roman" w:cs="Times New Roman"/>
          <w:color w:val="000000"/>
          <w:sz w:val="28"/>
          <w:szCs w:val="28"/>
          <w:shd w:val="clear" w:color="auto" w:fill="FFFFFF"/>
        </w:rPr>
        <w:t>Kaspi bank качество фондирования также достаточно высокое. Следует отметить лишь незначительное отклонение от благоприятной зоны в 2020 г., что связано с ростом всех коэффициентов фондирования, включенных в индекс. Также необходимо отметить отклонение по коэффициенту С2 в 2016 - 2017 гг., когда в структуре фондирования значительную долю занимали займы банка. Вместе с тем, благодаря хорошему разрыву в стоимости фондирования и активов, приносящих доход, а также рациональной политике размещения ресурсов, банк в эти годы находился в благоприятной зоне качества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Таким образом, индекс качества фондирования позволяет оценить политику банка и выявить оперативные проблемные зоны, которым следует уделить особое внимание. Так, высокая привлекательность </w:t>
      </w:r>
      <w:r w:rsidRPr="00802D35">
        <w:rPr>
          <w:rStyle w:val="HTML"/>
          <w:rFonts w:ascii="Times New Roman" w:hAnsi="Times New Roman" w:cs="Times New Roman"/>
          <w:sz w:val="28"/>
          <w:szCs w:val="28"/>
          <w:shd w:val="clear" w:color="auto" w:fill="FFFFFF"/>
        </w:rPr>
        <w:t xml:space="preserve">АО </w:t>
      </w:r>
      <w:r w:rsidRPr="00802D35">
        <w:rPr>
          <w:rFonts w:ascii="Times New Roman" w:hAnsi="Times New Roman" w:cs="Times New Roman"/>
          <w:color w:val="000000"/>
          <w:sz w:val="28"/>
          <w:szCs w:val="28"/>
          <w:shd w:val="clear" w:color="auto" w:fill="FFFFFF"/>
        </w:rPr>
        <w:t>Kaspi bank со стороны населения создает порой ложное впечатление о том, что банк более, чем остальные фондируется средствами розничных клиентов. Однако, проведенный анализ показал, что это далеко было не так и лишь в настоящее время банк смог выпрямить эту ситуацию, отойдя от инструментов фондирования с более высокой стоимостью.</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rPr>
          <w:rFonts w:ascii="Times New Roman" w:hAnsi="Times New Roman" w:cs="Times New Roman"/>
          <w:b/>
          <w:sz w:val="28"/>
          <w:szCs w:val="28"/>
        </w:rPr>
      </w:pPr>
      <w:r w:rsidRPr="00802D35">
        <w:rPr>
          <w:rFonts w:ascii="Times New Roman" w:hAnsi="Times New Roman" w:cs="Times New Roman"/>
          <w:b/>
          <w:sz w:val="28"/>
          <w:szCs w:val="28"/>
        </w:rPr>
        <w:t>3.2 Оптимизация фондирования банковской деятельности</w:t>
      </w:r>
    </w:p>
    <w:p w:rsidR="00E40DE9" w:rsidRPr="00802D35" w:rsidRDefault="00E40DE9" w:rsidP="00E40DE9">
      <w:pPr>
        <w:spacing w:after="0" w:line="240" w:lineRule="auto"/>
        <w:jc w:val="center"/>
        <w:rPr>
          <w:rFonts w:ascii="Times New Roman" w:hAnsi="Times New Roman" w:cs="Times New Roman"/>
          <w:b/>
          <w:i/>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неоднократно говорилось ранее, фондирование в банках имеет важное значение в их деятельности, поскольку без фондирования деятельность банка становится невозможной вообще. Фондирование является приоритетом для банковского бизнеса. В погоне за ресурсами банки формируют стратегию фондирования, которая обеспечивает максимальную отдачу от их вложений в соответствующие активы. В результате возникает вопрос о том, какие источники фондирования следует использовать для финансирования соответствующих активных операций.</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Источниками фондирования, как отмечалось ранее, являются депозитные и недепозитные ресурсы. Первые из них являются наиболее дешевыми и предпочтительными для банка, что создает соответствующую конкуренцию в борьбе за этот источник фондирования. Недепозитные источники дороже. К ним относятся межбанковские займы, операции репо, выпуск ценных бумаг, займы на международных рынках и т. д.</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любом случае, выбирая источники фондирования, банки руководствуются их стоимостью. Возможность получения более высоких процентов за использование полученных ресурсов становится целью формирования стратегии банковского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При этом, возникает своего рода противоречие: вознаграждения, которые банк старается получить от совершения активных операций, он стремится максимизировать, а вознаграждения, которые выплачивает по привлекаемым ресурсам – минимизировать. Иными словами, стоимость активов банк выбирает наивысшую, а стоимость фондирования наименьшую.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 xml:space="preserve">Именно наличие  такого противоречия в процессе фондирования позволяет применять различные методы динамического программирования в статистическом моделировании, чтобы оптимизировать данные процессы.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важность структуры фондирования банков была доказана нами неоднократно. При этом следует отметить, что это касается и стоимости фондирования [</w:t>
      </w:r>
      <w:r w:rsidR="000B0564" w:rsidRPr="00802D35">
        <w:rPr>
          <w:rFonts w:ascii="Times New Roman" w:hAnsi="Times New Roman" w:cs="Times New Roman"/>
          <w:sz w:val="28"/>
          <w:szCs w:val="28"/>
        </w:rPr>
        <w:t>116</w:t>
      </w:r>
      <w:r w:rsidRPr="00802D35">
        <w:rPr>
          <w:rFonts w:ascii="Times New Roman" w:hAnsi="Times New Roman" w:cs="Times New Roman"/>
          <w:sz w:val="28"/>
          <w:szCs w:val="28"/>
        </w:rPr>
        <w:t>]. В связи с этим нами предлагается применение статистического моделирования с целью оптимизации структуры финансирования исходя из его стоимости.</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Для решения этой задачи мы использовали модели игр с природой. В частности, итерационный метод Брауна-Робинсона, а именно аналитический метод с использованием теоремы фон Неймана, а также модели Адольфа Гурвица, Леонарда Джимми Сэвиджа, Томаса Байеса и Абрахама Вальда.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Идея метода Брауна-Робинсона состоит в многократном фиктивном проведении «игры» с заданной матрицей A=(a</w:t>
      </w:r>
      <w:r w:rsidRPr="00802D35">
        <w:rPr>
          <w:rFonts w:ascii="Times New Roman" w:hAnsi="Times New Roman" w:cs="Times New Roman"/>
          <w:sz w:val="28"/>
          <w:szCs w:val="28"/>
          <w:vertAlign w:val="subscript"/>
        </w:rPr>
        <w:t>ij</w:t>
      </w:r>
      <w:r w:rsidRPr="00802D35">
        <w:rPr>
          <w:rFonts w:ascii="Times New Roman" w:hAnsi="Times New Roman" w:cs="Times New Roman"/>
          <w:sz w:val="28"/>
          <w:szCs w:val="28"/>
        </w:rPr>
        <w:t>). Один розыгрыш «игры» называется итерацией, количество которой не ограничено. С увеличением числа итераций N смешанные частоты применения чистой стратегии игроками приближаются к их смешанным оптимальным стратегиям [</w:t>
      </w:r>
      <w:r w:rsidR="000B0564" w:rsidRPr="00802D35">
        <w:rPr>
          <w:rFonts w:ascii="Times New Roman" w:hAnsi="Times New Roman" w:cs="Times New Roman"/>
          <w:sz w:val="28"/>
          <w:szCs w:val="28"/>
        </w:rPr>
        <w:t>117</w:t>
      </w:r>
      <w:r w:rsidRPr="00802D35">
        <w:rPr>
          <w:rFonts w:ascii="Times New Roman" w:hAnsi="Times New Roman" w:cs="Times New Roman"/>
          <w:sz w:val="28"/>
          <w:szCs w:val="28"/>
        </w:rPr>
        <w:t>]. Расчеты производятся исходя из предположения, что игроки хотят увеличить свой выигрыш (уменьшить потери). Предполагается, что они не знают своих оптимальных стратегий. Игроки делают ходы по принципу: будущее похоже на прошлое с учетом всех сделанных итераций. Первая стратегия (например, первый игрок) выбирается произвольно - возможно, с целью увеличения возможного выигрыша.</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Следующий s-ход 2-го игрока (после s ходов 1-го игрока) выбирается путем выбора стратегии j</w:t>
      </w:r>
      <w:r w:rsidRPr="00802D35">
        <w:rPr>
          <w:rFonts w:ascii="Times New Roman" w:hAnsi="Times New Roman" w:cs="Times New Roman"/>
          <w:sz w:val="28"/>
          <w:szCs w:val="28"/>
          <w:vertAlign w:val="subscript"/>
        </w:rPr>
        <w:t>s</w:t>
      </w:r>
      <w:r w:rsidRPr="00802D35">
        <w:rPr>
          <w:rFonts w:ascii="Times New Roman" w:hAnsi="Times New Roman" w:cs="Times New Roman"/>
          <w:sz w:val="28"/>
          <w:szCs w:val="28"/>
        </w:rPr>
        <w:t xml:space="preserve"> как:</w:t>
      </w:r>
    </w:p>
    <w:p w:rsidR="00E40DE9" w:rsidRPr="00802D35" w:rsidRDefault="00E40DE9" w:rsidP="00E40DE9">
      <w:pPr>
        <w:spacing w:after="0" w:line="240" w:lineRule="auto"/>
        <w:jc w:val="both"/>
      </w:pPr>
    </w:p>
    <w:p w:rsidR="00E40DE9" w:rsidRPr="00802D35" w:rsidRDefault="00FF4C7E" w:rsidP="00E40DE9">
      <w:pPr>
        <w:spacing w:after="0" w:line="240" w:lineRule="auto"/>
        <w:jc w:val="right"/>
        <w:rPr>
          <w:rFonts w:ascii="Times New Roman" w:hAnsi="Times New Roman" w:cs="Times New Roman"/>
          <w:sz w:val="28"/>
          <w:szCs w:val="28"/>
        </w:rPr>
      </w:pP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S</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iNjs</m:t>
                </m:r>
              </m:sub>
            </m:sSub>
            <m:r>
              <w:rPr>
                <w:rFonts w:ascii="Cambria Math" w:hAnsi="Cambria Math" w:cs="Times New Roman"/>
                <w:sz w:val="28"/>
                <w:szCs w:val="28"/>
              </w:rPr>
              <m:t>=</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min</m:t>
                    </m:r>
                  </m:e>
                  <m:lim>
                    <m:r>
                      <w:rPr>
                        <w:rFonts w:ascii="Cambria Math" w:hAnsi="Cambria Math" w:cs="Times New Roman"/>
                        <w:sz w:val="28"/>
                        <w:szCs w:val="28"/>
                      </w:rPr>
                      <m:t>1≤j≤N</m:t>
                    </m:r>
                  </m:lim>
                </m:limLow>
              </m:fName>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S</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iNj</m:t>
                        </m:r>
                      </m:sub>
                    </m:sSub>
                  </m:e>
                </m:nary>
              </m:e>
            </m:func>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min</m:t>
            </m:r>
          </m:sub>
        </m:sSub>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s</m:t>
        </m:r>
      </m:oMath>
      <w:r w:rsidR="00E40DE9" w:rsidRPr="00802D35">
        <w:rPr>
          <w:rFonts w:ascii="Times New Roman" w:eastAsiaTheme="minorEastAsia" w:hAnsi="Times New Roman" w:cs="Times New Roman"/>
          <w:i/>
          <w:sz w:val="28"/>
          <w:szCs w:val="28"/>
        </w:rPr>
        <w:t xml:space="preserve">                </w:t>
      </w:r>
      <w:r w:rsidR="00E40DE9" w:rsidRPr="00802D35">
        <w:rPr>
          <w:rFonts w:ascii="Times New Roman" w:eastAsiaTheme="minorEastAsia" w:hAnsi="Times New Roman" w:cs="Times New Roman"/>
          <w:sz w:val="28"/>
          <w:szCs w:val="28"/>
        </w:rPr>
        <w:t>(39),</w:t>
      </w:r>
    </w:p>
    <w:p w:rsidR="00E40DE9" w:rsidRPr="00802D35" w:rsidRDefault="00E40DE9" w:rsidP="00E40DE9">
      <w:pPr>
        <w:spacing w:after="0" w:line="240" w:lineRule="auto"/>
        <w:jc w:val="both"/>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i</w:t>
      </w:r>
      <w:r w:rsidRPr="00802D35">
        <w:rPr>
          <w:rFonts w:ascii="Times New Roman" w:hAnsi="Times New Roman" w:cs="Times New Roman"/>
          <w:sz w:val="28"/>
          <w:szCs w:val="28"/>
          <w:vertAlign w:val="subscript"/>
        </w:rPr>
        <w:t>1</w:t>
      </w:r>
      <w:r w:rsidRPr="00802D35">
        <w:rPr>
          <w:rFonts w:ascii="Times New Roman" w:hAnsi="Times New Roman" w:cs="Times New Roman"/>
          <w:sz w:val="28"/>
          <w:szCs w:val="28"/>
        </w:rPr>
        <w:t>, j</w:t>
      </w:r>
      <w:r w:rsidRPr="00802D35">
        <w:rPr>
          <w:rFonts w:ascii="Times New Roman" w:hAnsi="Times New Roman" w:cs="Times New Roman"/>
          <w:sz w:val="28"/>
          <w:szCs w:val="28"/>
          <w:vertAlign w:val="subscript"/>
        </w:rPr>
        <w:t xml:space="preserve">1 </w:t>
      </w:r>
      <w:r w:rsidRPr="00802D35">
        <w:rPr>
          <w:rFonts w:ascii="Times New Roman" w:hAnsi="Times New Roman" w:cs="Times New Roman"/>
          <w:sz w:val="28"/>
          <w:szCs w:val="28"/>
        </w:rPr>
        <w:t>– пары стратегий игроков на 1,…, s шагах;</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v – цена «игры».</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 выбор (s + 1) 1-го хода 1-го игрока (после s ходов 2-го игрока) - это выбор стратегии i</w:t>
      </w:r>
      <w:r w:rsidRPr="00802D35">
        <w:rPr>
          <w:rFonts w:ascii="Times New Roman" w:hAnsi="Times New Roman" w:cs="Times New Roman"/>
          <w:sz w:val="28"/>
          <w:szCs w:val="28"/>
          <w:vertAlign w:val="subscript"/>
        </w:rPr>
        <w:t>s</w:t>
      </w:r>
      <w:r w:rsidRPr="00802D35">
        <w:rPr>
          <w:rFonts w:ascii="Times New Roman" w:hAnsi="Times New Roman" w:cs="Times New Roman"/>
          <w:sz w:val="28"/>
          <w:szCs w:val="28"/>
          <w:vertAlign w:val="subscript"/>
        </w:rPr>
        <w:sym w:font="Symbol" w:char="F02B"/>
      </w:r>
      <w:r w:rsidRPr="00802D35">
        <w:rPr>
          <w:rFonts w:ascii="Times New Roman" w:hAnsi="Times New Roman" w:cs="Times New Roman"/>
          <w:sz w:val="28"/>
          <w:szCs w:val="28"/>
          <w:vertAlign w:val="subscript"/>
        </w:rPr>
        <w:t>1</w:t>
      </w:r>
      <w:r w:rsidRPr="00802D35">
        <w:rPr>
          <w:rFonts w:ascii="Times New Roman" w:hAnsi="Times New Roman" w:cs="Times New Roman"/>
          <w:sz w:val="28"/>
          <w:szCs w:val="28"/>
        </w:rPr>
        <w:t xml:space="preserve">  согласно условию: </w:t>
      </w:r>
    </w:p>
    <w:p w:rsidR="00E40DE9" w:rsidRPr="00802D35" w:rsidRDefault="00E40DE9" w:rsidP="00E40DE9">
      <w:pPr>
        <w:spacing w:after="0" w:line="240" w:lineRule="auto"/>
        <w:jc w:val="both"/>
      </w:pPr>
    </w:p>
    <w:p w:rsidR="00E40DE9" w:rsidRPr="00802D35" w:rsidRDefault="00FF4C7E" w:rsidP="00E40DE9">
      <w:pPr>
        <w:spacing w:after="0" w:line="240" w:lineRule="auto"/>
        <w:jc w:val="right"/>
        <w:rPr>
          <w:rFonts w:ascii="Times New Roman" w:hAnsi="Times New Roman" w:cs="Times New Roman"/>
          <w:sz w:val="28"/>
          <w:szCs w:val="28"/>
        </w:rPr>
      </w:pP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S</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i(s+1)jN</m:t>
                </m:r>
              </m:sub>
            </m:sSub>
            <m:r>
              <w:rPr>
                <w:rFonts w:ascii="Cambria Math" w:hAnsi="Cambria Math" w:cs="Times New Roman"/>
                <w:sz w:val="28"/>
                <w:szCs w:val="28"/>
              </w:rPr>
              <m:t>=</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max</m:t>
                    </m:r>
                  </m:e>
                  <m:lim>
                    <m:r>
                      <w:rPr>
                        <w:rFonts w:ascii="Cambria Math" w:hAnsi="Cambria Math" w:cs="Times New Roman"/>
                        <w:sz w:val="28"/>
                        <w:szCs w:val="28"/>
                      </w:rPr>
                      <m:t>1≤i≤m</m:t>
                    </m:r>
                  </m:lim>
                </m:limLow>
              </m:fName>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S</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ijN</m:t>
                        </m:r>
                      </m:sub>
                    </m:sSub>
                  </m:e>
                </m:nary>
              </m:e>
            </m:func>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s</m:t>
        </m:r>
      </m:oMath>
      <w:r w:rsidR="00E40DE9" w:rsidRPr="00802D35">
        <w:rPr>
          <w:rFonts w:ascii="Times New Roman" w:eastAsiaTheme="minorEastAsia" w:hAnsi="Times New Roman" w:cs="Times New Roman"/>
          <w:i/>
          <w:sz w:val="28"/>
          <w:szCs w:val="28"/>
        </w:rPr>
        <w:t xml:space="preserve">                   </w:t>
      </w:r>
      <w:r w:rsidR="00E40DE9" w:rsidRPr="00802D35">
        <w:rPr>
          <w:rFonts w:ascii="Times New Roman" w:eastAsiaTheme="minorEastAsia" w:hAnsi="Times New Roman" w:cs="Times New Roman"/>
          <w:sz w:val="28"/>
          <w:szCs w:val="28"/>
        </w:rPr>
        <w:t>(40),</w:t>
      </w:r>
    </w:p>
    <w:p w:rsidR="00E40DE9" w:rsidRPr="00802D35" w:rsidRDefault="00E40DE9" w:rsidP="00E40DE9">
      <w:pPr>
        <w:spacing w:after="0" w:line="240" w:lineRule="auto"/>
        <w:jc w:val="both"/>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v – цена «игры».</w:t>
      </w:r>
    </w:p>
    <w:p w:rsidR="00E40DE9" w:rsidRPr="00802D35" w:rsidRDefault="00E40DE9" w:rsidP="00E40DE9">
      <w:pPr>
        <w:spacing w:after="0" w:line="240" w:lineRule="auto"/>
        <w:jc w:val="both"/>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Цена игры, как известно, удовлетворяет следующему неравенству: </w:t>
      </w:r>
      <w:r w:rsidRPr="00802D35">
        <w:rPr>
          <w:rFonts w:ascii="Times New Roman" w:hAnsi="Times New Roman" w:cs="Times New Roman"/>
          <w:sz w:val="28"/>
          <w:szCs w:val="28"/>
        </w:rPr>
        <w:sym w:font="Symbol" w:char="F06E"/>
      </w:r>
      <w:r w:rsidRPr="00802D35">
        <w:rPr>
          <w:rFonts w:ascii="Times New Roman" w:hAnsi="Times New Roman" w:cs="Times New Roman"/>
          <w:sz w:val="28"/>
          <w:szCs w:val="28"/>
          <w:vertAlign w:val="subscript"/>
        </w:rPr>
        <w:t>min</w:t>
      </w:r>
      <w:r w:rsidRPr="00802D35">
        <w:rPr>
          <w:rFonts w:ascii="Times New Roman" w:hAnsi="Times New Roman" w:cs="Times New Roman"/>
          <w:sz w:val="28"/>
          <w:szCs w:val="28"/>
        </w:rPr>
        <w:t xml:space="preserve">(s) ≤ </w:t>
      </w:r>
      <w:r w:rsidRPr="00802D35">
        <w:rPr>
          <w:rFonts w:ascii="Times New Roman" w:hAnsi="Times New Roman" w:cs="Times New Roman"/>
          <w:sz w:val="28"/>
          <w:szCs w:val="28"/>
        </w:rPr>
        <w:sym w:font="Symbol" w:char="F06E"/>
      </w:r>
      <w:r w:rsidRPr="00802D35">
        <w:rPr>
          <w:rFonts w:ascii="Times New Roman" w:hAnsi="Times New Roman" w:cs="Times New Roman"/>
          <w:sz w:val="28"/>
          <w:szCs w:val="28"/>
        </w:rPr>
        <w:t xml:space="preserve">≤ </w:t>
      </w:r>
      <w:r w:rsidRPr="00802D35">
        <w:rPr>
          <w:rFonts w:ascii="Times New Roman" w:hAnsi="Times New Roman" w:cs="Times New Roman"/>
          <w:sz w:val="28"/>
          <w:szCs w:val="28"/>
        </w:rPr>
        <w:sym w:font="Symbol" w:char="F06E"/>
      </w:r>
      <w:r w:rsidRPr="00802D35">
        <w:rPr>
          <w:rFonts w:ascii="Times New Roman" w:hAnsi="Times New Roman" w:cs="Times New Roman"/>
          <w:sz w:val="28"/>
          <w:szCs w:val="28"/>
          <w:vertAlign w:val="subscript"/>
        </w:rPr>
        <w:t>max</w:t>
      </w:r>
      <w:r w:rsidRPr="00802D35">
        <w:rPr>
          <w:rFonts w:ascii="Times New Roman" w:hAnsi="Times New Roman" w:cs="Times New Roman"/>
          <w:sz w:val="28"/>
          <w:szCs w:val="28"/>
        </w:rPr>
        <w:t xml:space="preserve"> (s) [</w:t>
      </w:r>
      <w:r w:rsidR="000B0564" w:rsidRPr="00802D35">
        <w:rPr>
          <w:rFonts w:ascii="Times New Roman" w:hAnsi="Times New Roman" w:cs="Times New Roman"/>
          <w:sz w:val="28"/>
          <w:szCs w:val="28"/>
        </w:rPr>
        <w:t>118</w:t>
      </w:r>
      <w:r w:rsidRPr="00802D35">
        <w:rPr>
          <w:rFonts w:ascii="Times New Roman" w:hAnsi="Times New Roman" w:cs="Times New Roman"/>
          <w:sz w:val="28"/>
          <w:szCs w:val="28"/>
        </w:rPr>
        <w:t xml:space="preserve">].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Критерий Т.Байеса выигрышей позволяет выбрать максимум из ожидаемых элементов матрицы эффективности с известной вероятностью возможных состояний:</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B=</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max</m:t>
                </m:r>
              </m:e>
              <m:lim>
                <m:r>
                  <w:rPr>
                    <w:rFonts w:ascii="Cambria Math" w:hAnsi="Cambria Math" w:cs="Times New Roman"/>
                    <w:sz w:val="28"/>
                    <w:szCs w:val="28"/>
                  </w:rPr>
                  <m:t>i</m:t>
                </m:r>
              </m:lim>
            </m:limLow>
          </m:fName>
          <m:e>
            <m:d>
              <m:dPr>
                <m:begChr m:val="{"/>
                <m:endChr m:val="}"/>
                <m:ctrlPr>
                  <w:rPr>
                    <w:rFonts w:ascii="Cambria Math" w:hAnsi="Cambria Math" w:cs="Times New Roman"/>
                    <w:i/>
                    <w:sz w:val="28"/>
                    <w:szCs w:val="28"/>
                  </w:rPr>
                </m:ctrlPr>
              </m:dPr>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e>
                </m:nary>
              </m:e>
            </m:d>
          </m:e>
        </m:func>
      </m:oMath>
      <w:r w:rsidRPr="00802D35">
        <w:rPr>
          <w:rFonts w:ascii="Times New Roman" w:eastAsiaTheme="minorEastAsia" w:hAnsi="Times New Roman" w:cs="Times New Roman"/>
          <w:sz w:val="28"/>
          <w:szCs w:val="28"/>
        </w:rPr>
        <w:t xml:space="preserve">                                       (41),</w:t>
      </w:r>
    </w:p>
    <w:p w:rsidR="00E40DE9" w:rsidRPr="00802D35" w:rsidRDefault="00E40DE9" w:rsidP="00E40DE9">
      <w:pPr>
        <w:spacing w:after="0" w:line="240" w:lineRule="auto"/>
        <w:jc w:val="both"/>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sz w:val="28"/>
          <w:szCs w:val="28"/>
        </w:rPr>
      </w:pPr>
      <w:r w:rsidRPr="00802D35">
        <w:rPr>
          <w:rFonts w:ascii="Times New Roman" w:hAnsi="Times New Roman" w:cs="Times New Roman"/>
          <w:sz w:val="28"/>
          <w:szCs w:val="28"/>
        </w:rPr>
        <w:t>q</w:t>
      </w:r>
      <w:r w:rsidRPr="00802D35">
        <w:rPr>
          <w:rFonts w:ascii="Times New Roman" w:hAnsi="Times New Roman" w:cs="Times New Roman"/>
          <w:sz w:val="28"/>
          <w:szCs w:val="28"/>
          <w:vertAlign w:val="subscript"/>
        </w:rPr>
        <w:t>j</w:t>
      </w:r>
      <w:r w:rsidRPr="00802D35">
        <w:rPr>
          <w:rFonts w:ascii="Times New Roman" w:hAnsi="Times New Roman"/>
          <w:sz w:val="28"/>
          <w:szCs w:val="28"/>
        </w:rPr>
        <w:t xml:space="preserve"> – вес средневзвешенных эффективностей.</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Критерий А.Вальда предназначен для выбора из рассмотренных вариантов той стратегии, которая имеет наивысший показатель эффективности из минимально возможных показателей для каждого из этих вариантов [</w:t>
      </w:r>
      <w:r w:rsidR="000B0564" w:rsidRPr="00802D35">
        <w:rPr>
          <w:rFonts w:ascii="Times New Roman" w:hAnsi="Times New Roman" w:cs="Times New Roman"/>
          <w:sz w:val="28"/>
          <w:szCs w:val="28"/>
        </w:rPr>
        <w:t>119</w:t>
      </w:r>
      <w:r w:rsidRPr="00802D35">
        <w:rPr>
          <w:rFonts w:ascii="Times New Roman" w:hAnsi="Times New Roman" w:cs="Times New Roman"/>
          <w:sz w:val="28"/>
          <w:szCs w:val="28"/>
        </w:rPr>
        <w:t>]. Критерий направляет менеджера банка, принимающего решения, на осторожную линию поведения, направленную на получение и минимизацию возможных рисков одновременно:</w:t>
      </w:r>
    </w:p>
    <w:p w:rsidR="00E40DE9" w:rsidRPr="00802D35" w:rsidRDefault="00E40DE9" w:rsidP="00E40DE9">
      <w:pPr>
        <w:spacing w:after="0" w:line="240" w:lineRule="auto"/>
        <w:jc w:val="both"/>
        <w:rPr>
          <w:rFonts w:ascii="Times New Roman" w:hAnsi="Times New Roman"/>
          <w:b/>
          <w:sz w:val="28"/>
          <w:szCs w:val="28"/>
        </w:rPr>
      </w:pPr>
    </w:p>
    <w:p w:rsidR="00E40DE9" w:rsidRPr="00802D35" w:rsidRDefault="00E40DE9" w:rsidP="00E40DE9">
      <w:pPr>
        <w:spacing w:after="0" w:line="240" w:lineRule="auto"/>
        <w:jc w:val="right"/>
        <w:rPr>
          <w:rFonts w:ascii="Times New Roman" w:hAnsi="Times New Roman"/>
          <w:sz w:val="28"/>
          <w:szCs w:val="28"/>
        </w:rPr>
      </w:pPr>
      <m:oMath>
        <m:r>
          <w:rPr>
            <w:rFonts w:ascii="Cambria Math" w:hAnsi="Cambria Math"/>
            <w:sz w:val="28"/>
            <w:szCs w:val="28"/>
          </w:rPr>
          <m:t>W=</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r>
                  <w:rPr>
                    <w:rFonts w:ascii="Cambria Math" w:hAnsi="Cambria Math"/>
                    <w:sz w:val="28"/>
                    <w:szCs w:val="28"/>
                  </w:rPr>
                  <m:t>i</m:t>
                </m:r>
              </m:lim>
            </m:limLow>
          </m:fName>
          <m:e>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min</m:t>
                    </m:r>
                  </m:e>
                  <m:lim>
                    <m:r>
                      <w:rPr>
                        <w:rFonts w:ascii="Cambria Math" w:hAnsi="Cambria Math"/>
                        <w:sz w:val="28"/>
                        <w:szCs w:val="28"/>
                      </w:rPr>
                      <m:t>j</m:t>
                    </m:r>
                  </m:lim>
                </m:limLow>
              </m:fName>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func>
          </m:e>
        </m:func>
      </m:oMath>
      <w:r w:rsidRPr="00802D35">
        <w:rPr>
          <w:rFonts w:ascii="Times New Roman" w:eastAsiaTheme="minorEastAsia" w:hAnsi="Times New Roman"/>
          <w:sz w:val="28"/>
          <w:szCs w:val="28"/>
        </w:rPr>
        <w:t xml:space="preserve">                                       (42),</w:t>
      </w:r>
    </w:p>
    <w:p w:rsidR="00E40DE9" w:rsidRPr="00802D35" w:rsidRDefault="00E40DE9" w:rsidP="00E40DE9">
      <w:pPr>
        <w:spacing w:after="0" w:line="240" w:lineRule="auto"/>
        <w:jc w:val="both"/>
        <w:rPr>
          <w:rFonts w:ascii="Times New Roman" w:hAnsi="Times New Roman"/>
          <w:sz w:val="28"/>
          <w:szCs w:val="28"/>
        </w:rPr>
      </w:pPr>
    </w:p>
    <w:p w:rsidR="00E40DE9" w:rsidRPr="00802D35" w:rsidRDefault="00E40DE9" w:rsidP="00E40DE9">
      <w:pPr>
        <w:spacing w:after="0" w:line="240" w:lineRule="auto"/>
        <w:ind w:firstLine="567"/>
        <w:jc w:val="both"/>
        <w:rPr>
          <w:rFonts w:ascii="Times New Roman" w:hAnsi="Times New Roman"/>
          <w:sz w:val="28"/>
          <w:szCs w:val="28"/>
        </w:rPr>
      </w:pPr>
      <w:r w:rsidRPr="00802D35">
        <w:rPr>
          <w:rFonts w:ascii="Times New Roman" w:hAnsi="Times New Roman"/>
          <w:sz w:val="28"/>
          <w:szCs w:val="28"/>
        </w:rPr>
        <w:t>где:</w:t>
      </w:r>
    </w:p>
    <w:p w:rsidR="00E40DE9" w:rsidRPr="00802D35" w:rsidRDefault="00E40DE9" w:rsidP="00E40DE9">
      <w:pPr>
        <w:spacing w:after="0" w:line="240" w:lineRule="auto"/>
        <w:ind w:firstLine="567"/>
        <w:jc w:val="both"/>
        <w:rPr>
          <w:rFonts w:ascii="Times New Roman" w:hAnsi="Times New Roman"/>
          <w:sz w:val="28"/>
          <w:szCs w:val="28"/>
        </w:rPr>
      </w:pPr>
      <w:r w:rsidRPr="00802D35">
        <w:rPr>
          <w:rFonts w:ascii="Times New Roman" w:hAnsi="Times New Roman"/>
          <w:sz w:val="28"/>
          <w:szCs w:val="28"/>
        </w:rPr>
        <w:t>a</w:t>
      </w:r>
      <w:r w:rsidRPr="00802D35">
        <w:rPr>
          <w:rFonts w:ascii="Times New Roman" w:hAnsi="Times New Roman"/>
          <w:sz w:val="28"/>
          <w:szCs w:val="28"/>
          <w:vertAlign w:val="subscript"/>
        </w:rPr>
        <w:t>ij</w:t>
      </w:r>
      <w:r w:rsidRPr="00802D35">
        <w:rPr>
          <w:rFonts w:ascii="Times New Roman" w:hAnsi="Times New Roman"/>
          <w:sz w:val="28"/>
          <w:szCs w:val="28"/>
        </w:rPr>
        <w:t xml:space="preserve"> – значения эффективностей в матрице.</w:t>
      </w:r>
    </w:p>
    <w:p w:rsidR="00E40DE9" w:rsidRPr="00802D35" w:rsidRDefault="00E40DE9" w:rsidP="00E40DE9">
      <w:pPr>
        <w:spacing w:after="0" w:line="240" w:lineRule="auto"/>
        <w:ind w:firstLine="567"/>
        <w:jc w:val="both"/>
        <w:rPr>
          <w:rFonts w:ascii="Times New Roman" w:hAnsi="Times New Roman"/>
          <w:b/>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Вальдовский критерий обеспечивает максимизацию минимального выигрыша, который может быть получен при реализации каждого из вариантов стратегии.</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свою очередь, критерий Л.Д.Сэвиджа означает критерий крайнего пессимизма, но только в отношении рисков. Это подразумевает наихудшее состояние для банка, при котором риск каждой из чистых стратегий максимален:</w:t>
      </w:r>
    </w:p>
    <w:p w:rsidR="00E40DE9" w:rsidRPr="00802D35" w:rsidRDefault="00E40DE9" w:rsidP="00E40DE9">
      <w:pPr>
        <w:spacing w:after="0" w:line="240" w:lineRule="auto"/>
        <w:jc w:val="both"/>
      </w:pPr>
    </w:p>
    <w:p w:rsidR="00E40DE9" w:rsidRPr="00802D35" w:rsidRDefault="00E40DE9" w:rsidP="00E40DE9">
      <w:pPr>
        <w:spacing w:after="0" w:line="240" w:lineRule="auto"/>
        <w:jc w:val="right"/>
        <w:rPr>
          <w:rFonts w:ascii="Times New Roman" w:hAnsi="Times New Roman"/>
          <w:sz w:val="28"/>
          <w:szCs w:val="28"/>
        </w:rPr>
      </w:pPr>
      <m:oMath>
        <m:r>
          <w:rPr>
            <w:rFonts w:ascii="Cambria Math" w:hAnsi="Cambria Math"/>
            <w:sz w:val="28"/>
            <w:szCs w:val="28"/>
          </w:rPr>
          <m:t>S=</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r>
                  <w:rPr>
                    <w:rFonts w:ascii="Cambria Math" w:hAnsi="Cambria Math"/>
                    <w:sz w:val="28"/>
                    <w:szCs w:val="28"/>
                  </w:rPr>
                  <m:t>i</m:t>
                </m:r>
              </m:lim>
            </m:limLow>
          </m:fName>
          <m:e>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min</m:t>
                    </m:r>
                  </m:e>
                  <m:lim>
                    <m:r>
                      <w:rPr>
                        <w:rFonts w:ascii="Cambria Math" w:hAnsi="Cambria Math"/>
                        <w:sz w:val="28"/>
                        <w:szCs w:val="28"/>
                      </w:rPr>
                      <m:t>j</m:t>
                    </m:r>
                  </m:lim>
                </m:limLow>
              </m:fName>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ij</m:t>
                    </m:r>
                  </m:sub>
                </m:sSub>
              </m:e>
            </m:func>
          </m:e>
        </m:func>
      </m:oMath>
      <w:r w:rsidRPr="00802D35">
        <w:rPr>
          <w:rFonts w:ascii="Times New Roman" w:eastAsiaTheme="minorEastAsia" w:hAnsi="Times New Roman"/>
          <w:sz w:val="28"/>
          <w:szCs w:val="28"/>
        </w:rPr>
        <w:t xml:space="preserve">                                             (43),</w:t>
      </w:r>
    </w:p>
    <w:p w:rsidR="00E40DE9" w:rsidRPr="00802D35" w:rsidRDefault="00E40DE9" w:rsidP="00E40DE9">
      <w:pPr>
        <w:spacing w:after="0" w:line="240" w:lineRule="auto"/>
        <w:jc w:val="both"/>
      </w:pPr>
    </w:p>
    <w:p w:rsidR="00E40DE9" w:rsidRPr="00802D35" w:rsidRDefault="00E40DE9" w:rsidP="00E40DE9">
      <w:pPr>
        <w:spacing w:after="0" w:line="240" w:lineRule="auto"/>
        <w:ind w:firstLine="567"/>
        <w:jc w:val="both"/>
        <w:rPr>
          <w:rFonts w:ascii="Times New Roman" w:hAnsi="Times New Roman"/>
          <w:sz w:val="28"/>
          <w:szCs w:val="28"/>
        </w:rPr>
      </w:pPr>
      <w:r w:rsidRPr="00802D35">
        <w:rPr>
          <w:rFonts w:ascii="Times New Roman" w:hAnsi="Times New Roman"/>
          <w:sz w:val="28"/>
          <w:szCs w:val="28"/>
        </w:rPr>
        <w:t>где:</w:t>
      </w:r>
    </w:p>
    <w:p w:rsidR="00E40DE9" w:rsidRPr="00802D35" w:rsidRDefault="00E40DE9" w:rsidP="00E40DE9">
      <w:pPr>
        <w:spacing w:after="0" w:line="240" w:lineRule="auto"/>
        <w:ind w:firstLine="567"/>
        <w:jc w:val="both"/>
        <w:rPr>
          <w:rFonts w:ascii="Times New Roman" w:hAnsi="Times New Roman"/>
          <w:sz w:val="28"/>
          <w:szCs w:val="28"/>
        </w:rPr>
      </w:pPr>
      <w:r w:rsidRPr="00802D35">
        <w:rPr>
          <w:rFonts w:ascii="Times New Roman" w:hAnsi="Times New Roman"/>
          <w:sz w:val="28"/>
          <w:szCs w:val="28"/>
        </w:rPr>
        <w:t>a</w:t>
      </w:r>
      <w:r w:rsidRPr="00802D35">
        <w:rPr>
          <w:rFonts w:ascii="Times New Roman" w:hAnsi="Times New Roman"/>
          <w:sz w:val="28"/>
          <w:szCs w:val="28"/>
          <w:vertAlign w:val="subscript"/>
        </w:rPr>
        <w:t>ij</w:t>
      </w:r>
      <w:r w:rsidRPr="00802D35">
        <w:rPr>
          <w:rFonts w:ascii="Times New Roman" w:hAnsi="Times New Roman"/>
          <w:sz w:val="28"/>
          <w:szCs w:val="28"/>
        </w:rPr>
        <w:t xml:space="preserve"> – значения эффективностей в матрице.</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получается, что критерий Л.Д.Сэвиджа позволяет выбрать вариант стратегии с меньшим риском по сравнению с более высоким, изначально ожидаемым уровнем риска.</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Критерий А.Гурвица взвешивает пессимистический и оптимистичный подходы к анализу неопределенной ситуации и предназначен для выбора некоторого среднего элемента матрицы эффективности, отличного от крайних состояний - из минимального и максимального элементов:</w:t>
      </w:r>
    </w:p>
    <w:p w:rsidR="00E40DE9" w:rsidRPr="00802D35" w:rsidRDefault="00E40DE9" w:rsidP="00E40DE9">
      <w:pPr>
        <w:spacing w:after="0" w:line="240" w:lineRule="auto"/>
        <w:jc w:val="both"/>
        <w:rPr>
          <w:rFonts w:ascii="Times New Roman" w:hAnsi="Times New Roman" w:cs="Times New Roman"/>
          <w:sz w:val="28"/>
          <w:szCs w:val="28"/>
        </w:rPr>
      </w:pPr>
    </w:p>
    <w:p w:rsidR="00E40DE9" w:rsidRPr="00802D35" w:rsidRDefault="00E40DE9" w:rsidP="00E40DE9">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H=</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max</m:t>
                </m:r>
              </m:e>
              <m:lim>
                <m:r>
                  <w:rPr>
                    <w:rFonts w:ascii="Cambria Math" w:hAnsi="Cambria Math" w:cs="Times New Roman"/>
                    <w:sz w:val="28"/>
                    <w:szCs w:val="28"/>
                  </w:rPr>
                  <m:t>i</m:t>
                </m:r>
              </m:lim>
            </m:limLow>
          </m:fName>
          <m:e>
            <m:r>
              <w:rPr>
                <w:rFonts w:ascii="Cambria Math" w:hAnsi="Cambria Math" w:cs="Times New Roman"/>
                <w:sz w:val="28"/>
                <w:szCs w:val="28"/>
              </w:rPr>
              <m:t>(γ</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max</m:t>
                    </m:r>
                  </m:e>
                  <m:lim>
                    <m:r>
                      <w:rPr>
                        <w:rFonts w:ascii="Cambria Math" w:hAnsi="Cambria Math" w:cs="Times New Roman"/>
                        <w:sz w:val="28"/>
                        <w:szCs w:val="28"/>
                      </w:rPr>
                      <m:t>j</m:t>
                    </m:r>
                  </m:lim>
                </m:limLow>
              </m:fNa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r>
                  <w:rPr>
                    <w:rFonts w:ascii="Cambria Math" w:hAnsi="Cambria Math" w:cs="Times New Roman"/>
                    <w:sz w:val="28"/>
                    <w:szCs w:val="28"/>
                  </w:rPr>
                  <m:t>+(1-γ)</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min</m:t>
                        </m:r>
                      </m:e>
                      <m:lim>
                        <m:r>
                          <w:rPr>
                            <w:rFonts w:ascii="Cambria Math" w:hAnsi="Cambria Math" w:cs="Times New Roman"/>
                            <w:sz w:val="28"/>
                            <w:szCs w:val="28"/>
                          </w:rPr>
                          <m:t>j</m:t>
                        </m:r>
                      </m:lim>
                    </m:limLow>
                  </m:fName>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e>
                </m:func>
              </m:e>
            </m:func>
          </m:e>
        </m:func>
      </m:oMath>
      <w:r w:rsidRPr="00802D35">
        <w:rPr>
          <w:rFonts w:ascii="Times New Roman" w:eastAsiaTheme="minorEastAsia" w:hAnsi="Times New Roman" w:cs="Times New Roman"/>
          <w:i/>
          <w:sz w:val="28"/>
          <w:szCs w:val="28"/>
        </w:rPr>
        <w:t xml:space="preserve">                         </w:t>
      </w:r>
      <w:r w:rsidRPr="00802D35">
        <w:rPr>
          <w:rFonts w:ascii="Times New Roman" w:eastAsiaTheme="minorEastAsia" w:hAnsi="Times New Roman" w:cs="Times New Roman"/>
          <w:sz w:val="28"/>
          <w:szCs w:val="28"/>
        </w:rPr>
        <w:t>(44),</w:t>
      </w:r>
    </w:p>
    <w:p w:rsidR="00E40DE9" w:rsidRPr="00802D35" w:rsidRDefault="00E40DE9" w:rsidP="00E40DE9">
      <w:pPr>
        <w:spacing w:after="0" w:line="240" w:lineRule="auto"/>
        <w:jc w:val="both"/>
      </w:pPr>
    </w:p>
    <w:p w:rsidR="00E40DE9" w:rsidRPr="00802D35" w:rsidRDefault="00E40DE9" w:rsidP="00E40DE9">
      <w:pPr>
        <w:spacing w:after="0" w:line="240" w:lineRule="auto"/>
        <w:ind w:firstLine="567"/>
        <w:jc w:val="both"/>
        <w:rPr>
          <w:rFonts w:ascii="Times New Roman" w:hAnsi="Times New Roman" w:cs="Times New Roman"/>
          <w:sz w:val="28"/>
          <w:szCs w:val="28"/>
          <w:lang w:val="en-US"/>
        </w:rPr>
      </w:pPr>
      <w:r w:rsidRPr="00802D35">
        <w:rPr>
          <w:rFonts w:ascii="Times New Roman" w:hAnsi="Times New Roman" w:cs="Times New Roman"/>
          <w:sz w:val="28"/>
          <w:szCs w:val="28"/>
        </w:rPr>
        <w:t>где</w:t>
      </w:r>
      <w:r w:rsidRPr="00802D35">
        <w:rPr>
          <w:rFonts w:ascii="Times New Roman" w:hAnsi="Times New Roman" w:cs="Times New Roman"/>
          <w:sz w:val="28"/>
          <w:szCs w:val="28"/>
          <w:lang w:val="en-US"/>
        </w:rPr>
        <w:t>:</w:t>
      </w:r>
    </w:p>
    <w:p w:rsidR="00E40DE9" w:rsidRPr="00802D35" w:rsidRDefault="00E40DE9" w:rsidP="00E40DE9">
      <w:pPr>
        <w:spacing w:after="0" w:line="240" w:lineRule="auto"/>
        <w:ind w:firstLine="567"/>
        <w:jc w:val="both"/>
        <w:rPr>
          <w:rFonts w:ascii="Times New Roman" w:hAnsi="Times New Roman"/>
          <w:sz w:val="28"/>
          <w:szCs w:val="28"/>
          <w:lang w:val="en-US"/>
        </w:rPr>
      </w:pPr>
      <w:r w:rsidRPr="00802D35">
        <w:rPr>
          <w:rFonts w:ascii="Times New Roman" w:hAnsi="Times New Roman" w:cs="Times New Roman"/>
          <w:sz w:val="28"/>
          <w:szCs w:val="28"/>
        </w:rPr>
        <w:t>γ</w:t>
      </w:r>
      <w:r w:rsidRPr="00802D35">
        <w:rPr>
          <w:rFonts w:ascii="Times New Roman" w:hAnsi="Times New Roman"/>
          <w:sz w:val="28"/>
          <w:szCs w:val="28"/>
          <w:lang w:val="en-US"/>
        </w:rPr>
        <w:t xml:space="preserve"> – optimism coefficient, 0</w:t>
      </w:r>
      <w:r w:rsidRPr="00802D35">
        <w:rPr>
          <w:rFonts w:ascii="Times New Roman" w:hAnsi="Times New Roman" w:cs="Times New Roman"/>
          <w:sz w:val="28"/>
          <w:szCs w:val="28"/>
          <w:lang w:val="en-US"/>
        </w:rPr>
        <w:t>≤</w:t>
      </w:r>
      <w:r w:rsidRPr="00802D35">
        <w:rPr>
          <w:rFonts w:ascii="Times New Roman" w:hAnsi="Times New Roman" w:cs="Times New Roman"/>
          <w:sz w:val="28"/>
          <w:szCs w:val="28"/>
        </w:rPr>
        <w:t>γ</w:t>
      </w:r>
      <w:r w:rsidRPr="00802D35">
        <w:rPr>
          <w:rFonts w:ascii="Times New Roman" w:hAnsi="Times New Roman" w:cs="Times New Roman"/>
          <w:sz w:val="28"/>
          <w:szCs w:val="28"/>
          <w:lang w:val="en-US"/>
        </w:rPr>
        <w:t>≤</w:t>
      </w:r>
      <w:r w:rsidRPr="00802D35">
        <w:rPr>
          <w:rFonts w:ascii="Times New Roman" w:hAnsi="Times New Roman"/>
          <w:sz w:val="28"/>
          <w:szCs w:val="28"/>
          <w:lang w:val="en-US"/>
        </w:rPr>
        <w:t>1.</w:t>
      </w:r>
    </w:p>
    <w:p w:rsidR="00E40DE9" w:rsidRPr="00802D35" w:rsidRDefault="00E40DE9" w:rsidP="00E40DE9">
      <w:pPr>
        <w:spacing w:after="0" w:line="240" w:lineRule="auto"/>
        <w:jc w:val="both"/>
        <w:rPr>
          <w:lang w:val="en-US"/>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Важно то, что критерий А.Гурвица позволяет избежать пограничных состояний при принятии решения - неоправданного оптимизма и крайнего пессимизма в отношении ожидаемой доходности - и выбрать наиболее вероятный вариант стратегии, обеспечивающий максимальную эффективность.</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Применение всех вышеуказанных критериев одновременно позволит выявить наиболее оптимальный вариант при наличии всех предлагаемых решений. Предлагаемый нами вариант применения статистического моделирования апробируем на АО Halyk bank (таблица 16).</w:t>
      </w:r>
    </w:p>
    <w:p w:rsidR="00E40DE9" w:rsidRPr="00802D35" w:rsidRDefault="00E40DE9" w:rsidP="00E40DE9">
      <w:pPr>
        <w:spacing w:after="0" w:line="240" w:lineRule="auto"/>
        <w:jc w:val="both"/>
        <w:rPr>
          <w:rFonts w:ascii="Times New Roman" w:hAnsi="Times New Roman" w:cs="Times New Roman"/>
          <w:sz w:val="28"/>
          <w:szCs w:val="28"/>
        </w:rPr>
      </w:pPr>
    </w:p>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Таблица 16 - Данные о спрэдах ставок банковского фондирования</w:t>
      </w:r>
    </w:p>
    <w:p w:rsidR="00E40DE9" w:rsidRPr="00802D35" w:rsidRDefault="00E40DE9" w:rsidP="00E40DE9">
      <w:pPr>
        <w:spacing w:after="0" w:line="240" w:lineRule="auto"/>
        <w:jc w:val="both"/>
        <w:rPr>
          <w:rFonts w:ascii="Times New Roman" w:hAnsi="Times New Roman" w:cs="Times New Roman"/>
          <w:sz w:val="28"/>
          <w:szCs w:val="28"/>
        </w:rPr>
      </w:pP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14"/>
        <w:gridCol w:w="1914"/>
        <w:gridCol w:w="1914"/>
        <w:gridCol w:w="1915"/>
      </w:tblGrid>
      <w:tr w:rsidR="00E40DE9" w:rsidRPr="00802D35" w:rsidTr="00E40DE9">
        <w:tc>
          <w:tcPr>
            <w:tcW w:w="2127" w:type="dxa"/>
          </w:tcPr>
          <w:p w:rsidR="00E40DE9" w:rsidRPr="00802D35" w:rsidRDefault="005368DA" w:rsidP="00E40DE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813888" behindDoc="0" locked="0" layoutInCell="1" allowOverlap="1">
                      <wp:simplePos x="0" y="0"/>
                      <wp:positionH relativeFrom="column">
                        <wp:posOffset>201295</wp:posOffset>
                      </wp:positionH>
                      <wp:positionV relativeFrom="paragraph">
                        <wp:posOffset>3810</wp:posOffset>
                      </wp:positionV>
                      <wp:extent cx="1050925" cy="795020"/>
                      <wp:effectExtent l="0" t="0" r="0" b="5080"/>
                      <wp:wrapNone/>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795020"/>
                              </a:xfrm>
                              <a:prstGeom prst="rect">
                                <a:avLst/>
                              </a:prstGeom>
                              <a:noFill/>
                              <a:ln w="9525">
                                <a:noFill/>
                                <a:miter lim="800000"/>
                                <a:headEnd/>
                                <a:tailEnd/>
                              </a:ln>
                            </wps:spPr>
                            <wps:txbx>
                              <w:txbxContent>
                                <w:p w:rsidR="000C2C64" w:rsidRPr="00224DD2" w:rsidRDefault="000C2C64" w:rsidP="00E40DE9">
                                  <w:pPr>
                                    <w:spacing w:after="0" w:line="240" w:lineRule="auto"/>
                                    <w:ind w:left="567" w:right="-58" w:hanging="567"/>
                                    <w:rPr>
                                      <w:rFonts w:ascii="Times New Roman" w:hAnsi="Times New Roman" w:cs="Times New Roman"/>
                                      <w:sz w:val="24"/>
                                      <w:szCs w:val="24"/>
                                    </w:rPr>
                                  </w:pPr>
                                  <w:r>
                                    <w:rPr>
                                      <w:rFonts w:ascii="Times New Roman" w:hAnsi="Times New Roman" w:cs="Times New Roman"/>
                                      <w:sz w:val="24"/>
                                      <w:szCs w:val="24"/>
                                    </w:rPr>
                                    <w:t>Инструменты фондирования</w:t>
                                  </w:r>
                                  <w:r w:rsidRPr="00224DD2">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5.85pt;margin-top:.3pt;width:82.75pt;height:62.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" filled="f" stroked="f">
                      <v:textbox>
                        <w:txbxContent>
                          <w:p w:rsidR="000C2C64" w:rsidRPr="00224DD2" w:rsidRDefault="000C2C64" w:rsidP="00E40DE9">
                            <w:pPr>
                              <w:spacing w:after="0" w:line="240" w:lineRule="auto"/>
                              <w:ind w:left="567" w:right="-58" w:hanging="567"/>
                              <w:rPr>
                                <w:rFonts w:ascii="Times New Roman" w:hAnsi="Times New Roman" w:cs="Times New Roman"/>
                                <w:sz w:val="24"/>
                                <w:szCs w:val="24"/>
                              </w:rPr>
                            </w:pPr>
                            <w:r>
                              <w:rPr>
                                <w:rFonts w:ascii="Times New Roman" w:hAnsi="Times New Roman" w:cs="Times New Roman"/>
                                <w:sz w:val="24"/>
                                <w:szCs w:val="24"/>
                              </w:rPr>
                              <w:t>Инструменты фондирования</w:t>
                            </w:r>
                            <w:r w:rsidRPr="00224DD2">
                              <w:rPr>
                                <w:rFonts w:ascii="Times New Roman" w:hAnsi="Times New Roman" w:cs="Times New Roman"/>
                                <w:sz w:val="24"/>
                                <w:szCs w:val="24"/>
                              </w:rPr>
                              <w:t xml:space="preserve"> </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812864" behindDoc="0" locked="0" layoutInCell="1" allowOverlap="1">
                      <wp:simplePos x="0" y="0"/>
                      <wp:positionH relativeFrom="column">
                        <wp:posOffset>-59690</wp:posOffset>
                      </wp:positionH>
                      <wp:positionV relativeFrom="paragraph">
                        <wp:posOffset>530225</wp:posOffset>
                      </wp:positionV>
                      <wp:extent cx="768985" cy="333375"/>
                      <wp:effectExtent l="0" t="0" r="0" b="0"/>
                      <wp:wrapNone/>
                      <wp:docPr id="3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333375"/>
                              </a:xfrm>
                              <a:prstGeom prst="rect">
                                <a:avLst/>
                              </a:prstGeom>
                              <a:noFill/>
                              <a:ln w="9525">
                                <a:noFill/>
                                <a:miter lim="800000"/>
                                <a:headEnd/>
                                <a:tailEnd/>
                              </a:ln>
                            </wps:spPr>
                            <wps:txbx>
                              <w:txbxContent>
                                <w:p w:rsidR="000C2C64" w:rsidRPr="00224DD2" w:rsidRDefault="000C2C64" w:rsidP="00E40DE9">
                                  <w:pPr>
                                    <w:rPr>
                                      <w:rFonts w:ascii="Times New Roman" w:hAnsi="Times New Roman" w:cs="Times New Roman"/>
                                      <w:sz w:val="24"/>
                                      <w:szCs w:val="24"/>
                                    </w:rPr>
                                  </w:pPr>
                                  <w:r w:rsidRPr="00224DD2">
                                    <w:rPr>
                                      <w:rFonts w:ascii="Times New Roman" w:hAnsi="Times New Roman" w:cs="Times New Roman"/>
                                      <w:sz w:val="24"/>
                                      <w:szCs w:val="24"/>
                                    </w:rPr>
                                    <w:t xml:space="preserve">Активы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7pt;margin-top:41.75pt;width:60.55pt;height:26.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" filled="f" stroked="f">
                      <v:textbox>
                        <w:txbxContent>
                          <w:p w:rsidR="000C2C64" w:rsidRPr="00224DD2" w:rsidRDefault="000C2C64" w:rsidP="00E40DE9">
                            <w:pPr>
                              <w:rPr>
                                <w:rFonts w:ascii="Times New Roman" w:hAnsi="Times New Roman" w:cs="Times New Roman"/>
                                <w:sz w:val="24"/>
                                <w:szCs w:val="24"/>
                              </w:rPr>
                            </w:pPr>
                            <w:r w:rsidRPr="00224DD2">
                              <w:rPr>
                                <w:rFonts w:ascii="Times New Roman" w:hAnsi="Times New Roman" w:cs="Times New Roman"/>
                                <w:sz w:val="24"/>
                                <w:szCs w:val="24"/>
                              </w:rPr>
                              <w:t xml:space="preserve">Активы </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811840" behindDoc="0" locked="0" layoutInCell="1" allowOverlap="1">
                      <wp:simplePos x="0" y="0"/>
                      <wp:positionH relativeFrom="column">
                        <wp:posOffset>-63500</wp:posOffset>
                      </wp:positionH>
                      <wp:positionV relativeFrom="paragraph">
                        <wp:posOffset>3810</wp:posOffset>
                      </wp:positionV>
                      <wp:extent cx="1144905" cy="871855"/>
                      <wp:effectExtent l="0" t="0" r="17145" b="23495"/>
                      <wp:wrapNone/>
                      <wp:docPr id="380" name="Прямая соединительная линия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905" cy="871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0"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pt" to="85.1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" strokecolor="black [3040]">
                      <o:lock v:ext="edit" shapetype="f"/>
                    </v:line>
                  </w:pict>
                </mc:Fallback>
              </mc:AlternateConten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color w:val="222222"/>
                <w:sz w:val="24"/>
                <w:szCs w:val="24"/>
                <w:shd w:val="clear" w:color="auto" w:fill="FFFFFF"/>
              </w:rPr>
              <w:t>Текущие счета и вклады до востребования, L</w:t>
            </w:r>
            <w:r w:rsidRPr="00802D35">
              <w:rPr>
                <w:rFonts w:ascii="Times New Roman" w:hAnsi="Times New Roman" w:cs="Times New Roman"/>
                <w:color w:val="222222"/>
                <w:sz w:val="24"/>
                <w:szCs w:val="24"/>
                <w:shd w:val="clear" w:color="auto" w:fill="FFFFFF"/>
                <w:vertAlign w:val="subscript"/>
              </w:rPr>
              <w:t>1</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color w:val="222222"/>
                <w:sz w:val="24"/>
                <w:szCs w:val="24"/>
                <w:shd w:val="clear" w:color="auto" w:fill="FFFFFF"/>
              </w:rPr>
              <w:t>Выпущенные облигации банка, срок погашения 3 года, L</w:t>
            </w:r>
            <w:r w:rsidRPr="00802D35">
              <w:rPr>
                <w:rFonts w:ascii="Times New Roman" w:hAnsi="Times New Roman" w:cs="Times New Roman"/>
                <w:color w:val="222222"/>
                <w:sz w:val="24"/>
                <w:szCs w:val="24"/>
                <w:shd w:val="clear" w:color="auto" w:fill="FFFFFF"/>
                <w:vertAlign w:val="subscript"/>
              </w:rPr>
              <w:t>2</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color w:val="222222"/>
                <w:sz w:val="24"/>
                <w:szCs w:val="24"/>
                <w:shd w:val="clear" w:color="auto" w:fill="FFFFFF"/>
              </w:rPr>
              <w:t>Срочные корпоративные вклады сроком свыше 3 лет, L</w:t>
            </w:r>
            <w:r w:rsidRPr="00802D35">
              <w:rPr>
                <w:rFonts w:ascii="Times New Roman" w:hAnsi="Times New Roman" w:cs="Times New Roman"/>
                <w:color w:val="222222"/>
                <w:sz w:val="24"/>
                <w:szCs w:val="24"/>
                <w:shd w:val="clear" w:color="auto" w:fill="FFFFFF"/>
                <w:vertAlign w:val="subscript"/>
              </w:rPr>
              <w:t>3</w:t>
            </w:r>
          </w:p>
        </w:tc>
        <w:tc>
          <w:tcPr>
            <w:tcW w:w="191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color w:val="222222"/>
                <w:sz w:val="24"/>
                <w:szCs w:val="24"/>
                <w:shd w:val="clear" w:color="auto" w:fill="FFFFFF"/>
              </w:rPr>
              <w:t>Срочные розничные вклады сроком свыше 1 года, L</w:t>
            </w:r>
            <w:r w:rsidRPr="00802D35">
              <w:rPr>
                <w:rFonts w:ascii="Times New Roman" w:hAnsi="Times New Roman" w:cs="Times New Roman"/>
                <w:color w:val="222222"/>
                <w:sz w:val="24"/>
                <w:szCs w:val="24"/>
                <w:shd w:val="clear" w:color="auto" w:fill="FFFFFF"/>
                <w:vertAlign w:val="subscript"/>
              </w:rPr>
              <w:t>4</w:t>
            </w:r>
          </w:p>
        </w:tc>
      </w:tr>
      <w:tr w:rsidR="00E40DE9" w:rsidRPr="00802D35" w:rsidTr="00E40DE9">
        <w:tc>
          <w:tcPr>
            <w:tcW w:w="2127" w:type="dxa"/>
            <w:vAlign w:val="center"/>
          </w:tcPr>
          <w:p w:rsidR="00E40DE9" w:rsidRPr="00802D35" w:rsidRDefault="00E40DE9" w:rsidP="00E40DE9">
            <w:pPr>
              <w:spacing w:after="0" w:line="240" w:lineRule="auto"/>
              <w:ind w:right="-108"/>
              <w:jc w:val="center"/>
              <w:rPr>
                <w:rFonts w:ascii="Times New Roman" w:hAnsi="Times New Roman" w:cs="Times New Roman"/>
                <w:sz w:val="24"/>
                <w:szCs w:val="24"/>
              </w:rPr>
            </w:pPr>
            <w:r w:rsidRPr="00802D35">
              <w:rPr>
                <w:rFonts w:ascii="Times New Roman" w:hAnsi="Times New Roman" w:cs="Times New Roman"/>
                <w:sz w:val="24"/>
                <w:szCs w:val="24"/>
              </w:rPr>
              <w:t>Инвестиции в ценные бумаги, A</w:t>
            </w:r>
            <w:r w:rsidRPr="00802D35">
              <w:rPr>
                <w:rFonts w:ascii="Times New Roman" w:hAnsi="Times New Roman" w:cs="Times New Roman"/>
                <w:sz w:val="24"/>
                <w:szCs w:val="24"/>
                <w:vertAlign w:val="subscript"/>
              </w:rPr>
              <w:t>1</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2,5</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3,7</w:t>
            </w:r>
          </w:p>
        </w:tc>
        <w:tc>
          <w:tcPr>
            <w:tcW w:w="191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3,5</w:t>
            </w:r>
          </w:p>
        </w:tc>
      </w:tr>
      <w:tr w:rsidR="00E40DE9" w:rsidRPr="00802D35" w:rsidTr="00E40DE9">
        <w:tc>
          <w:tcPr>
            <w:tcW w:w="2127"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Кредиты населению, A</w:t>
            </w:r>
            <w:r w:rsidRPr="00802D35">
              <w:rPr>
                <w:rFonts w:ascii="Times New Roman" w:hAnsi="Times New Roman" w:cs="Times New Roman"/>
                <w:sz w:val="24"/>
                <w:szCs w:val="24"/>
                <w:vertAlign w:val="subscript"/>
              </w:rPr>
              <w:t>2</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2,1</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3,2</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4</w:t>
            </w:r>
          </w:p>
        </w:tc>
        <w:tc>
          <w:tcPr>
            <w:tcW w:w="191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2,8</w:t>
            </w:r>
          </w:p>
        </w:tc>
      </w:tr>
      <w:tr w:rsidR="00E40DE9" w:rsidRPr="00802D35" w:rsidTr="00E40DE9">
        <w:tc>
          <w:tcPr>
            <w:tcW w:w="2127"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Кредиты корпоративным клиентам, A</w:t>
            </w:r>
            <w:r w:rsidRPr="00802D35">
              <w:rPr>
                <w:rFonts w:ascii="Times New Roman" w:hAnsi="Times New Roman" w:cs="Times New Roman"/>
                <w:sz w:val="24"/>
                <w:szCs w:val="24"/>
                <w:vertAlign w:val="subscript"/>
              </w:rPr>
              <w:t>3</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4,1</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3,2</w:t>
            </w:r>
          </w:p>
        </w:tc>
        <w:tc>
          <w:tcPr>
            <w:tcW w:w="191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3,8</w:t>
            </w:r>
          </w:p>
        </w:tc>
      </w:tr>
      <w:tr w:rsidR="00E40DE9" w:rsidRPr="00802D35" w:rsidTr="00E40DE9">
        <w:tc>
          <w:tcPr>
            <w:tcW w:w="2127"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Вложения в недвижимость, A</w:t>
            </w:r>
            <w:r w:rsidRPr="00802D35">
              <w:rPr>
                <w:rFonts w:ascii="Times New Roman" w:hAnsi="Times New Roman" w:cs="Times New Roman"/>
                <w:sz w:val="24"/>
                <w:szCs w:val="24"/>
                <w:vertAlign w:val="subscript"/>
              </w:rPr>
              <w:t>4</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2,2</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3,4</w:t>
            </w:r>
          </w:p>
        </w:tc>
        <w:tc>
          <w:tcPr>
            <w:tcW w:w="1914"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3,8</w:t>
            </w:r>
          </w:p>
        </w:tc>
        <w:tc>
          <w:tcPr>
            <w:tcW w:w="191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3,3</w:t>
            </w:r>
          </w:p>
        </w:tc>
      </w:tr>
      <w:tr w:rsidR="00E40DE9" w:rsidRPr="00802D35" w:rsidTr="00E40DE9">
        <w:tc>
          <w:tcPr>
            <w:tcW w:w="9784" w:type="dxa"/>
            <w:gridSpan w:val="5"/>
          </w:tcPr>
          <w:p w:rsidR="00E40DE9" w:rsidRPr="00802D35" w:rsidRDefault="00E40DE9" w:rsidP="00E40DE9">
            <w:pPr>
              <w:spacing w:after="0" w:line="240" w:lineRule="auto"/>
              <w:rPr>
                <w:rFonts w:ascii="Times New Roman" w:hAnsi="Times New Roman" w:cs="Times New Roman"/>
                <w:sz w:val="24"/>
                <w:szCs w:val="24"/>
              </w:rPr>
            </w:pPr>
            <w:r w:rsidRPr="00802D35">
              <w:rPr>
                <w:rFonts w:ascii="Times New Roman" w:hAnsi="Times New Roman" w:cs="Times New Roman"/>
                <w:sz w:val="24"/>
                <w:szCs w:val="24"/>
              </w:rPr>
              <w:t>Примечание – составлено на основании отчетности банка</w:t>
            </w:r>
          </w:p>
        </w:tc>
      </w:tr>
    </w:tbl>
    <w:p w:rsidR="00E40DE9" w:rsidRPr="00802D35" w:rsidRDefault="00E40DE9" w:rsidP="00E40DE9">
      <w:pPr>
        <w:spacing w:after="0" w:line="240" w:lineRule="auto"/>
        <w:ind w:firstLine="709"/>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Итак, в таблице 16 показана разница стоимости фондирования и стоимости активов, приносящих доход банку в процентном соотношении. При финансировании важно распределить их между соответствующими активами по мере появления ресурсов. При этом не учитывается срочность обязательств и активов банка, а учитываются только процентные расходы и доходы. Таким образом, финансирование направлено на повышение прибыльности операций.</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Следует отметить, что данная матрица отражает поступление привлеченных средств в текущий период времени и возникает задача, куда поступаемые средства фондирования лучше направить в данный момент, исходя из соображений максимизации стоимости актива при минимально возможной стоимости инструмента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sz w:val="28"/>
          <w:szCs w:val="28"/>
          <w:shd w:val="clear" w:color="auto" w:fill="FFFFFF"/>
          <w:lang w:eastAsia="ru-RU"/>
        </w:rPr>
        <w:t xml:space="preserve">Как показывает апробация данного метода в </w:t>
      </w:r>
      <w:r w:rsidRPr="00802D35">
        <w:rPr>
          <w:rFonts w:ascii="Times New Roman" w:hAnsi="Times New Roman" w:cs="Times New Roman"/>
          <w:sz w:val="28"/>
          <w:szCs w:val="28"/>
        </w:rPr>
        <w:t xml:space="preserve">АО Halyk bank, при использовании большего периода времени для моделирования можно получить больше вариантов распределения ресурсов, когда определяется, что например, средства срочных вкладов следует направить на выдачу кредита, а остатки на текущих счетах направить на инвестирование в облигации Минфина РК. Однако, при неоднократном наблюдении при больших периодах снижается возможность определения сумм фондирования, необходимых для распределения, а удерживание этих сумм для более качественного </w:t>
      </w:r>
      <w:r w:rsidRPr="00802D35">
        <w:rPr>
          <w:rFonts w:ascii="Times New Roman" w:hAnsi="Times New Roman" w:cs="Times New Roman"/>
          <w:sz w:val="28"/>
          <w:szCs w:val="28"/>
        </w:rPr>
        <w:lastRenderedPageBreak/>
        <w:t>распределения приводит к риску возникновения запасов фондирования и, следовательно, снижению качества фондирования.</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hAnsi="Times New Roman" w:cs="Times New Roman"/>
          <w:sz w:val="28"/>
          <w:szCs w:val="28"/>
        </w:rPr>
        <w:t xml:space="preserve">Именно поэтому для условий оптимизации берутся в расчет объемы фондирования, поступающие в текущий момент времени и требующие размещения при наличии заявок на кредиты и другие активные операции банка.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Рассмотрим распределение фондирования как игру двух сторон (стоимости активов, приносящих доход и стоимости фондирования), интересы которых противоположны. В этом случае доход от определенного актива равен потере определенного инструмента фондирования. Следует отметить, что существует полная информация о результатах выбора актива или инструмента фондирования.</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Применяя метод Брауна-Робинсона для актива, следует выбрать одну из </w:t>
      </w:r>
      <w:r w:rsidRPr="00802D35">
        <w:rPr>
          <w:rFonts w:ascii="Times New Roman" w:eastAsia="Times New Roman" w:hAnsi="Times New Roman" w:cs="Times New Roman"/>
          <w:i/>
          <w:sz w:val="28"/>
          <w:szCs w:val="28"/>
          <w:shd w:val="clear" w:color="auto" w:fill="FFFFFF"/>
          <w:lang w:eastAsia="ru-RU"/>
        </w:rPr>
        <w:t>n</w:t>
      </w:r>
      <w:r w:rsidRPr="00802D35">
        <w:rPr>
          <w:rFonts w:ascii="Times New Roman" w:eastAsia="Times New Roman" w:hAnsi="Times New Roman" w:cs="Times New Roman"/>
          <w:sz w:val="28"/>
          <w:szCs w:val="28"/>
          <w:shd w:val="clear" w:color="auto" w:fill="FFFFFF"/>
          <w:lang w:eastAsia="ru-RU"/>
        </w:rPr>
        <w:t xml:space="preserve"> строк матрицы эффективности A, а для инструмента фондирования - один из столбцов той же матрицы.</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Прежде всего, проверяем матрицу на наличие седловой точки. Если она имеется, то записываем решение в чистых стратегиях. Суть метода предполагает, что вариант стратегии в матрице выбирается для актива таким образом, чтобы получить максимальный доход, а для инструмента фондирования – наоборот, чтобы снизить его стоимость. В результате получаем следующую матрицу эффективности (таблица 17).</w:t>
      </w: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Таблица 17 - Матрица решений Брауна-Робинсона</w:t>
      </w: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3"/>
        <w:gridCol w:w="1643"/>
      </w:tblGrid>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Показатели </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3</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4</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 = min(A</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3,7</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3,5</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2,5</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3,2</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4</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2,8</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2,1</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3</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2,9</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4,1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3,2</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3,8</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2,9</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4</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2,2</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3,4</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3,8</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3,3</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2,2</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b = max(B</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4,1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4</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3,8</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p>
        </w:tc>
      </w:tr>
      <w:tr w:rsidR="00E40DE9" w:rsidRPr="00802D35" w:rsidTr="00E40DE9">
        <w:tc>
          <w:tcPr>
            <w:tcW w:w="9854" w:type="dxa"/>
            <w:gridSpan w:val="6"/>
          </w:tcPr>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lang w:eastAsia="ru-RU"/>
              </w:rPr>
              <w:t>Примечание – составлено на основании расчетов</w:t>
            </w:r>
          </w:p>
        </w:tc>
      </w:tr>
    </w:tbl>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Определим гарантированную прибыльность, определяемую наименьшей стоимостью a→max(a</w:t>
      </w:r>
      <w:r w:rsidRPr="00802D35">
        <w:rPr>
          <w:rFonts w:ascii="Times New Roman" w:eastAsia="Times New Roman" w:hAnsi="Times New Roman" w:cs="Times New Roman"/>
          <w:sz w:val="28"/>
          <w:szCs w:val="28"/>
          <w:shd w:val="clear" w:color="auto" w:fill="FFFFFF"/>
          <w:vertAlign w:val="subscript"/>
          <w:lang w:eastAsia="ru-RU"/>
        </w:rPr>
        <w:t>i</w:t>
      </w:r>
      <w:r w:rsidRPr="00802D35">
        <w:rPr>
          <w:rFonts w:ascii="Times New Roman" w:eastAsia="Times New Roman" w:hAnsi="Times New Roman" w:cs="Times New Roman"/>
          <w:sz w:val="28"/>
          <w:szCs w:val="28"/>
          <w:shd w:val="clear" w:color="auto" w:fill="FFFFFF"/>
          <w:lang w:eastAsia="ru-RU"/>
        </w:rPr>
        <w:t>), отражающую максимальную чистую стратегию A. При этом, наибольшая экономическая эффективность будет достигнута при b→min(b</w:t>
      </w:r>
      <w:r w:rsidRPr="00802D35">
        <w:rPr>
          <w:rFonts w:ascii="Times New Roman" w:eastAsia="Times New Roman" w:hAnsi="Times New Roman" w:cs="Times New Roman"/>
          <w:sz w:val="28"/>
          <w:szCs w:val="28"/>
          <w:shd w:val="clear" w:color="auto" w:fill="FFFFFF"/>
          <w:vertAlign w:val="subscript"/>
          <w:lang w:eastAsia="ru-RU"/>
        </w:rPr>
        <w:t>j</w:t>
      </w:r>
      <w:r w:rsidRPr="00802D35">
        <w:rPr>
          <w:rFonts w:ascii="Times New Roman" w:eastAsia="Times New Roman" w:hAnsi="Times New Roman" w:cs="Times New Roman"/>
          <w:sz w:val="28"/>
          <w:szCs w:val="28"/>
          <w:shd w:val="clear" w:color="auto" w:fill="FFFFFF"/>
          <w:lang w:eastAsia="ru-RU"/>
        </w:rPr>
        <w:t>).</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При таком построении стратегии седловая точка, обозначенная пересечением 3:1 будет отражать стратегию, находящуюся на пересечении A</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xml:space="preserve"> и L</w:t>
      </w:r>
      <w:r w:rsidRPr="00802D35">
        <w:rPr>
          <w:rFonts w:ascii="Times New Roman" w:eastAsia="Times New Roman" w:hAnsi="Times New Roman" w:cs="Times New Roman"/>
          <w:sz w:val="28"/>
          <w:szCs w:val="28"/>
          <w:shd w:val="clear" w:color="auto" w:fill="FFFFFF"/>
          <w:vertAlign w:val="subscript"/>
          <w:lang w:eastAsia="ru-RU"/>
        </w:rPr>
        <w:t>1</w:t>
      </w:r>
      <w:r w:rsidRPr="00802D35">
        <w:rPr>
          <w:rFonts w:ascii="Times New Roman" w:eastAsia="Times New Roman" w:hAnsi="Times New Roman" w:cs="Times New Roman"/>
          <w:sz w:val="28"/>
          <w:szCs w:val="28"/>
          <w:shd w:val="clear" w:color="auto" w:fill="FFFFFF"/>
          <w:lang w:eastAsia="ru-RU"/>
        </w:rPr>
        <w:t xml:space="preserve">. </w:t>
      </w:r>
    </w:p>
    <w:p w:rsidR="00E40DE9" w:rsidRPr="00802D35" w:rsidRDefault="00E40DE9" w:rsidP="00E40DE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Теперь проверим матрицу на наличие доминирующих строк и доминирующих столбцов. Согласно методу Брауна-Робинсона, стратегия </w:t>
      </w:r>
      <w:r w:rsidRPr="00802D35">
        <w:rPr>
          <w:rFonts w:ascii="Times New Roman" w:eastAsia="Times New Roman" w:hAnsi="Times New Roman" w:cs="Times New Roman"/>
          <w:i/>
          <w:sz w:val="28"/>
          <w:szCs w:val="28"/>
          <w:shd w:val="clear" w:color="auto" w:fill="FFFFFF"/>
          <w:lang w:eastAsia="ru-RU"/>
        </w:rPr>
        <w:t>i</w:t>
      </w:r>
      <w:r w:rsidRPr="00802D35">
        <w:rPr>
          <w:rFonts w:ascii="Times New Roman" w:eastAsia="Times New Roman" w:hAnsi="Times New Roman" w:cs="Times New Roman"/>
          <w:sz w:val="28"/>
          <w:szCs w:val="28"/>
          <w:shd w:val="clear" w:color="auto" w:fill="FFFFFF"/>
          <w:lang w:eastAsia="ru-RU"/>
        </w:rPr>
        <w:t>-го актива доминирует над своей стратегией</w:t>
      </w:r>
      <w:r w:rsidRPr="00802D35">
        <w:rPr>
          <w:rFonts w:ascii="Times New Roman" w:eastAsia="Times New Roman" w:hAnsi="Times New Roman" w:cs="Times New Roman"/>
          <w:i/>
          <w:sz w:val="28"/>
          <w:szCs w:val="28"/>
          <w:shd w:val="clear" w:color="auto" w:fill="FFFFFF"/>
          <w:lang w:eastAsia="ru-RU"/>
        </w:rPr>
        <w:t xml:space="preserve"> k</w:t>
      </w:r>
      <w:r w:rsidRPr="00802D35">
        <w:rPr>
          <w:rFonts w:ascii="Times New Roman" w:eastAsia="Times New Roman" w:hAnsi="Times New Roman" w:cs="Times New Roman"/>
          <w:sz w:val="28"/>
          <w:szCs w:val="28"/>
          <w:shd w:val="clear" w:color="auto" w:fill="FFFFFF"/>
          <w:lang w:eastAsia="ru-RU"/>
        </w:rPr>
        <w:t>, при условии, что a</w:t>
      </w:r>
      <w:r w:rsidRPr="00802D35">
        <w:rPr>
          <w:rFonts w:ascii="Times New Roman" w:eastAsia="Times New Roman" w:hAnsi="Times New Roman" w:cs="Times New Roman"/>
          <w:sz w:val="28"/>
          <w:szCs w:val="28"/>
          <w:shd w:val="clear" w:color="auto" w:fill="FFFFFF"/>
          <w:vertAlign w:val="subscript"/>
          <w:lang w:eastAsia="ru-RU"/>
        </w:rPr>
        <w:t>ij</w:t>
      </w:r>
      <w:r w:rsidRPr="00802D35">
        <w:rPr>
          <w:rFonts w:ascii="Times New Roman" w:eastAsia="Times New Roman" w:hAnsi="Times New Roman" w:cs="Times New Roman"/>
          <w:sz w:val="28"/>
          <w:szCs w:val="28"/>
          <w:shd w:val="clear" w:color="auto" w:fill="FFFFFF"/>
          <w:lang w:eastAsia="ru-RU"/>
        </w:rPr>
        <w:t xml:space="preserve"> ≥ a</w:t>
      </w:r>
      <w:r w:rsidRPr="00802D35">
        <w:rPr>
          <w:rFonts w:ascii="Times New Roman" w:eastAsia="Times New Roman" w:hAnsi="Times New Roman" w:cs="Times New Roman"/>
          <w:sz w:val="28"/>
          <w:szCs w:val="28"/>
          <w:shd w:val="clear" w:color="auto" w:fill="FFFFFF"/>
          <w:vertAlign w:val="subscript"/>
          <w:lang w:eastAsia="ru-RU"/>
        </w:rPr>
        <w:t>kj</w:t>
      </w:r>
      <w:r w:rsidRPr="00802D35">
        <w:rPr>
          <w:rFonts w:ascii="Times New Roman" w:eastAsia="Times New Roman" w:hAnsi="Times New Roman" w:cs="Times New Roman"/>
          <w:sz w:val="28"/>
          <w:szCs w:val="28"/>
          <w:shd w:val="clear" w:color="auto" w:fill="FFFFFF"/>
          <w:lang w:eastAsia="ru-RU"/>
        </w:rPr>
        <w:t xml:space="preserve"> при всех ситуациях, когда </w:t>
      </w:r>
      <m:oMath>
        <m:r>
          <w:rPr>
            <w:rFonts w:ascii="Cambria Math" w:eastAsia="Times New Roman" w:hAnsi="Cambria Math" w:cs="Times New Roman"/>
            <w:sz w:val="28"/>
            <w:szCs w:val="28"/>
            <w:shd w:val="clear" w:color="auto" w:fill="FFFFFF"/>
            <w:lang w:eastAsia="ru-RU"/>
          </w:rPr>
          <m:t>j∈N</m:t>
        </m:r>
      </m:oMath>
      <w:r w:rsidRPr="00802D35">
        <w:rPr>
          <w:rFonts w:ascii="Times New Roman" w:eastAsia="Times New Roman" w:hAnsi="Times New Roman" w:cs="Times New Roman"/>
          <w:sz w:val="28"/>
          <w:szCs w:val="28"/>
          <w:shd w:val="clear" w:color="auto" w:fill="FFFFFF"/>
          <w:lang w:eastAsia="ru-RU"/>
        </w:rPr>
        <w:t xml:space="preserve"> и наличии хотя бы одного случая, когда </w:t>
      </w:r>
      <w:r w:rsidRPr="00802D35">
        <w:rPr>
          <w:rFonts w:ascii="Times New Roman" w:eastAsia="Times New Roman" w:hAnsi="Times New Roman" w:cs="Times New Roman"/>
          <w:i/>
          <w:sz w:val="28"/>
          <w:szCs w:val="28"/>
          <w:shd w:val="clear" w:color="auto" w:fill="FFFFFF"/>
          <w:lang w:eastAsia="ru-RU"/>
        </w:rPr>
        <w:t xml:space="preserve">j </w:t>
      </w:r>
      <w:r w:rsidRPr="00802D35">
        <w:rPr>
          <w:rFonts w:ascii="Times New Roman" w:eastAsia="Times New Roman" w:hAnsi="Times New Roman" w:cs="Times New Roman"/>
          <w:sz w:val="28"/>
          <w:szCs w:val="28"/>
          <w:shd w:val="clear" w:color="auto" w:fill="FFFFFF"/>
          <w:lang w:eastAsia="ru-RU"/>
        </w:rPr>
        <w:t>равно</w:t>
      </w:r>
      <w:r w:rsidRPr="00802D35">
        <w:rPr>
          <w:rFonts w:ascii="Times New Roman" w:eastAsia="Times New Roman" w:hAnsi="Times New Roman" w:cs="Times New Roman"/>
          <w:i/>
          <w:sz w:val="28"/>
          <w:szCs w:val="28"/>
          <w:shd w:val="clear" w:color="auto" w:fill="FFFFFF"/>
          <w:lang w:eastAsia="ru-RU"/>
        </w:rPr>
        <w:t xml:space="preserve"> </w:t>
      </w:r>
      <w:r w:rsidRPr="00802D35">
        <w:rPr>
          <w:rFonts w:ascii="Times New Roman" w:eastAsia="Times New Roman" w:hAnsi="Times New Roman" w:cs="Times New Roman"/>
          <w:sz w:val="28"/>
          <w:szCs w:val="28"/>
          <w:shd w:val="clear" w:color="auto" w:fill="FFFFFF"/>
          <w:lang w:eastAsia="ru-RU"/>
        </w:rPr>
        <w:t>a</w:t>
      </w:r>
      <w:r w:rsidRPr="00802D35">
        <w:rPr>
          <w:rFonts w:ascii="Times New Roman" w:eastAsia="Times New Roman" w:hAnsi="Times New Roman" w:cs="Times New Roman"/>
          <w:sz w:val="28"/>
          <w:szCs w:val="28"/>
          <w:shd w:val="clear" w:color="auto" w:fill="FFFFFF"/>
          <w:vertAlign w:val="subscript"/>
          <w:lang w:eastAsia="ru-RU"/>
        </w:rPr>
        <w:t>ij</w:t>
      </w:r>
      <w:r w:rsidRPr="00802D35">
        <w:rPr>
          <w:rFonts w:ascii="Times New Roman" w:eastAsia="Times New Roman" w:hAnsi="Times New Roman" w:cs="Times New Roman"/>
          <w:sz w:val="28"/>
          <w:szCs w:val="28"/>
          <w:shd w:val="clear" w:color="auto" w:fill="FFFFFF"/>
          <w:lang w:eastAsia="ru-RU"/>
        </w:rPr>
        <w:t xml:space="preserve"> ≥ a</w:t>
      </w:r>
      <w:r w:rsidRPr="00802D35">
        <w:rPr>
          <w:rFonts w:ascii="Times New Roman" w:eastAsia="Times New Roman" w:hAnsi="Times New Roman" w:cs="Times New Roman"/>
          <w:sz w:val="28"/>
          <w:szCs w:val="28"/>
          <w:shd w:val="clear" w:color="auto" w:fill="FFFFFF"/>
          <w:vertAlign w:val="subscript"/>
          <w:lang w:eastAsia="ru-RU"/>
        </w:rPr>
        <w:t>kj</w:t>
      </w:r>
      <w:r w:rsidRPr="00802D35">
        <w:rPr>
          <w:rFonts w:ascii="Times New Roman" w:eastAsia="Times New Roman" w:hAnsi="Times New Roman" w:cs="Times New Roman"/>
          <w:sz w:val="28"/>
          <w:szCs w:val="28"/>
          <w:shd w:val="clear" w:color="auto" w:fill="FFFFFF"/>
          <w:lang w:eastAsia="ru-RU"/>
        </w:rPr>
        <w:t xml:space="preserve">. При таком положении дел стратегия </w:t>
      </w:r>
      <w:r w:rsidRPr="00802D35">
        <w:rPr>
          <w:rFonts w:ascii="Times New Roman" w:eastAsia="Times New Roman" w:hAnsi="Times New Roman" w:cs="Times New Roman"/>
          <w:i/>
          <w:sz w:val="28"/>
          <w:szCs w:val="28"/>
          <w:shd w:val="clear" w:color="auto" w:fill="FFFFFF"/>
          <w:lang w:eastAsia="ru-RU"/>
        </w:rPr>
        <w:t>i</w:t>
      </w:r>
      <w:r w:rsidRPr="00802D35">
        <w:rPr>
          <w:rFonts w:ascii="Times New Roman" w:eastAsia="Times New Roman" w:hAnsi="Times New Roman" w:cs="Times New Roman"/>
          <w:sz w:val="28"/>
          <w:szCs w:val="28"/>
          <w:shd w:val="clear" w:color="auto" w:fill="FFFFFF"/>
          <w:lang w:eastAsia="ru-RU"/>
        </w:rPr>
        <w:t xml:space="preserve"> будет доминирующей по отношению к стартегии </w:t>
      </w:r>
      <w:r w:rsidRPr="00802D35">
        <w:rPr>
          <w:rFonts w:ascii="Times New Roman" w:eastAsia="Times New Roman" w:hAnsi="Times New Roman" w:cs="Times New Roman"/>
          <w:i/>
          <w:sz w:val="28"/>
          <w:szCs w:val="28"/>
          <w:shd w:val="clear" w:color="auto" w:fill="FFFFFF"/>
          <w:lang w:eastAsia="ru-RU"/>
        </w:rPr>
        <w:t>k</w:t>
      </w:r>
      <w:r w:rsidRPr="00802D35">
        <w:rPr>
          <w:rFonts w:ascii="Times New Roman" w:eastAsia="Times New Roman" w:hAnsi="Times New Roman" w:cs="Times New Roman"/>
          <w:sz w:val="28"/>
          <w:szCs w:val="28"/>
          <w:shd w:val="clear" w:color="auto" w:fill="FFFFFF"/>
          <w:lang w:eastAsia="ru-RU"/>
        </w:rPr>
        <w:t xml:space="preserve">, а стратегия </w:t>
      </w:r>
      <w:r w:rsidRPr="00802D35">
        <w:rPr>
          <w:rFonts w:ascii="Times New Roman" w:eastAsia="Times New Roman" w:hAnsi="Times New Roman" w:cs="Times New Roman"/>
          <w:i/>
          <w:sz w:val="28"/>
          <w:szCs w:val="28"/>
          <w:shd w:val="clear" w:color="auto" w:fill="FFFFFF"/>
          <w:lang w:eastAsia="ru-RU"/>
        </w:rPr>
        <w:t>k</w:t>
      </w:r>
      <w:r w:rsidRPr="00802D35">
        <w:rPr>
          <w:rFonts w:ascii="Times New Roman" w:eastAsia="Times New Roman" w:hAnsi="Times New Roman" w:cs="Times New Roman"/>
          <w:sz w:val="28"/>
          <w:szCs w:val="28"/>
          <w:shd w:val="clear" w:color="auto" w:fill="FFFFFF"/>
          <w:lang w:eastAsia="ru-RU"/>
        </w:rPr>
        <w:t xml:space="preserve"> будет доминируемой.</w:t>
      </w:r>
    </w:p>
    <w:p w:rsidR="00E40DE9" w:rsidRPr="00802D35" w:rsidRDefault="00E40DE9" w:rsidP="00E40DE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lastRenderedPageBreak/>
        <w:t>Аналогично  стратегия</w:t>
      </w:r>
      <w:r w:rsidRPr="00802D35">
        <w:rPr>
          <w:rFonts w:ascii="Times New Roman" w:eastAsia="Times New Roman" w:hAnsi="Times New Roman" w:cs="Times New Roman"/>
          <w:i/>
          <w:sz w:val="28"/>
          <w:szCs w:val="28"/>
          <w:shd w:val="clear" w:color="auto" w:fill="FFFFFF"/>
          <w:lang w:eastAsia="ru-RU"/>
        </w:rPr>
        <w:t xml:space="preserve"> j</w:t>
      </w:r>
      <w:r w:rsidRPr="00802D35">
        <w:rPr>
          <w:rFonts w:ascii="Times New Roman" w:eastAsia="Times New Roman" w:hAnsi="Times New Roman" w:cs="Times New Roman"/>
          <w:sz w:val="28"/>
          <w:szCs w:val="28"/>
          <w:shd w:val="clear" w:color="auto" w:fill="FFFFFF"/>
          <w:lang w:eastAsia="ru-RU"/>
        </w:rPr>
        <w:t xml:space="preserve"> инструмента фондирования доминирует над его стратегией </w:t>
      </w:r>
      <w:r w:rsidRPr="00802D35">
        <w:rPr>
          <w:rFonts w:ascii="Times New Roman" w:eastAsia="Times New Roman" w:hAnsi="Times New Roman" w:cs="Times New Roman"/>
          <w:i/>
          <w:sz w:val="28"/>
          <w:szCs w:val="28"/>
          <w:shd w:val="clear" w:color="auto" w:fill="FFFFFF"/>
          <w:lang w:eastAsia="ru-RU"/>
        </w:rPr>
        <w:t>l</w:t>
      </w:r>
      <w:r w:rsidRPr="00802D35">
        <w:rPr>
          <w:rFonts w:ascii="Times New Roman" w:eastAsia="Times New Roman" w:hAnsi="Times New Roman" w:cs="Times New Roman"/>
          <w:sz w:val="28"/>
          <w:szCs w:val="28"/>
          <w:shd w:val="clear" w:color="auto" w:fill="FFFFFF"/>
          <w:lang w:eastAsia="ru-RU"/>
        </w:rPr>
        <w:t>, при условии, что a</w:t>
      </w:r>
      <w:r w:rsidRPr="00802D35">
        <w:rPr>
          <w:rFonts w:ascii="Times New Roman" w:eastAsia="Times New Roman" w:hAnsi="Times New Roman" w:cs="Times New Roman"/>
          <w:sz w:val="28"/>
          <w:szCs w:val="28"/>
          <w:shd w:val="clear" w:color="auto" w:fill="FFFFFF"/>
          <w:vertAlign w:val="subscript"/>
          <w:lang w:eastAsia="ru-RU"/>
        </w:rPr>
        <w:t>ij</w:t>
      </w:r>
      <w:r w:rsidRPr="00802D35">
        <w:rPr>
          <w:rFonts w:ascii="Times New Roman" w:eastAsia="Times New Roman" w:hAnsi="Times New Roman" w:cs="Times New Roman"/>
          <w:sz w:val="28"/>
          <w:szCs w:val="28"/>
          <w:shd w:val="clear" w:color="auto" w:fill="FFFFFF"/>
          <w:lang w:eastAsia="ru-RU"/>
        </w:rPr>
        <w:t xml:space="preserve"> ≥ a</w:t>
      </w:r>
      <w:r w:rsidRPr="00802D35">
        <w:rPr>
          <w:rFonts w:ascii="Times New Roman" w:eastAsia="Times New Roman" w:hAnsi="Times New Roman" w:cs="Times New Roman"/>
          <w:sz w:val="28"/>
          <w:szCs w:val="28"/>
          <w:shd w:val="clear" w:color="auto" w:fill="FFFFFF"/>
          <w:vertAlign w:val="subscript"/>
          <w:lang w:eastAsia="ru-RU"/>
        </w:rPr>
        <w:t>kj</w:t>
      </w:r>
      <w:r w:rsidRPr="00802D35">
        <w:rPr>
          <w:rFonts w:ascii="Times New Roman" w:eastAsia="Times New Roman" w:hAnsi="Times New Roman" w:cs="Times New Roman"/>
          <w:sz w:val="28"/>
          <w:szCs w:val="28"/>
          <w:shd w:val="clear" w:color="auto" w:fill="FFFFFF"/>
          <w:lang w:eastAsia="ru-RU"/>
        </w:rPr>
        <w:t xml:space="preserve"> при всех ситуациях, когда </w:t>
      </w:r>
      <m:oMath>
        <m:r>
          <w:rPr>
            <w:rFonts w:ascii="Cambria Math" w:eastAsia="Times New Roman" w:hAnsi="Cambria Math" w:cs="Times New Roman"/>
            <w:sz w:val="28"/>
            <w:szCs w:val="28"/>
            <w:shd w:val="clear" w:color="auto" w:fill="FFFFFF"/>
            <w:lang w:eastAsia="ru-RU"/>
          </w:rPr>
          <m:t>j∈M</m:t>
        </m:r>
      </m:oMath>
      <w:r w:rsidRPr="00802D35">
        <w:rPr>
          <w:rFonts w:ascii="Times New Roman" w:eastAsia="Times New Roman" w:hAnsi="Times New Roman" w:cs="Times New Roman"/>
          <w:sz w:val="28"/>
          <w:szCs w:val="28"/>
          <w:shd w:val="clear" w:color="auto" w:fill="FFFFFF"/>
          <w:lang w:eastAsia="ru-RU"/>
        </w:rPr>
        <w:t xml:space="preserve"> и наличии хотя бы одного случая, когда </w:t>
      </w:r>
      <w:r w:rsidRPr="00802D35">
        <w:rPr>
          <w:rFonts w:ascii="Times New Roman" w:eastAsia="Times New Roman" w:hAnsi="Times New Roman" w:cs="Times New Roman"/>
          <w:i/>
          <w:sz w:val="28"/>
          <w:szCs w:val="28"/>
          <w:shd w:val="clear" w:color="auto" w:fill="FFFFFF"/>
          <w:lang w:eastAsia="ru-RU"/>
        </w:rPr>
        <w:t xml:space="preserve">j </w:t>
      </w:r>
      <w:r w:rsidRPr="00802D35">
        <w:rPr>
          <w:rFonts w:ascii="Times New Roman" w:eastAsia="Times New Roman" w:hAnsi="Times New Roman" w:cs="Times New Roman"/>
          <w:sz w:val="28"/>
          <w:szCs w:val="28"/>
          <w:shd w:val="clear" w:color="auto" w:fill="FFFFFF"/>
          <w:lang w:eastAsia="ru-RU"/>
        </w:rPr>
        <w:t>равно</w:t>
      </w:r>
      <w:r w:rsidRPr="00802D35">
        <w:rPr>
          <w:rFonts w:ascii="Times New Roman" w:eastAsia="Times New Roman" w:hAnsi="Times New Roman" w:cs="Times New Roman"/>
          <w:i/>
          <w:sz w:val="28"/>
          <w:szCs w:val="28"/>
          <w:shd w:val="clear" w:color="auto" w:fill="FFFFFF"/>
          <w:lang w:eastAsia="ru-RU"/>
        </w:rPr>
        <w:t xml:space="preserve"> </w:t>
      </w:r>
      <w:r w:rsidRPr="00802D35">
        <w:rPr>
          <w:rFonts w:ascii="Times New Roman" w:eastAsia="Times New Roman" w:hAnsi="Times New Roman" w:cs="Times New Roman"/>
          <w:sz w:val="28"/>
          <w:szCs w:val="28"/>
          <w:shd w:val="clear" w:color="auto" w:fill="FFFFFF"/>
          <w:lang w:eastAsia="ru-RU"/>
        </w:rPr>
        <w:t>a</w:t>
      </w:r>
      <w:r w:rsidRPr="00802D35">
        <w:rPr>
          <w:rFonts w:ascii="Times New Roman" w:eastAsia="Times New Roman" w:hAnsi="Times New Roman" w:cs="Times New Roman"/>
          <w:sz w:val="28"/>
          <w:szCs w:val="28"/>
          <w:shd w:val="clear" w:color="auto" w:fill="FFFFFF"/>
          <w:vertAlign w:val="subscript"/>
          <w:lang w:eastAsia="ru-RU"/>
        </w:rPr>
        <w:t>ij</w:t>
      </w:r>
      <w:r w:rsidRPr="00802D35">
        <w:rPr>
          <w:rFonts w:ascii="Times New Roman" w:eastAsia="Times New Roman" w:hAnsi="Times New Roman" w:cs="Times New Roman"/>
          <w:sz w:val="28"/>
          <w:szCs w:val="28"/>
          <w:shd w:val="clear" w:color="auto" w:fill="FFFFFF"/>
          <w:lang w:eastAsia="ru-RU"/>
        </w:rPr>
        <w:t xml:space="preserve"> ≥ a</w:t>
      </w:r>
      <w:r w:rsidRPr="00802D35">
        <w:rPr>
          <w:rFonts w:ascii="Times New Roman" w:eastAsia="Times New Roman" w:hAnsi="Times New Roman" w:cs="Times New Roman"/>
          <w:sz w:val="28"/>
          <w:szCs w:val="28"/>
          <w:shd w:val="clear" w:color="auto" w:fill="FFFFFF"/>
          <w:vertAlign w:val="subscript"/>
          <w:lang w:eastAsia="ru-RU"/>
        </w:rPr>
        <w:t>kj</w:t>
      </w:r>
      <w:r w:rsidRPr="00802D35">
        <w:rPr>
          <w:rFonts w:ascii="Times New Roman" w:eastAsia="Times New Roman" w:hAnsi="Times New Roman" w:cs="Times New Roman"/>
          <w:sz w:val="28"/>
          <w:szCs w:val="28"/>
          <w:shd w:val="clear" w:color="auto" w:fill="FFFFFF"/>
          <w:lang w:eastAsia="ru-RU"/>
        </w:rPr>
        <w:t xml:space="preserve">. При таком положении дел стратегия </w:t>
      </w:r>
      <w:r w:rsidRPr="00802D35">
        <w:rPr>
          <w:rFonts w:ascii="Times New Roman" w:eastAsia="Times New Roman" w:hAnsi="Times New Roman" w:cs="Times New Roman"/>
          <w:i/>
          <w:sz w:val="28"/>
          <w:szCs w:val="28"/>
          <w:shd w:val="clear" w:color="auto" w:fill="FFFFFF"/>
          <w:lang w:eastAsia="ru-RU"/>
        </w:rPr>
        <w:t>j</w:t>
      </w:r>
      <w:r w:rsidRPr="00802D35">
        <w:rPr>
          <w:rFonts w:ascii="Times New Roman" w:eastAsia="Times New Roman" w:hAnsi="Times New Roman" w:cs="Times New Roman"/>
          <w:sz w:val="28"/>
          <w:szCs w:val="28"/>
          <w:shd w:val="clear" w:color="auto" w:fill="FFFFFF"/>
          <w:lang w:eastAsia="ru-RU"/>
        </w:rPr>
        <w:t xml:space="preserve"> будет доминирующей по отношению к стартегии </w:t>
      </w:r>
      <w:r w:rsidRPr="00802D35">
        <w:rPr>
          <w:rFonts w:ascii="Times New Roman" w:eastAsia="Times New Roman" w:hAnsi="Times New Roman" w:cs="Times New Roman"/>
          <w:i/>
          <w:sz w:val="28"/>
          <w:szCs w:val="28"/>
          <w:shd w:val="clear" w:color="auto" w:fill="FFFFFF"/>
          <w:lang w:eastAsia="ru-RU"/>
        </w:rPr>
        <w:t>l</w:t>
      </w:r>
      <w:r w:rsidRPr="00802D35">
        <w:rPr>
          <w:rFonts w:ascii="Times New Roman" w:eastAsia="Times New Roman" w:hAnsi="Times New Roman" w:cs="Times New Roman"/>
          <w:sz w:val="28"/>
          <w:szCs w:val="28"/>
          <w:shd w:val="clear" w:color="auto" w:fill="FFFFFF"/>
          <w:lang w:eastAsia="ru-RU"/>
        </w:rPr>
        <w:t xml:space="preserve">, а стратегия </w:t>
      </w:r>
      <w:r w:rsidRPr="00802D35">
        <w:rPr>
          <w:rFonts w:ascii="Times New Roman" w:eastAsia="Times New Roman" w:hAnsi="Times New Roman" w:cs="Times New Roman"/>
          <w:i/>
          <w:sz w:val="28"/>
          <w:szCs w:val="28"/>
          <w:shd w:val="clear" w:color="auto" w:fill="FFFFFF"/>
          <w:lang w:eastAsia="ru-RU"/>
        </w:rPr>
        <w:t xml:space="preserve">l </w:t>
      </w:r>
      <w:r w:rsidRPr="00802D35">
        <w:rPr>
          <w:rFonts w:ascii="Times New Roman" w:eastAsia="Times New Roman" w:hAnsi="Times New Roman" w:cs="Times New Roman"/>
          <w:sz w:val="28"/>
          <w:szCs w:val="28"/>
          <w:shd w:val="clear" w:color="auto" w:fill="FFFFFF"/>
          <w:lang w:eastAsia="ru-RU"/>
        </w:rPr>
        <w:t>будет доминируемой.</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С позиции доходности по инструментам фондирования стратегия L</w:t>
      </w:r>
      <w:r w:rsidRPr="00802D35">
        <w:rPr>
          <w:rFonts w:ascii="Times New Roman" w:eastAsia="Times New Roman" w:hAnsi="Times New Roman" w:cs="Times New Roman"/>
          <w:sz w:val="28"/>
          <w:szCs w:val="28"/>
          <w:shd w:val="clear" w:color="auto" w:fill="FFFFFF"/>
          <w:vertAlign w:val="subscript"/>
          <w:lang w:eastAsia="ru-RU"/>
        </w:rPr>
        <w:t>1</w:t>
      </w:r>
      <w:r w:rsidRPr="00802D35">
        <w:rPr>
          <w:rFonts w:ascii="Times New Roman" w:eastAsia="Times New Roman" w:hAnsi="Times New Roman" w:cs="Times New Roman"/>
          <w:sz w:val="28"/>
          <w:szCs w:val="28"/>
          <w:shd w:val="clear" w:color="auto" w:fill="FFFFFF"/>
          <w:lang w:eastAsia="ru-RU"/>
        </w:rPr>
        <w:t xml:space="preserve"> является более предпочитаемой, чем стратегия L</w:t>
      </w:r>
      <w:r w:rsidRPr="00802D35">
        <w:rPr>
          <w:rFonts w:ascii="Times New Roman" w:eastAsia="Times New Roman" w:hAnsi="Times New Roman" w:cs="Times New Roman"/>
          <w:sz w:val="28"/>
          <w:szCs w:val="28"/>
          <w:shd w:val="clear" w:color="auto" w:fill="FFFFFF"/>
          <w:vertAlign w:val="subscript"/>
          <w:lang w:eastAsia="ru-RU"/>
        </w:rPr>
        <w:t>2</w:t>
      </w:r>
      <w:r w:rsidRPr="00802D35">
        <w:rPr>
          <w:rFonts w:ascii="Times New Roman" w:eastAsia="Times New Roman" w:hAnsi="Times New Roman" w:cs="Times New Roman"/>
          <w:sz w:val="28"/>
          <w:szCs w:val="28"/>
          <w:shd w:val="clear" w:color="auto" w:fill="FFFFFF"/>
          <w:lang w:eastAsia="ru-RU"/>
        </w:rPr>
        <w:t xml:space="preserve">. Это исходит из того, что каждый элемент первого столбца менее по значениям второго столбца, в результате чего второй столбец матрицы должен быть исключен.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Рассматривая с позиции убытка по инструментам фондирования стратегия L</w:t>
      </w:r>
      <w:r w:rsidRPr="00802D35">
        <w:rPr>
          <w:rFonts w:ascii="Times New Roman" w:eastAsia="Times New Roman" w:hAnsi="Times New Roman" w:cs="Times New Roman"/>
          <w:sz w:val="28"/>
          <w:szCs w:val="28"/>
          <w:shd w:val="clear" w:color="auto" w:fill="FFFFFF"/>
          <w:vertAlign w:val="subscript"/>
          <w:lang w:eastAsia="ru-RU"/>
        </w:rPr>
        <w:t>1</w:t>
      </w:r>
      <w:r w:rsidRPr="00802D35">
        <w:rPr>
          <w:rFonts w:ascii="Times New Roman" w:eastAsia="Times New Roman" w:hAnsi="Times New Roman" w:cs="Times New Roman"/>
          <w:sz w:val="28"/>
          <w:szCs w:val="28"/>
          <w:shd w:val="clear" w:color="auto" w:fill="FFFFFF"/>
          <w:lang w:eastAsia="ru-RU"/>
        </w:rPr>
        <w:t xml:space="preserve"> превосходит стратегию L</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xml:space="preserve"> то есть каждый элемент первого столбца меньше элементов третьего столбца, поэтому третий столбец матрицы исключается.</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В результате получается, что стратегия A</w:t>
      </w:r>
      <w:r w:rsidRPr="00802D35">
        <w:rPr>
          <w:rFonts w:ascii="Times New Roman" w:eastAsia="Times New Roman" w:hAnsi="Times New Roman" w:cs="Times New Roman"/>
          <w:sz w:val="28"/>
          <w:szCs w:val="28"/>
          <w:shd w:val="clear" w:color="auto" w:fill="FFFFFF"/>
          <w:vertAlign w:val="subscript"/>
          <w:lang w:eastAsia="ru-RU"/>
        </w:rPr>
        <w:t>1</w:t>
      </w:r>
      <w:r w:rsidRPr="00802D35">
        <w:rPr>
          <w:rFonts w:ascii="Times New Roman" w:eastAsia="Times New Roman" w:hAnsi="Times New Roman" w:cs="Times New Roman"/>
          <w:sz w:val="28"/>
          <w:szCs w:val="28"/>
          <w:shd w:val="clear" w:color="auto" w:fill="FFFFFF"/>
          <w:lang w:eastAsia="ru-RU"/>
        </w:rPr>
        <w:t xml:space="preserve"> превосходит стратегию A</w:t>
      </w:r>
      <w:r w:rsidRPr="00802D35">
        <w:rPr>
          <w:rFonts w:ascii="Times New Roman" w:eastAsia="Times New Roman" w:hAnsi="Times New Roman" w:cs="Times New Roman"/>
          <w:sz w:val="28"/>
          <w:szCs w:val="28"/>
          <w:shd w:val="clear" w:color="auto" w:fill="FFFFFF"/>
          <w:vertAlign w:val="subscript"/>
          <w:lang w:eastAsia="ru-RU"/>
        </w:rPr>
        <w:t>2</w:t>
      </w:r>
      <w:r w:rsidRPr="00802D35">
        <w:rPr>
          <w:rFonts w:ascii="Times New Roman" w:eastAsia="Times New Roman" w:hAnsi="Times New Roman" w:cs="Times New Roman"/>
          <w:sz w:val="28"/>
          <w:szCs w:val="28"/>
          <w:shd w:val="clear" w:color="auto" w:fill="FFFFFF"/>
          <w:lang w:eastAsia="ru-RU"/>
        </w:rPr>
        <w:t xml:space="preserve">, поскольку каждый элемент первого столбца больше или равен показателям и значениям второй строки. В результате вторая строка матрицы рисков также подлежит исключению.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Поскольку стратегия A</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xml:space="preserve"> превосходит стратегию A</w:t>
      </w:r>
      <w:r w:rsidRPr="00802D35">
        <w:rPr>
          <w:rFonts w:ascii="Times New Roman" w:eastAsia="Times New Roman" w:hAnsi="Times New Roman" w:cs="Times New Roman"/>
          <w:sz w:val="28"/>
          <w:szCs w:val="28"/>
          <w:shd w:val="clear" w:color="auto" w:fill="FFFFFF"/>
          <w:vertAlign w:val="subscript"/>
          <w:lang w:eastAsia="ru-RU"/>
        </w:rPr>
        <w:t>1</w:t>
      </w:r>
      <w:r w:rsidRPr="00802D35">
        <w:rPr>
          <w:rFonts w:ascii="Times New Roman" w:eastAsia="Times New Roman" w:hAnsi="Times New Roman" w:cs="Times New Roman"/>
          <w:sz w:val="28"/>
          <w:szCs w:val="28"/>
          <w:shd w:val="clear" w:color="auto" w:fill="FFFFFF"/>
          <w:lang w:eastAsia="ru-RU"/>
        </w:rPr>
        <w:t xml:space="preserve">, поскольку каждый элемент третьей строки больше или равны показателям и значениям первой строки. В результате первая строка матрицы рисков также подлежит исключению.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Во всех рассматриваемых вариантах стратегий противоположные уровни вероятности всегда равны 0. Таким образом, исключается вероятность возникновения противоположного действия.</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В результате получаем решения для стратегий (таблица 18).</w:t>
      </w: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Таблица 18 - Решения после исключения доминирующих активов и инструментов фондирования</w:t>
      </w: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275"/>
        <w:gridCol w:w="1241"/>
      </w:tblGrid>
      <w:tr w:rsidR="00E40DE9" w:rsidRPr="00802D35" w:rsidTr="00E40DE9">
        <w:tc>
          <w:tcPr>
            <w:tcW w:w="7338"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Показатели  </w:t>
            </w:r>
          </w:p>
        </w:tc>
        <w:tc>
          <w:tcPr>
            <w:tcW w:w="1275"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1</w:t>
            </w:r>
          </w:p>
        </w:tc>
        <w:tc>
          <w:tcPr>
            <w:tcW w:w="1241"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4</w:t>
            </w:r>
          </w:p>
        </w:tc>
      </w:tr>
      <w:tr w:rsidR="00E40DE9" w:rsidRPr="00802D35" w:rsidTr="00E40DE9">
        <w:tc>
          <w:tcPr>
            <w:tcW w:w="7338"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3</w:t>
            </w:r>
          </w:p>
        </w:tc>
        <w:tc>
          <w:tcPr>
            <w:tcW w:w="1275"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2,9</w:t>
            </w:r>
          </w:p>
        </w:tc>
        <w:tc>
          <w:tcPr>
            <w:tcW w:w="1241"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3,8</w:t>
            </w:r>
          </w:p>
        </w:tc>
      </w:tr>
      <w:tr w:rsidR="00E40DE9" w:rsidRPr="00802D35" w:rsidTr="00E40DE9">
        <w:tc>
          <w:tcPr>
            <w:tcW w:w="7338"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4</w:t>
            </w:r>
          </w:p>
        </w:tc>
        <w:tc>
          <w:tcPr>
            <w:tcW w:w="1275"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2,2</w:t>
            </w:r>
          </w:p>
        </w:tc>
        <w:tc>
          <w:tcPr>
            <w:tcW w:w="1241"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3,3</w:t>
            </w:r>
          </w:p>
        </w:tc>
      </w:tr>
      <w:tr w:rsidR="00E40DE9" w:rsidRPr="00802D35" w:rsidTr="00E40DE9">
        <w:tc>
          <w:tcPr>
            <w:tcW w:w="9854" w:type="dxa"/>
            <w:gridSpan w:val="3"/>
          </w:tcPr>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lang w:eastAsia="ru-RU"/>
              </w:rPr>
              <w:t>Примечание – составлено на основании расчетов</w:t>
            </w:r>
          </w:p>
        </w:tc>
      </w:tr>
    </w:tbl>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В результате уменьшения матрицы 4 x 4 до матрицы 2 x 2 можно перейти к решению геометрическим способом. В результате по стороне абсцисс будет отражаться разница между стратегиями А1 и А2. Причем левая точка соответствует стратегии А1, при которой x = 0, а правая точка отрезка будет соответствовать стратегии А2, при которой x = 1. Между точками 0 и 1 возникают различные варианты смешанных стратегий, которые возможные к рассмотрению, но не обеспечивают максимальной эффективности и оптимального результата.</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Теперь рассмотрим ось ординат. На ней отражаются полученные выигрыши при применении стратегий А1 и А2. Точка 2х2 отражает выигрыш с позиции активов при учете стратегии максимизации-минимизации. Следует </w:t>
      </w:r>
      <w:r w:rsidRPr="00802D35">
        <w:rPr>
          <w:rFonts w:ascii="Times New Roman" w:eastAsia="Times New Roman" w:hAnsi="Times New Roman" w:cs="Times New Roman"/>
          <w:sz w:val="28"/>
          <w:szCs w:val="28"/>
          <w:shd w:val="clear" w:color="auto" w:fill="FFFFFF"/>
          <w:lang w:eastAsia="ru-RU"/>
        </w:rPr>
        <w:lastRenderedPageBreak/>
        <w:t>отметить, что ни активы, ни инструменты фондирования не имеют доминирующих и повторяющихся стратегий. Максимально оптимальной стратегией будет точка N, которая отражает следующую систему уравнений (рисунок 40):</w:t>
      </w:r>
    </w:p>
    <w:p w:rsidR="00E40DE9" w:rsidRPr="00802D35" w:rsidRDefault="005368DA"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simplePos x="0" y="0"/>
                <wp:positionH relativeFrom="column">
                  <wp:posOffset>203200</wp:posOffset>
                </wp:positionH>
                <wp:positionV relativeFrom="paragraph">
                  <wp:posOffset>17145</wp:posOffset>
                </wp:positionV>
                <wp:extent cx="83820" cy="579120"/>
                <wp:effectExtent l="0" t="0" r="11430" b="11430"/>
                <wp:wrapNone/>
                <wp:docPr id="414" name="Левая фигурная скобка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57912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14" o:spid="_x0000_s1026" type="#_x0000_t87" style="position:absolute;margin-left:16pt;margin-top:1.35pt;width:6.6pt;height:45.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" adj="261" strokecolor="black [3040]"/>
            </w:pict>
          </mc:Fallback>
        </mc:AlternateContent>
      </w:r>
      <w:r w:rsidR="00E40DE9" w:rsidRPr="00802D35">
        <w:rPr>
          <w:rFonts w:ascii="Times New Roman" w:eastAsia="Times New Roman" w:hAnsi="Times New Roman" w:cs="Times New Roman"/>
          <w:sz w:val="28"/>
          <w:szCs w:val="28"/>
          <w:shd w:val="clear" w:color="auto" w:fill="FFFFFF"/>
          <w:lang w:eastAsia="ru-RU"/>
        </w:rPr>
        <w:t>p</w:t>
      </w:r>
      <w:r w:rsidR="00E40DE9" w:rsidRPr="00802D35">
        <w:rPr>
          <w:rFonts w:ascii="Times New Roman" w:eastAsia="Times New Roman" w:hAnsi="Times New Roman" w:cs="Times New Roman"/>
          <w:sz w:val="28"/>
          <w:szCs w:val="28"/>
          <w:shd w:val="clear" w:color="auto" w:fill="FFFFFF"/>
          <w:vertAlign w:val="subscript"/>
          <w:lang w:eastAsia="ru-RU"/>
        </w:rPr>
        <w:t>1</w:t>
      </w:r>
      <w:r w:rsidR="00E40DE9" w:rsidRPr="00802D35">
        <w:rPr>
          <w:rFonts w:ascii="Times New Roman" w:eastAsia="Times New Roman" w:hAnsi="Times New Roman" w:cs="Times New Roman"/>
          <w:sz w:val="28"/>
          <w:szCs w:val="28"/>
          <w:shd w:val="clear" w:color="auto" w:fill="FFFFFF"/>
          <w:lang w:eastAsia="ru-RU"/>
        </w:rPr>
        <w:t xml:space="preserve"> = 1</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p</w:t>
      </w:r>
      <w:r w:rsidRPr="00802D35">
        <w:rPr>
          <w:rFonts w:ascii="Times New Roman" w:eastAsia="Times New Roman" w:hAnsi="Times New Roman" w:cs="Times New Roman"/>
          <w:sz w:val="28"/>
          <w:szCs w:val="28"/>
          <w:shd w:val="clear" w:color="auto" w:fill="FFFFFF"/>
          <w:vertAlign w:val="subscript"/>
          <w:lang w:eastAsia="ru-RU"/>
        </w:rPr>
        <w:t>2</w:t>
      </w:r>
      <w:r w:rsidRPr="00802D35">
        <w:rPr>
          <w:rFonts w:ascii="Times New Roman" w:eastAsia="Times New Roman" w:hAnsi="Times New Roman" w:cs="Times New Roman"/>
          <w:sz w:val="28"/>
          <w:szCs w:val="28"/>
          <w:shd w:val="clear" w:color="auto" w:fill="FFFFFF"/>
          <w:lang w:eastAsia="ru-RU"/>
        </w:rPr>
        <w:t xml:space="preserve"> = 0.</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y = 3</w:t>
      </w:r>
    </w:p>
    <w:p w:rsidR="00E40DE9" w:rsidRPr="00802D35" w:rsidRDefault="00E40DE9" w:rsidP="00E40DE9">
      <w:pPr>
        <w:pStyle w:val="a3"/>
        <w:spacing w:after="0" w:line="240" w:lineRule="auto"/>
        <w:ind w:left="0" w:firstLine="567"/>
        <w:contextualSpacing w:val="0"/>
        <w:jc w:val="both"/>
        <w:rPr>
          <w:rFonts w:ascii="Times New Roman" w:hAnsi="Times New Roman" w:cs="Times New Roman"/>
          <w:noProof/>
          <w:sz w:val="28"/>
          <w:szCs w:val="28"/>
          <w:lang w:eastAsia="ru-RU"/>
        </w:rPr>
      </w:pPr>
    </w:p>
    <w:p w:rsidR="00E40DE9" w:rsidRPr="00802D35" w:rsidRDefault="00E40DE9" w:rsidP="00E40DE9">
      <w:pPr>
        <w:pStyle w:val="a3"/>
        <w:spacing w:after="0" w:line="240" w:lineRule="auto"/>
        <w:ind w:left="0"/>
        <w:contextualSpacing w:val="0"/>
        <w:jc w:val="both"/>
        <w:rPr>
          <w:rFonts w:ascii="Times New Roman" w:eastAsia="Times New Roman" w:hAnsi="Times New Roman" w:cs="Times New Roman"/>
          <w:b/>
          <w:bCs/>
          <w:sz w:val="28"/>
          <w:szCs w:val="28"/>
          <w:shd w:val="clear" w:color="auto" w:fill="FFFFFF"/>
          <w:lang w:eastAsia="ru-RU"/>
        </w:rPr>
      </w:pPr>
      <w:r w:rsidRPr="00802D35">
        <w:rPr>
          <w:rFonts w:ascii="Times New Roman" w:hAnsi="Times New Roman" w:cs="Times New Roman"/>
          <w:noProof/>
          <w:sz w:val="28"/>
          <w:szCs w:val="28"/>
          <w:lang w:eastAsia="ru-RU"/>
        </w:rPr>
        <w:drawing>
          <wp:inline distT="0" distB="0" distL="0" distR="0">
            <wp:extent cx="5993304" cy="3087149"/>
            <wp:effectExtent l="0" t="0" r="7620" b="0"/>
            <wp:docPr id="5" name="Рисунок 381" descr="https://math.semestr.ru/games/risgame.php?p=1&amp;x=3,3.8&amp;y=2.2,3.3&amp;tx=0.8,0.5&amp;ty=1,1&amp;r=1,1&amp;b=3,3.8&amp;fx=47481e5dd3ff3fef0159a4de3fb2c848&amp;ma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semestr.ru/games/risgame.php?p=1&amp;x=3,3.8&amp;y=2.2,3.3&amp;tx=0.8,0.5&amp;ty=1,1&amp;r=1,1&amp;b=3,3.8&amp;fx=47481e5dd3ff3fef0159a4de3fb2c848&amp;max=0"/>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l="1284" t="1312" r="1569" b="1575"/>
                    <a:stretch/>
                  </pic:blipFill>
                  <pic:spPr bwMode="auto">
                    <a:xfrm>
                      <a:off x="0" y="0"/>
                      <a:ext cx="6001032" cy="3091130"/>
                    </a:xfrm>
                    <a:prstGeom prst="rect">
                      <a:avLst/>
                    </a:prstGeom>
                    <a:noFill/>
                    <a:ln>
                      <a:noFill/>
                    </a:ln>
                    <a:extLst>
                      <a:ext uri="{53640926-AAD7-44D8-BBD7-CCE9431645EC}">
                        <a14:shadowObscured xmlns:a14="http://schemas.microsoft.com/office/drawing/2010/main"/>
                      </a:ext>
                    </a:extLst>
                  </pic:spPr>
                </pic:pic>
              </a:graphicData>
            </a:graphic>
          </wp:inline>
        </w:drawing>
      </w:r>
      <w:r w:rsidRPr="00802D35">
        <w:rPr>
          <w:rFonts w:ascii="Times New Roman" w:eastAsia="Times New Roman" w:hAnsi="Times New Roman" w:cs="Times New Roman"/>
          <w:sz w:val="28"/>
          <w:szCs w:val="28"/>
          <w:lang w:eastAsia="ru-RU"/>
        </w:rPr>
        <w:br/>
      </w:r>
    </w:p>
    <w:p w:rsidR="00E40DE9" w:rsidRPr="00802D35" w:rsidRDefault="00E40DE9" w:rsidP="00E40DE9">
      <w:pPr>
        <w:pStyle w:val="a3"/>
        <w:spacing w:after="0" w:line="240" w:lineRule="auto"/>
        <w:contextualSpacing w:val="0"/>
        <w:jc w:val="center"/>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Рисунок 40 - Графическое решение для оптимизации стратегии</w:t>
      </w:r>
    </w:p>
    <w:p w:rsidR="00E40DE9" w:rsidRPr="00802D35" w:rsidRDefault="00E40DE9" w:rsidP="00E40DE9">
      <w:pPr>
        <w:pStyle w:val="a3"/>
        <w:spacing w:after="0" w:line="240" w:lineRule="auto"/>
        <w:contextualSpacing w:val="0"/>
        <w:jc w:val="both"/>
        <w:rPr>
          <w:rFonts w:ascii="Times New Roman" w:eastAsia="Times New Roman" w:hAnsi="Times New Roman" w:cs="Times New Roman"/>
          <w:bCs/>
          <w:sz w:val="28"/>
          <w:szCs w:val="28"/>
          <w:shd w:val="clear" w:color="auto" w:fill="FFFFFF"/>
          <w:lang w:eastAsia="ru-RU"/>
        </w:rPr>
      </w:pPr>
    </w:p>
    <w:p w:rsidR="00E40DE9" w:rsidRPr="00802D35" w:rsidRDefault="00E40DE9" w:rsidP="00E40DE9">
      <w:pPr>
        <w:pStyle w:val="a3"/>
        <w:spacing w:after="0" w:line="240" w:lineRule="auto"/>
        <w:contextualSpacing w:val="0"/>
        <w:jc w:val="both"/>
        <w:rPr>
          <w:rFonts w:ascii="Times New Roman" w:eastAsia="Times New Roman" w:hAnsi="Times New Roman" w:cs="Times New Roman"/>
          <w:bCs/>
          <w:sz w:val="24"/>
          <w:szCs w:val="24"/>
          <w:shd w:val="clear" w:color="auto" w:fill="FFFFFF"/>
          <w:lang w:eastAsia="ru-RU"/>
        </w:rPr>
      </w:pPr>
      <w:r w:rsidRPr="00802D35">
        <w:rPr>
          <w:rFonts w:ascii="Times New Roman" w:eastAsia="Times New Roman" w:hAnsi="Times New Roman" w:cs="Times New Roman"/>
          <w:bCs/>
          <w:sz w:val="24"/>
          <w:szCs w:val="24"/>
          <w:shd w:val="clear" w:color="auto" w:fill="FFFFFF"/>
          <w:lang w:eastAsia="ru-RU"/>
        </w:rPr>
        <w:t xml:space="preserve">Примечание – составлено на основании расчетов </w:t>
      </w:r>
    </w:p>
    <w:p w:rsidR="00E40DE9" w:rsidRPr="00802D35" w:rsidRDefault="00E40DE9" w:rsidP="00E40DE9">
      <w:pPr>
        <w:pStyle w:val="a3"/>
        <w:spacing w:after="0" w:line="240" w:lineRule="auto"/>
        <w:contextualSpacing w:val="0"/>
        <w:jc w:val="both"/>
        <w:rPr>
          <w:rFonts w:ascii="Times New Roman" w:eastAsia="Times New Roman" w:hAnsi="Times New Roman" w:cs="Times New Roman"/>
          <w:b/>
          <w:bCs/>
          <w:sz w:val="28"/>
          <w:szCs w:val="28"/>
          <w:shd w:val="clear" w:color="auto" w:fill="FFFFFF"/>
          <w:lang w:eastAsia="ru-RU"/>
        </w:rPr>
      </w:pPr>
    </w:p>
    <w:p w:rsidR="00E40DE9" w:rsidRPr="00802D35" w:rsidRDefault="00E40DE9" w:rsidP="00E40DE9">
      <w:pPr>
        <w:pStyle w:val="a3"/>
        <w:spacing w:after="0" w:line="240" w:lineRule="auto"/>
        <w:ind w:left="0" w:firstLine="567"/>
        <w:contextualSpacing w:val="0"/>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Определим наиболее оптимальную стратегию инструментов фондирования посредством исключения стратегии L</w:t>
      </w:r>
      <w:r w:rsidRPr="00802D35">
        <w:rPr>
          <w:rFonts w:ascii="Times New Roman" w:eastAsia="Times New Roman" w:hAnsi="Times New Roman" w:cs="Times New Roman"/>
          <w:sz w:val="28"/>
          <w:szCs w:val="28"/>
          <w:shd w:val="clear" w:color="auto" w:fill="FFFFFF"/>
          <w:vertAlign w:val="subscript"/>
          <w:lang w:eastAsia="ru-RU"/>
        </w:rPr>
        <w:t>2</w:t>
      </w:r>
      <w:r w:rsidRPr="00802D35">
        <w:rPr>
          <w:rFonts w:ascii="Times New Roman" w:eastAsia="Times New Roman" w:hAnsi="Times New Roman" w:cs="Times New Roman"/>
          <w:sz w:val="28"/>
          <w:szCs w:val="28"/>
          <w:shd w:val="clear" w:color="auto" w:fill="FFFFFF"/>
          <w:lang w:eastAsia="ru-RU"/>
        </w:rPr>
        <w:t xml:space="preserve"> которая дает явно больший убыток по инструменту фондирования, и, следовательно, q</w:t>
      </w:r>
      <w:r w:rsidRPr="00802D35">
        <w:rPr>
          <w:rFonts w:ascii="Times New Roman" w:eastAsia="Times New Roman" w:hAnsi="Times New Roman" w:cs="Times New Roman"/>
          <w:sz w:val="28"/>
          <w:szCs w:val="28"/>
          <w:shd w:val="clear" w:color="auto" w:fill="FFFFFF"/>
          <w:vertAlign w:val="subscript"/>
          <w:lang w:eastAsia="ru-RU"/>
        </w:rPr>
        <w:t>2</w:t>
      </w:r>
      <w:r w:rsidRPr="00802D35">
        <w:rPr>
          <w:rFonts w:ascii="Times New Roman" w:eastAsia="Times New Roman" w:hAnsi="Times New Roman" w:cs="Times New Roman"/>
          <w:sz w:val="28"/>
          <w:szCs w:val="28"/>
          <w:shd w:val="clear" w:color="auto" w:fill="FFFFFF"/>
          <w:lang w:eastAsia="ru-RU"/>
        </w:rPr>
        <w:t xml:space="preserve"> = 0 и q</w:t>
      </w:r>
      <w:r w:rsidRPr="00802D35">
        <w:rPr>
          <w:rFonts w:ascii="Times New Roman" w:eastAsia="Times New Roman" w:hAnsi="Times New Roman" w:cs="Times New Roman"/>
          <w:sz w:val="28"/>
          <w:szCs w:val="28"/>
          <w:shd w:val="clear" w:color="auto" w:fill="FFFFFF"/>
          <w:vertAlign w:val="subscript"/>
          <w:lang w:eastAsia="ru-RU"/>
        </w:rPr>
        <w:t>1</w:t>
      </w:r>
      <w:r w:rsidRPr="00802D35">
        <w:rPr>
          <w:rFonts w:ascii="Times New Roman" w:eastAsia="Times New Roman" w:hAnsi="Times New Roman" w:cs="Times New Roman"/>
          <w:sz w:val="28"/>
          <w:szCs w:val="28"/>
          <w:shd w:val="clear" w:color="auto" w:fill="FFFFFF"/>
          <w:lang w:eastAsia="ru-RU"/>
        </w:rPr>
        <w:t xml:space="preserve"> = 1.</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Рассмотрим применение критериев Т.Байеса, Л.Сэвиджа, А.Гурвица и А.Вальда для оптимизации структуры фондирования с целью повышения прибыльности.</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Согласно критерию Т.Байеса, оптимальной стратегией является стратегия A</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в которой средний доход от актива максимизируется или средний риск </w:t>
      </w:r>
      <w:r w:rsidRPr="00802D35">
        <w:rPr>
          <w:rFonts w:ascii="Times New Roman" w:hAnsi="Times New Roman" w:cs="Times New Roman"/>
          <w:i/>
          <w:sz w:val="28"/>
          <w:szCs w:val="28"/>
        </w:rPr>
        <w:t>r</w:t>
      </w:r>
      <w:r w:rsidRPr="00802D35">
        <w:rPr>
          <w:rFonts w:ascii="Times New Roman" w:hAnsi="Times New Roman" w:cs="Times New Roman"/>
          <w:sz w:val="28"/>
          <w:szCs w:val="28"/>
        </w:rPr>
        <w:t xml:space="preserve"> является минимальным.</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Подсчет значений ∑ (a</w:t>
      </w:r>
      <w:r w:rsidRPr="00802D35">
        <w:rPr>
          <w:rFonts w:ascii="Times New Roman" w:hAnsi="Times New Roman" w:cs="Times New Roman"/>
          <w:sz w:val="28"/>
          <w:szCs w:val="28"/>
          <w:vertAlign w:val="subscript"/>
        </w:rPr>
        <w:t>ij</w:t>
      </w:r>
      <w:r w:rsidRPr="00802D35">
        <w:rPr>
          <w:rFonts w:ascii="Times New Roman" w:hAnsi="Times New Roman" w:cs="Times New Roman"/>
          <w:sz w:val="28"/>
          <w:szCs w:val="28"/>
        </w:rPr>
        <w:t>l</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rPr>
        <w:t>)</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(a</w:t>
      </w:r>
      <w:r w:rsidRPr="00802D35">
        <w:rPr>
          <w:rFonts w:ascii="Times New Roman" w:hAnsi="Times New Roman" w:cs="Times New Roman"/>
          <w:sz w:val="28"/>
          <w:szCs w:val="28"/>
          <w:vertAlign w:val="subscript"/>
        </w:rPr>
        <w:t>1j</w:t>
      </w:r>
      <w:r w:rsidRPr="00802D35">
        <w:rPr>
          <w:rFonts w:ascii="Times New Roman" w:hAnsi="Times New Roman" w:cs="Times New Roman"/>
          <w:sz w:val="28"/>
          <w:szCs w:val="28"/>
        </w:rPr>
        <w:t>l</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rPr>
        <w:t>) = 2,5 * 0,25 + 3 * 0,25 + 3,7 * 0,25 + 3,5 * 0,25 = 3,175</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(a</w:t>
      </w:r>
      <w:r w:rsidRPr="00802D35">
        <w:rPr>
          <w:rFonts w:ascii="Times New Roman" w:hAnsi="Times New Roman" w:cs="Times New Roman"/>
          <w:sz w:val="28"/>
          <w:szCs w:val="28"/>
          <w:vertAlign w:val="subscript"/>
        </w:rPr>
        <w:t>2j</w:t>
      </w:r>
      <w:r w:rsidRPr="00802D35">
        <w:rPr>
          <w:rFonts w:ascii="Times New Roman" w:hAnsi="Times New Roman" w:cs="Times New Roman"/>
          <w:sz w:val="28"/>
          <w:szCs w:val="28"/>
        </w:rPr>
        <w:t>l</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rPr>
        <w:t>) = 2,1 * 0,25 + 3,2 * 0,25 + 4 * 0,25 + 2,8 * 0,25 = 3,025</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(a</w:t>
      </w:r>
      <w:r w:rsidRPr="00802D35">
        <w:rPr>
          <w:rFonts w:ascii="Times New Roman" w:hAnsi="Times New Roman" w:cs="Times New Roman"/>
          <w:sz w:val="28"/>
          <w:szCs w:val="28"/>
          <w:vertAlign w:val="subscript"/>
        </w:rPr>
        <w:t>3j</w:t>
      </w:r>
      <w:r w:rsidRPr="00802D35">
        <w:rPr>
          <w:rFonts w:ascii="Times New Roman" w:hAnsi="Times New Roman" w:cs="Times New Roman"/>
          <w:sz w:val="28"/>
          <w:szCs w:val="28"/>
        </w:rPr>
        <w:t>l</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rPr>
        <w:t>) = 3 * 0,25 + 4,1 * 0,25 + 3,2 * 0,25 + 3,8 * 0,25 = 3,525</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(a</w:t>
      </w:r>
      <w:r w:rsidRPr="00802D35">
        <w:rPr>
          <w:rFonts w:ascii="Times New Roman" w:hAnsi="Times New Roman" w:cs="Times New Roman"/>
          <w:sz w:val="28"/>
          <w:szCs w:val="28"/>
          <w:vertAlign w:val="subscript"/>
        </w:rPr>
        <w:t>4j</w:t>
      </w:r>
      <w:r w:rsidRPr="00802D35">
        <w:rPr>
          <w:rFonts w:ascii="Times New Roman" w:hAnsi="Times New Roman" w:cs="Times New Roman"/>
          <w:sz w:val="28"/>
          <w:szCs w:val="28"/>
        </w:rPr>
        <w:t>l</w:t>
      </w:r>
      <w:r w:rsidRPr="00802D35">
        <w:rPr>
          <w:rFonts w:ascii="Times New Roman" w:hAnsi="Times New Roman" w:cs="Times New Roman"/>
          <w:sz w:val="28"/>
          <w:szCs w:val="28"/>
          <w:vertAlign w:val="subscript"/>
        </w:rPr>
        <w:t>j</w:t>
      </w:r>
      <w:r w:rsidRPr="00802D35">
        <w:rPr>
          <w:rFonts w:ascii="Times New Roman" w:hAnsi="Times New Roman" w:cs="Times New Roman"/>
          <w:sz w:val="28"/>
          <w:szCs w:val="28"/>
        </w:rPr>
        <w:t>) = 2,2 * 0,25 + 3,4 * 0,25 + 3,8 * 0,25 + 3,3 * 0,25 = 3,175</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hAnsi="Times New Roman" w:cs="Times New Roman"/>
          <w:sz w:val="28"/>
          <w:szCs w:val="28"/>
        </w:rPr>
        <w:t>Результаты представлены в матрице (таблица 19).</w:t>
      </w: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p w:rsidR="000B0564" w:rsidRPr="00802D35" w:rsidRDefault="000B0564" w:rsidP="00E40DE9">
      <w:pPr>
        <w:spacing w:after="0" w:line="240" w:lineRule="auto"/>
        <w:rPr>
          <w:rFonts w:ascii="Times New Roman" w:eastAsia="Times New Roman" w:hAnsi="Times New Roman" w:cs="Times New Roman"/>
          <w:sz w:val="28"/>
          <w:szCs w:val="28"/>
          <w:shd w:val="clear" w:color="auto" w:fill="FFFFFF"/>
          <w:lang w:eastAsia="ru-RU"/>
        </w:rPr>
      </w:pPr>
    </w:p>
    <w:p w:rsidR="000B0564" w:rsidRPr="00802D35" w:rsidRDefault="000B0564" w:rsidP="00E40DE9">
      <w:pPr>
        <w:spacing w:after="0" w:line="240" w:lineRule="auto"/>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Таблица 19 - Матрица решений по критерию Т.Байеса</w:t>
      </w: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3"/>
        <w:gridCol w:w="1643"/>
      </w:tblGrid>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i</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3</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4</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ij</w:t>
            </w: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j</w:t>
            </w:r>
            <w:r w:rsidRPr="00802D35">
              <w:rPr>
                <w:rFonts w:ascii="Times New Roman" w:eastAsia="Times New Roman" w:hAnsi="Times New Roman" w:cs="Times New Roman"/>
                <w:sz w:val="28"/>
                <w:szCs w:val="28"/>
                <w:lang w:eastAsia="ru-RU"/>
              </w:rPr>
              <w:t>)</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0,625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0,75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0,925</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0,875</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3,175</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0,525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0,8</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1</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0,7</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3,025</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A</w:t>
            </w:r>
            <w:r w:rsidRPr="00802D35">
              <w:rPr>
                <w:rFonts w:ascii="Times New Roman" w:eastAsia="Times New Roman" w:hAnsi="Times New Roman" w:cs="Times New Roman"/>
                <w:i/>
                <w:sz w:val="28"/>
                <w:szCs w:val="28"/>
                <w:vertAlign w:val="subscript"/>
                <w:lang w:eastAsia="ru-RU"/>
              </w:rPr>
              <w:t>3</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0,75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1,025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0,8</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0,95</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3,525</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4</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0,55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0,85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0,95</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0,825</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3,175</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p</w:t>
            </w:r>
            <w:r w:rsidRPr="00802D35">
              <w:rPr>
                <w:rFonts w:ascii="Times New Roman" w:eastAsia="Times New Roman" w:hAnsi="Times New Roman" w:cs="Times New Roman"/>
                <w:sz w:val="28"/>
                <w:szCs w:val="28"/>
                <w:vertAlign w:val="subscript"/>
                <w:lang w:eastAsia="ru-RU"/>
              </w:rPr>
              <w:t>j</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0,25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0,25</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0,25</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0,25</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p>
        </w:tc>
      </w:tr>
      <w:tr w:rsidR="00E40DE9" w:rsidRPr="00802D35" w:rsidTr="00E40DE9">
        <w:tc>
          <w:tcPr>
            <w:tcW w:w="9854" w:type="dxa"/>
            <w:gridSpan w:val="6"/>
          </w:tcPr>
          <w:p w:rsidR="00E40DE9" w:rsidRPr="00802D35" w:rsidRDefault="00E40DE9" w:rsidP="00E40DE9">
            <w:pPr>
              <w:spacing w:after="0" w:line="240" w:lineRule="auto"/>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Примечание – составлено на основании расчетов</w:t>
            </w:r>
          </w:p>
        </w:tc>
      </w:tr>
    </w:tbl>
    <w:p w:rsidR="000B0564" w:rsidRPr="00802D35" w:rsidRDefault="000B0564"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Из </w:t>
      </w: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ij</w:t>
      </w: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j</w:t>
      </w:r>
      <w:r w:rsidRPr="00802D35">
        <w:rPr>
          <w:rFonts w:ascii="Times New Roman" w:eastAsia="Times New Roman" w:hAnsi="Times New Roman" w:cs="Times New Roman"/>
          <w:sz w:val="28"/>
          <w:szCs w:val="28"/>
          <w:lang w:eastAsia="ru-RU"/>
        </w:rPr>
        <w:t>), представленной в матрице</w:t>
      </w:r>
      <w:r w:rsidRPr="00802D35">
        <w:rPr>
          <w:rFonts w:ascii="Times New Roman" w:eastAsia="Times New Roman" w:hAnsi="Times New Roman" w:cs="Times New Roman"/>
          <w:sz w:val="28"/>
          <w:szCs w:val="28"/>
          <w:shd w:val="clear" w:color="auto" w:fill="FFFFFF"/>
          <w:lang w:eastAsia="ru-RU"/>
        </w:rPr>
        <w:t xml:space="preserve"> (3,175; 3,025; 3,525; 3,175) выбирается максимальный элемент, который в данном случае равен max = 3,53. Следовательно, оптимальная стратегия – А</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где N = 3.</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По Вальдовскому критерию оптимальной будет та стратегия, которая является обязательно чистой и обеспечивает максимальную прибыльность фондирования от активов банка при возникновении наихудших условий рынка. Иными словами стратегия Вальда отражает статистику при наличии самых неблагоприятных условий и отражает стартегию пессимизма (таблица 20).</w:t>
      </w: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Таблица 20 - Матрица решений по критерию А.Вальда</w:t>
      </w: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tbl>
      <w:tblPr>
        <w:tblStyle w:val="af1"/>
        <w:tblW w:w="0" w:type="auto"/>
        <w:tblLook w:val="04A0" w:firstRow="1" w:lastRow="0" w:firstColumn="1" w:lastColumn="0" w:noHBand="0" w:noVBand="1"/>
      </w:tblPr>
      <w:tblGrid>
        <w:gridCol w:w="1642"/>
        <w:gridCol w:w="1642"/>
        <w:gridCol w:w="1642"/>
        <w:gridCol w:w="1642"/>
        <w:gridCol w:w="1643"/>
        <w:gridCol w:w="1643"/>
      </w:tblGrid>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i</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3</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4</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min</w:t>
            </w:r>
          </w:p>
        </w:tc>
      </w:tr>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2,5</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3,7</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3,5</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2,5</w:t>
            </w:r>
          </w:p>
        </w:tc>
      </w:tr>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2,1</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3,2</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4,1</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2,8</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2,1</w:t>
            </w:r>
          </w:p>
        </w:tc>
      </w:tr>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A</w:t>
            </w:r>
            <w:r w:rsidRPr="00802D35">
              <w:rPr>
                <w:rFonts w:ascii="Times New Roman" w:eastAsia="Times New Roman" w:hAnsi="Times New Roman" w:cs="Times New Roman"/>
                <w:i/>
                <w:sz w:val="28"/>
                <w:szCs w:val="28"/>
                <w:vertAlign w:val="subscript"/>
                <w:lang w:eastAsia="ru-RU"/>
              </w:rPr>
              <w:t>3</w:t>
            </w:r>
          </w:p>
        </w:tc>
        <w:tc>
          <w:tcPr>
            <w:tcW w:w="1642"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2,9</w:t>
            </w:r>
          </w:p>
        </w:tc>
        <w:tc>
          <w:tcPr>
            <w:tcW w:w="1642"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4,1</w:t>
            </w:r>
          </w:p>
        </w:tc>
        <w:tc>
          <w:tcPr>
            <w:tcW w:w="1642"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3,2</w:t>
            </w:r>
          </w:p>
        </w:tc>
        <w:tc>
          <w:tcPr>
            <w:tcW w:w="1643"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3,8</w:t>
            </w:r>
          </w:p>
        </w:tc>
        <w:tc>
          <w:tcPr>
            <w:tcW w:w="1643"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2,9</w:t>
            </w:r>
          </w:p>
        </w:tc>
      </w:tr>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4</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2,2</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3,4</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3,8</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3,3</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2,2</w:t>
            </w:r>
          </w:p>
        </w:tc>
      </w:tr>
      <w:tr w:rsidR="00E40DE9" w:rsidRPr="00802D35" w:rsidTr="00E40DE9">
        <w:tc>
          <w:tcPr>
            <w:tcW w:w="9854" w:type="dxa"/>
            <w:gridSpan w:val="6"/>
          </w:tcPr>
          <w:p w:rsidR="00E40DE9" w:rsidRPr="00802D35" w:rsidRDefault="00E40DE9" w:rsidP="00E40DE9">
            <w:pPr>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lang w:eastAsia="ru-RU"/>
              </w:rPr>
              <w:t>Примечание – составлено на основании расчетов</w:t>
            </w:r>
          </w:p>
        </w:tc>
      </w:tr>
    </w:tbl>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Из представленной матрицы следует выбрать </w:t>
      </w:r>
      <w:r w:rsidRPr="00802D35">
        <w:rPr>
          <w:rFonts w:ascii="Times New Roman" w:eastAsia="Times New Roman" w:hAnsi="Times New Roman" w:cs="Times New Roman"/>
          <w:sz w:val="28"/>
          <w:szCs w:val="28"/>
          <w:lang w:eastAsia="ru-RU"/>
        </w:rPr>
        <w:t>min(a</w:t>
      </w:r>
      <w:r w:rsidRPr="00802D35">
        <w:rPr>
          <w:rFonts w:ascii="Times New Roman" w:eastAsia="Times New Roman" w:hAnsi="Times New Roman" w:cs="Times New Roman"/>
          <w:sz w:val="28"/>
          <w:szCs w:val="28"/>
          <w:vertAlign w:val="subscript"/>
          <w:lang w:eastAsia="ru-RU"/>
        </w:rPr>
        <w:t>ij</w:t>
      </w:r>
      <w:r w:rsidRPr="00802D35">
        <w:rPr>
          <w:rFonts w:ascii="Times New Roman" w:eastAsia="Times New Roman" w:hAnsi="Times New Roman" w:cs="Times New Roman"/>
          <w:sz w:val="28"/>
          <w:szCs w:val="28"/>
          <w:lang w:eastAsia="ru-RU"/>
        </w:rPr>
        <w:t xml:space="preserve">) </w:t>
      </w:r>
      <w:r w:rsidRPr="00802D35">
        <w:rPr>
          <w:rFonts w:ascii="Times New Roman" w:eastAsia="Times New Roman" w:hAnsi="Times New Roman" w:cs="Times New Roman"/>
          <w:sz w:val="28"/>
          <w:szCs w:val="28"/>
          <w:shd w:val="clear" w:color="auto" w:fill="FFFFFF"/>
          <w:lang w:eastAsia="ru-RU"/>
        </w:rPr>
        <w:t>(2,5; 2,1; 2,9; 2,2) максимальное значение, которое в данном случае равно max = 2,9, что означает выбор стратегии А</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где N = 2,9.</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Критерий минимального риска Л.Сэвиджа позволяет осуществить выбор такой стратегии, согласно которой максимально возможный риск будет минимизирован при возникновении самых худших условий рынка.</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Для получения результатов составим матрицу рисков. В этом случае риск будет представлен в качестве меры несоответствия, возникающими между различными результатами стратегий, возможными в условиях наихудшего рынка.</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Первый вариант матрицы рисков по Л.Сэвиджу определяется так:</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11</w:t>
      </w:r>
      <w:r w:rsidRPr="00802D35">
        <w:rPr>
          <w:rFonts w:ascii="Times New Roman" w:eastAsia="Times New Roman" w:hAnsi="Times New Roman" w:cs="Times New Roman"/>
          <w:sz w:val="28"/>
          <w:szCs w:val="28"/>
          <w:shd w:val="clear" w:color="auto" w:fill="FFFFFF"/>
          <w:lang w:eastAsia="ru-RU"/>
        </w:rPr>
        <w:t xml:space="preserve"> = 2,9 - 2,5 = 0,4;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21</w:t>
      </w:r>
      <w:r w:rsidRPr="00802D35">
        <w:rPr>
          <w:rFonts w:ascii="Times New Roman" w:eastAsia="Times New Roman" w:hAnsi="Times New Roman" w:cs="Times New Roman"/>
          <w:sz w:val="28"/>
          <w:szCs w:val="28"/>
          <w:shd w:val="clear" w:color="auto" w:fill="FFFFFF"/>
          <w:lang w:eastAsia="ru-RU"/>
        </w:rPr>
        <w:t xml:space="preserve"> = 2,9 - 2,1 = 0,8;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31</w:t>
      </w:r>
      <w:r w:rsidRPr="00802D35">
        <w:rPr>
          <w:rFonts w:ascii="Times New Roman" w:eastAsia="Times New Roman" w:hAnsi="Times New Roman" w:cs="Times New Roman"/>
          <w:sz w:val="28"/>
          <w:szCs w:val="28"/>
          <w:shd w:val="clear" w:color="auto" w:fill="FFFFFF"/>
          <w:lang w:eastAsia="ru-RU"/>
        </w:rPr>
        <w:t xml:space="preserve"> = 2,9 - 2,9 = 0;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lastRenderedPageBreak/>
        <w:t>а</w:t>
      </w:r>
      <w:r w:rsidRPr="00802D35">
        <w:rPr>
          <w:rFonts w:ascii="Times New Roman" w:eastAsia="Times New Roman" w:hAnsi="Times New Roman" w:cs="Times New Roman"/>
          <w:sz w:val="28"/>
          <w:szCs w:val="28"/>
          <w:shd w:val="clear" w:color="auto" w:fill="FFFFFF"/>
          <w:vertAlign w:val="subscript"/>
          <w:lang w:eastAsia="ru-RU"/>
        </w:rPr>
        <w:t>41</w:t>
      </w:r>
      <w:r w:rsidRPr="00802D35">
        <w:rPr>
          <w:rFonts w:ascii="Times New Roman" w:eastAsia="Times New Roman" w:hAnsi="Times New Roman" w:cs="Times New Roman"/>
          <w:sz w:val="28"/>
          <w:szCs w:val="28"/>
          <w:shd w:val="clear" w:color="auto" w:fill="FFFFFF"/>
          <w:lang w:eastAsia="ru-RU"/>
        </w:rPr>
        <w:t xml:space="preserve"> = 2,9 - 2,2 = 0,7;</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Второй вариант стратегии матрицы рисков по Л.Сэвиджу определим следующим образом:</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12</w:t>
      </w:r>
      <w:r w:rsidRPr="00802D35">
        <w:rPr>
          <w:rFonts w:ascii="Times New Roman" w:eastAsia="Times New Roman" w:hAnsi="Times New Roman" w:cs="Times New Roman"/>
          <w:sz w:val="28"/>
          <w:szCs w:val="28"/>
          <w:shd w:val="clear" w:color="auto" w:fill="FFFFFF"/>
          <w:lang w:eastAsia="ru-RU"/>
        </w:rPr>
        <w:t xml:space="preserve"> = 4,1 - 3 = 1,1;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22</w:t>
      </w:r>
      <w:r w:rsidRPr="00802D35">
        <w:rPr>
          <w:rFonts w:ascii="Times New Roman" w:eastAsia="Times New Roman" w:hAnsi="Times New Roman" w:cs="Times New Roman"/>
          <w:sz w:val="28"/>
          <w:szCs w:val="28"/>
          <w:shd w:val="clear" w:color="auto" w:fill="FFFFFF"/>
          <w:lang w:eastAsia="ru-RU"/>
        </w:rPr>
        <w:t xml:space="preserve"> = 4,1 - 3,2 = 0,9;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32</w:t>
      </w:r>
      <w:r w:rsidRPr="00802D35">
        <w:rPr>
          <w:rFonts w:ascii="Times New Roman" w:eastAsia="Times New Roman" w:hAnsi="Times New Roman" w:cs="Times New Roman"/>
          <w:sz w:val="28"/>
          <w:szCs w:val="28"/>
          <w:shd w:val="clear" w:color="auto" w:fill="FFFFFF"/>
          <w:lang w:eastAsia="ru-RU"/>
        </w:rPr>
        <w:t xml:space="preserve"> = 4,1 - 4,1 = 0;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42</w:t>
      </w:r>
      <w:r w:rsidRPr="00802D35">
        <w:rPr>
          <w:rFonts w:ascii="Times New Roman" w:eastAsia="Times New Roman" w:hAnsi="Times New Roman" w:cs="Times New Roman"/>
          <w:sz w:val="28"/>
          <w:szCs w:val="28"/>
          <w:shd w:val="clear" w:color="auto" w:fill="FFFFFF"/>
          <w:lang w:eastAsia="ru-RU"/>
        </w:rPr>
        <w:t xml:space="preserve"> = 4,1 - 3,4 = 0,7;</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Третий вариант стратегии матрицы рисков по Л.Сэвиджу оценим следующим образом:</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13</w:t>
      </w:r>
      <w:r w:rsidRPr="00802D35">
        <w:rPr>
          <w:rFonts w:ascii="Times New Roman" w:eastAsia="Times New Roman" w:hAnsi="Times New Roman" w:cs="Times New Roman"/>
          <w:sz w:val="28"/>
          <w:szCs w:val="28"/>
          <w:shd w:val="clear" w:color="auto" w:fill="FFFFFF"/>
          <w:lang w:eastAsia="ru-RU"/>
        </w:rPr>
        <w:t xml:space="preserve"> = 4 - 3,7 = 0,3;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23</w:t>
      </w:r>
      <w:r w:rsidRPr="00802D35">
        <w:rPr>
          <w:rFonts w:ascii="Times New Roman" w:eastAsia="Times New Roman" w:hAnsi="Times New Roman" w:cs="Times New Roman"/>
          <w:sz w:val="28"/>
          <w:szCs w:val="28"/>
          <w:shd w:val="clear" w:color="auto" w:fill="FFFFFF"/>
          <w:lang w:eastAsia="ru-RU"/>
        </w:rPr>
        <w:t xml:space="preserve"> = 4-4 = 0;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33</w:t>
      </w:r>
      <w:r w:rsidRPr="00802D35">
        <w:rPr>
          <w:rFonts w:ascii="Times New Roman" w:eastAsia="Times New Roman" w:hAnsi="Times New Roman" w:cs="Times New Roman"/>
          <w:sz w:val="28"/>
          <w:szCs w:val="28"/>
          <w:shd w:val="clear" w:color="auto" w:fill="FFFFFF"/>
          <w:lang w:eastAsia="ru-RU"/>
        </w:rPr>
        <w:t xml:space="preserve"> = 4 - 3,2 = 0,8;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43</w:t>
      </w:r>
      <w:r w:rsidRPr="00802D35">
        <w:rPr>
          <w:rFonts w:ascii="Times New Roman" w:eastAsia="Times New Roman" w:hAnsi="Times New Roman" w:cs="Times New Roman"/>
          <w:sz w:val="28"/>
          <w:szCs w:val="28"/>
          <w:shd w:val="clear" w:color="auto" w:fill="FFFFFF"/>
          <w:lang w:eastAsia="ru-RU"/>
        </w:rPr>
        <w:t xml:space="preserve"> = 4 - 3,8 = 0,2;</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Четвертый вариант матрицы рисков по Л.Сэвиджу оценим следующим образом:</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14</w:t>
      </w:r>
      <w:r w:rsidRPr="00802D35">
        <w:rPr>
          <w:rFonts w:ascii="Times New Roman" w:eastAsia="Times New Roman" w:hAnsi="Times New Roman" w:cs="Times New Roman"/>
          <w:sz w:val="28"/>
          <w:szCs w:val="28"/>
          <w:shd w:val="clear" w:color="auto" w:fill="FFFFFF"/>
          <w:lang w:eastAsia="ru-RU"/>
        </w:rPr>
        <w:t xml:space="preserve"> = 3,8 - 3,5 = 0,3;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24</w:t>
      </w:r>
      <w:r w:rsidRPr="00802D35">
        <w:rPr>
          <w:rFonts w:ascii="Times New Roman" w:eastAsia="Times New Roman" w:hAnsi="Times New Roman" w:cs="Times New Roman"/>
          <w:sz w:val="28"/>
          <w:szCs w:val="28"/>
          <w:shd w:val="clear" w:color="auto" w:fill="FFFFFF"/>
          <w:lang w:eastAsia="ru-RU"/>
        </w:rPr>
        <w:t xml:space="preserve"> = 3,8 - 2,8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34</w:t>
      </w:r>
      <w:r w:rsidRPr="00802D35">
        <w:rPr>
          <w:rFonts w:ascii="Times New Roman" w:eastAsia="Times New Roman" w:hAnsi="Times New Roman" w:cs="Times New Roman"/>
          <w:sz w:val="28"/>
          <w:szCs w:val="28"/>
          <w:shd w:val="clear" w:color="auto" w:fill="FFFFFF"/>
          <w:lang w:eastAsia="ru-RU"/>
        </w:rPr>
        <w:t xml:space="preserve"> = 3.8 - 3.8 = 0;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а</w:t>
      </w:r>
      <w:r w:rsidRPr="00802D35">
        <w:rPr>
          <w:rFonts w:ascii="Times New Roman" w:eastAsia="Times New Roman" w:hAnsi="Times New Roman" w:cs="Times New Roman"/>
          <w:sz w:val="28"/>
          <w:szCs w:val="28"/>
          <w:shd w:val="clear" w:color="auto" w:fill="FFFFFF"/>
          <w:vertAlign w:val="subscript"/>
          <w:lang w:eastAsia="ru-RU"/>
        </w:rPr>
        <w:t>44</w:t>
      </w:r>
      <w:r w:rsidRPr="00802D35">
        <w:rPr>
          <w:rFonts w:ascii="Times New Roman" w:eastAsia="Times New Roman" w:hAnsi="Times New Roman" w:cs="Times New Roman"/>
          <w:sz w:val="28"/>
          <w:szCs w:val="28"/>
          <w:shd w:val="clear" w:color="auto" w:fill="FFFFFF"/>
          <w:lang w:eastAsia="ru-RU"/>
        </w:rPr>
        <w:t xml:space="preserve"> = 3,8 - 3,3 = 0,5</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Необходимо отметить, что полученные результаты по рискам отражают степень различия между возможными принимаемыми решениями относительно соответствующих стратегий. Стратегия предполагает поведение банка относительно направления поступивших в текущий момент времени средств фондирования.</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Результаты расчетов внесены в таблицу 21.</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Таблица 21 - Матрица рисков по критерию Л.Сэвиджа</w:t>
      </w: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3"/>
        <w:gridCol w:w="1643"/>
      </w:tblGrid>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i</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3</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4</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max(a</w:t>
            </w:r>
            <w:r w:rsidRPr="00802D35">
              <w:rPr>
                <w:rFonts w:ascii="Times New Roman" w:eastAsia="Times New Roman" w:hAnsi="Times New Roman" w:cs="Times New Roman"/>
                <w:sz w:val="28"/>
                <w:szCs w:val="28"/>
                <w:vertAlign w:val="subscript"/>
                <w:lang w:eastAsia="ru-RU"/>
              </w:rPr>
              <w:t>ij</w:t>
            </w:r>
            <w:r w:rsidRPr="00802D35">
              <w:rPr>
                <w:rFonts w:ascii="Times New Roman" w:eastAsia="Times New Roman" w:hAnsi="Times New Roman" w:cs="Times New Roman"/>
                <w:sz w:val="28"/>
                <w:szCs w:val="28"/>
                <w:lang w:eastAsia="ru-RU"/>
              </w:rPr>
              <w:t>)</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0,4</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1,1</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0,3</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0,3</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1,1</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0,8</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0,9</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1</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1</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A</w:t>
            </w:r>
            <w:r w:rsidRPr="00802D35">
              <w:rPr>
                <w:rFonts w:ascii="Times New Roman" w:eastAsia="Times New Roman" w:hAnsi="Times New Roman" w:cs="Times New Roman"/>
                <w:i/>
                <w:sz w:val="28"/>
                <w:szCs w:val="28"/>
                <w:vertAlign w:val="subscript"/>
                <w:lang w:eastAsia="ru-RU"/>
              </w:rPr>
              <w:t>3</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0,8</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0,8</w:t>
            </w:r>
          </w:p>
        </w:tc>
      </w:tr>
      <w:tr w:rsidR="00E40DE9" w:rsidRPr="00802D35" w:rsidTr="00E40DE9">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A</w:t>
            </w:r>
            <w:r w:rsidRPr="00802D35">
              <w:rPr>
                <w:rFonts w:ascii="Times New Roman" w:eastAsia="Times New Roman" w:hAnsi="Times New Roman" w:cs="Times New Roman"/>
                <w:i/>
                <w:sz w:val="28"/>
                <w:szCs w:val="28"/>
                <w:vertAlign w:val="subscript"/>
                <w:lang w:eastAsia="ru-RU"/>
              </w:rPr>
              <w:t>4</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0,7</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0,7</w:t>
            </w:r>
          </w:p>
        </w:tc>
        <w:tc>
          <w:tcPr>
            <w:tcW w:w="1642"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0,2</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0,5</w:t>
            </w:r>
          </w:p>
        </w:tc>
        <w:tc>
          <w:tcPr>
            <w:tcW w:w="1643" w:type="dxa"/>
          </w:tcPr>
          <w:p w:rsidR="00E40DE9" w:rsidRPr="00802D35" w:rsidRDefault="00E40DE9" w:rsidP="00E40DE9">
            <w:pPr>
              <w:spacing w:after="0" w:line="240" w:lineRule="auto"/>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0,8</w:t>
            </w:r>
          </w:p>
        </w:tc>
      </w:tr>
      <w:tr w:rsidR="00E40DE9" w:rsidRPr="00802D35" w:rsidTr="00E40DE9">
        <w:tc>
          <w:tcPr>
            <w:tcW w:w="9854" w:type="dxa"/>
            <w:gridSpan w:val="6"/>
          </w:tcPr>
          <w:p w:rsidR="00E40DE9" w:rsidRPr="00802D35" w:rsidRDefault="00E40DE9" w:rsidP="00E40DE9">
            <w:pPr>
              <w:spacing w:after="0" w:line="240" w:lineRule="auto"/>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Примечание – составлено на основании расчетов</w:t>
            </w:r>
          </w:p>
        </w:tc>
      </w:tr>
    </w:tbl>
    <w:p w:rsidR="00E40DE9" w:rsidRPr="00802D35" w:rsidRDefault="00E40DE9" w:rsidP="00E40DE9">
      <w:pPr>
        <w:spacing w:after="0" w:line="240" w:lineRule="auto"/>
        <w:ind w:firstLine="567"/>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Из матрицы следует выбрать </w:t>
      </w:r>
      <w:r w:rsidRPr="00802D35">
        <w:rPr>
          <w:rFonts w:ascii="Times New Roman" w:eastAsia="Times New Roman" w:hAnsi="Times New Roman" w:cs="Times New Roman"/>
          <w:sz w:val="28"/>
          <w:szCs w:val="28"/>
          <w:lang w:eastAsia="ru-RU"/>
        </w:rPr>
        <w:t>max(a</w:t>
      </w:r>
      <w:r w:rsidRPr="00802D35">
        <w:rPr>
          <w:rFonts w:ascii="Times New Roman" w:eastAsia="Times New Roman" w:hAnsi="Times New Roman" w:cs="Times New Roman"/>
          <w:sz w:val="28"/>
          <w:szCs w:val="28"/>
          <w:vertAlign w:val="subscript"/>
          <w:lang w:eastAsia="ru-RU"/>
        </w:rPr>
        <w:t>ij</w:t>
      </w:r>
      <w:r w:rsidRPr="00802D35">
        <w:rPr>
          <w:rFonts w:ascii="Times New Roman" w:eastAsia="Times New Roman" w:hAnsi="Times New Roman" w:cs="Times New Roman"/>
          <w:sz w:val="28"/>
          <w:szCs w:val="28"/>
          <w:lang w:eastAsia="ru-RU"/>
        </w:rPr>
        <w:t xml:space="preserve">) </w:t>
      </w:r>
      <w:r w:rsidRPr="00802D35">
        <w:rPr>
          <w:rFonts w:ascii="Times New Roman" w:eastAsia="Times New Roman" w:hAnsi="Times New Roman" w:cs="Times New Roman"/>
          <w:sz w:val="28"/>
          <w:szCs w:val="28"/>
          <w:shd w:val="clear" w:color="auto" w:fill="FFFFFF"/>
          <w:lang w:eastAsia="ru-RU"/>
        </w:rPr>
        <w:t>(1,1; 1; 0,8; 0,8) минимальный элемент, который в данном случае равен min = 0,8, поэтому оптимальным вариантом становится стратегия А</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xml:space="preserve"> или А</w:t>
      </w:r>
      <w:r w:rsidRPr="00802D35">
        <w:rPr>
          <w:rFonts w:ascii="Times New Roman" w:eastAsia="Times New Roman" w:hAnsi="Times New Roman" w:cs="Times New Roman"/>
          <w:sz w:val="28"/>
          <w:szCs w:val="28"/>
          <w:shd w:val="clear" w:color="auto" w:fill="FFFFFF"/>
          <w:vertAlign w:val="subscript"/>
          <w:lang w:eastAsia="ru-RU"/>
        </w:rPr>
        <w:t>4</w:t>
      </w:r>
      <w:r w:rsidRPr="00802D35">
        <w:rPr>
          <w:rFonts w:ascii="Times New Roman" w:eastAsia="Times New Roman" w:hAnsi="Times New Roman" w:cs="Times New Roman"/>
          <w:sz w:val="28"/>
          <w:szCs w:val="28"/>
          <w:shd w:val="clear" w:color="auto" w:fill="FFFFFF"/>
          <w:lang w:eastAsia="ru-RU"/>
        </w:rPr>
        <w:t xml:space="preserve"> (на усмотрение банка), при которой N = 3.</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Рассчитаем средний риск по критерию Л.Сэвиджа (таблица 22).</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Минимальное значение среднего риска - 0,2. Поэтому, если стоимость актива превышает стоимость инструмента фондирования на это значение, проектирование эксперимента становится нецелесообразным.</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lastRenderedPageBreak/>
        <w:t>Критерий А.Гурвица учитывает возможность как худшего, так и лучшего положения как для актива, так и для инструмента фондирования.</w:t>
      </w: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Таблица 22 - Проверка результатов, полученных по критерию Л.Сэвиджа</w:t>
      </w: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p>
    <w:tbl>
      <w:tblPr>
        <w:tblStyle w:val="af1"/>
        <w:tblW w:w="0" w:type="auto"/>
        <w:tblLook w:val="04A0" w:firstRow="1" w:lastRow="0" w:firstColumn="1" w:lastColumn="0" w:noHBand="0" w:noVBand="1"/>
      </w:tblPr>
      <w:tblGrid>
        <w:gridCol w:w="1642"/>
        <w:gridCol w:w="1642"/>
        <w:gridCol w:w="1642"/>
        <w:gridCol w:w="1642"/>
        <w:gridCol w:w="1643"/>
        <w:gridCol w:w="1643"/>
      </w:tblGrid>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i</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3</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4</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r</w:t>
            </w:r>
            <w:r w:rsidRPr="00802D35">
              <w:rPr>
                <w:rFonts w:ascii="Times New Roman" w:eastAsia="Times New Roman" w:hAnsi="Times New Roman" w:cs="Times New Roman"/>
                <w:sz w:val="28"/>
                <w:szCs w:val="28"/>
                <w:vertAlign w:val="subscript"/>
                <w:lang w:eastAsia="ru-RU"/>
              </w:rPr>
              <w:t>i</w:t>
            </w:r>
          </w:p>
        </w:tc>
      </w:tr>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1</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0,4</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1,1</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0,3</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0,3</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0,55</w:t>
            </w:r>
          </w:p>
        </w:tc>
      </w:tr>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2</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0,8</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0,9</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1</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0,7</w:t>
            </w:r>
          </w:p>
        </w:tc>
      </w:tr>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A</w:t>
            </w:r>
            <w:r w:rsidRPr="00802D35">
              <w:rPr>
                <w:rFonts w:ascii="Times New Roman" w:eastAsia="Times New Roman" w:hAnsi="Times New Roman" w:cs="Times New Roman"/>
                <w:i/>
                <w:sz w:val="28"/>
                <w:szCs w:val="28"/>
                <w:vertAlign w:val="subscript"/>
                <w:lang w:eastAsia="ru-RU"/>
              </w:rPr>
              <w:t>3</w:t>
            </w:r>
          </w:p>
        </w:tc>
        <w:tc>
          <w:tcPr>
            <w:tcW w:w="1642"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w:t>
            </w:r>
          </w:p>
        </w:tc>
        <w:tc>
          <w:tcPr>
            <w:tcW w:w="1642"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w:t>
            </w:r>
          </w:p>
        </w:tc>
        <w:tc>
          <w:tcPr>
            <w:tcW w:w="1642"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0,8</w:t>
            </w:r>
          </w:p>
        </w:tc>
        <w:tc>
          <w:tcPr>
            <w:tcW w:w="1643"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w:t>
            </w:r>
          </w:p>
        </w:tc>
        <w:tc>
          <w:tcPr>
            <w:tcW w:w="1643"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0,2</w:t>
            </w:r>
          </w:p>
        </w:tc>
      </w:tr>
      <w:tr w:rsidR="00E40DE9" w:rsidRPr="00802D35" w:rsidTr="00E40DE9">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4</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0,7</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0,7</w:t>
            </w:r>
          </w:p>
        </w:tc>
        <w:tc>
          <w:tcPr>
            <w:tcW w:w="164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0,2</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0,5</w:t>
            </w:r>
          </w:p>
        </w:tc>
        <w:tc>
          <w:tcPr>
            <w:tcW w:w="164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0,55</w:t>
            </w:r>
          </w:p>
        </w:tc>
      </w:tr>
      <w:tr w:rsidR="00E40DE9" w:rsidRPr="00802D35" w:rsidTr="00E40DE9">
        <w:tc>
          <w:tcPr>
            <w:tcW w:w="9854" w:type="dxa"/>
            <w:gridSpan w:val="6"/>
          </w:tcPr>
          <w:p w:rsidR="00E40DE9" w:rsidRPr="00802D35" w:rsidRDefault="00E40DE9" w:rsidP="00E40DE9">
            <w:pPr>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lang w:eastAsia="ru-RU"/>
              </w:rPr>
              <w:t>Примечание – составлено на основании расчетов</w:t>
            </w:r>
          </w:p>
        </w:tc>
      </w:tr>
    </w:tbl>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Рассчитаем s</w:t>
      </w:r>
      <w:r w:rsidRPr="00802D35">
        <w:rPr>
          <w:rFonts w:ascii="Times New Roman" w:eastAsia="Times New Roman" w:hAnsi="Times New Roman" w:cs="Times New Roman"/>
          <w:sz w:val="28"/>
          <w:szCs w:val="28"/>
          <w:shd w:val="clear" w:color="auto" w:fill="FFFFFF"/>
          <w:vertAlign w:val="subscript"/>
          <w:lang w:eastAsia="ru-RU"/>
        </w:rPr>
        <w:t>i</w:t>
      </w:r>
      <w:r w:rsidRPr="00802D35">
        <w:rPr>
          <w:rFonts w:ascii="Times New Roman" w:eastAsia="Times New Roman" w:hAnsi="Times New Roman" w:cs="Times New Roman"/>
          <w:sz w:val="28"/>
          <w:szCs w:val="28"/>
          <w:shd w:val="clear" w:color="auto" w:fill="FFFFFF"/>
          <w:lang w:eastAsia="ru-RU"/>
        </w:rPr>
        <w:t xml:space="preserve"> и занесем результаты в матрицу (таблица 23).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s</w:t>
      </w:r>
      <w:r w:rsidRPr="00802D35">
        <w:rPr>
          <w:rFonts w:ascii="Times New Roman" w:eastAsia="Times New Roman" w:hAnsi="Times New Roman" w:cs="Times New Roman"/>
          <w:sz w:val="28"/>
          <w:szCs w:val="28"/>
          <w:shd w:val="clear" w:color="auto" w:fill="FFFFFF"/>
          <w:vertAlign w:val="subscript"/>
          <w:lang w:eastAsia="ru-RU"/>
        </w:rPr>
        <w:t>1</w:t>
      </w:r>
      <w:r w:rsidRPr="00802D35">
        <w:rPr>
          <w:rFonts w:ascii="Times New Roman" w:eastAsia="Times New Roman" w:hAnsi="Times New Roman" w:cs="Times New Roman"/>
          <w:sz w:val="28"/>
          <w:szCs w:val="28"/>
          <w:shd w:val="clear" w:color="auto" w:fill="FFFFFF"/>
          <w:lang w:eastAsia="ru-RU"/>
        </w:rPr>
        <w:t> = 0,5*2,5+(1-0,5)*3,7 = 3,1</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s</w:t>
      </w:r>
      <w:r w:rsidRPr="00802D35">
        <w:rPr>
          <w:rFonts w:ascii="Times New Roman" w:eastAsia="Times New Roman" w:hAnsi="Times New Roman" w:cs="Times New Roman"/>
          <w:sz w:val="28"/>
          <w:szCs w:val="28"/>
          <w:shd w:val="clear" w:color="auto" w:fill="FFFFFF"/>
          <w:vertAlign w:val="subscript"/>
          <w:lang w:eastAsia="ru-RU"/>
        </w:rPr>
        <w:t>2</w:t>
      </w:r>
      <w:r w:rsidRPr="00802D35">
        <w:rPr>
          <w:rFonts w:ascii="Times New Roman" w:eastAsia="Times New Roman" w:hAnsi="Times New Roman" w:cs="Times New Roman"/>
          <w:sz w:val="28"/>
          <w:szCs w:val="28"/>
          <w:shd w:val="clear" w:color="auto" w:fill="FFFFFF"/>
          <w:lang w:eastAsia="ru-RU"/>
        </w:rPr>
        <w:t> = 0,5*2,1+(1-0,5)*4 = 3,05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s</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 0,5*2,9+(1-0,5)*4,1 = 3,55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s</w:t>
      </w:r>
      <w:r w:rsidRPr="00802D35">
        <w:rPr>
          <w:rFonts w:ascii="Times New Roman" w:eastAsia="Times New Roman" w:hAnsi="Times New Roman" w:cs="Times New Roman"/>
          <w:sz w:val="28"/>
          <w:szCs w:val="28"/>
          <w:shd w:val="clear" w:color="auto" w:fill="FFFFFF"/>
          <w:vertAlign w:val="subscript"/>
          <w:lang w:eastAsia="ru-RU"/>
        </w:rPr>
        <w:t>4</w:t>
      </w:r>
      <w:r w:rsidRPr="00802D35">
        <w:rPr>
          <w:rFonts w:ascii="Times New Roman" w:eastAsia="Times New Roman" w:hAnsi="Times New Roman" w:cs="Times New Roman"/>
          <w:sz w:val="28"/>
          <w:szCs w:val="28"/>
          <w:shd w:val="clear" w:color="auto" w:fill="FFFFFF"/>
          <w:lang w:eastAsia="ru-RU"/>
        </w:rPr>
        <w:t> = 0,5*2,2+(1-0,5)*3,8 = 3.</w:t>
      </w: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Таблица 23 - Матрица решений по критерию А.Гурвица</w:t>
      </w:r>
    </w:p>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tbl>
      <w:tblPr>
        <w:tblStyle w:val="af1"/>
        <w:tblW w:w="0" w:type="auto"/>
        <w:tblLook w:val="04A0" w:firstRow="1" w:lastRow="0" w:firstColumn="1" w:lastColumn="0" w:noHBand="0" w:noVBand="1"/>
      </w:tblPr>
      <w:tblGrid>
        <w:gridCol w:w="817"/>
        <w:gridCol w:w="773"/>
        <w:gridCol w:w="851"/>
        <w:gridCol w:w="786"/>
        <w:gridCol w:w="850"/>
        <w:gridCol w:w="1134"/>
        <w:gridCol w:w="1134"/>
        <w:gridCol w:w="3402"/>
      </w:tblGrid>
      <w:tr w:rsidR="00E40DE9" w:rsidRPr="00276CDB" w:rsidTr="00E40DE9">
        <w:tc>
          <w:tcPr>
            <w:tcW w:w="817"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i</w:t>
            </w:r>
          </w:p>
        </w:tc>
        <w:tc>
          <w:tcPr>
            <w:tcW w:w="77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1</w:t>
            </w:r>
          </w:p>
        </w:tc>
        <w:tc>
          <w:tcPr>
            <w:tcW w:w="851"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2</w:t>
            </w:r>
          </w:p>
        </w:tc>
        <w:tc>
          <w:tcPr>
            <w:tcW w:w="786"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3</w:t>
            </w:r>
          </w:p>
        </w:tc>
        <w:tc>
          <w:tcPr>
            <w:tcW w:w="850"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L</w:t>
            </w:r>
            <w:r w:rsidRPr="00802D35">
              <w:rPr>
                <w:rFonts w:ascii="Times New Roman" w:eastAsia="Times New Roman" w:hAnsi="Times New Roman" w:cs="Times New Roman"/>
                <w:sz w:val="28"/>
                <w:szCs w:val="28"/>
                <w:vertAlign w:val="subscript"/>
                <w:lang w:eastAsia="ru-RU"/>
              </w:rPr>
              <w:t>4</w:t>
            </w:r>
          </w:p>
        </w:tc>
        <w:tc>
          <w:tcPr>
            <w:tcW w:w="1134"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min(s</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w:t>
            </w:r>
          </w:p>
        </w:tc>
        <w:tc>
          <w:tcPr>
            <w:tcW w:w="1134"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max(s</w:t>
            </w:r>
            <w:r w:rsidRPr="00802D35">
              <w:rPr>
                <w:rFonts w:ascii="Times New Roman" w:eastAsia="Times New Roman" w:hAnsi="Times New Roman" w:cs="Times New Roman"/>
                <w:sz w:val="28"/>
                <w:szCs w:val="28"/>
                <w:vertAlign w:val="subscript"/>
                <w:lang w:eastAsia="ru-RU"/>
              </w:rPr>
              <w:t>j</w:t>
            </w:r>
            <w:r w:rsidRPr="00802D35">
              <w:rPr>
                <w:rFonts w:ascii="Times New Roman" w:eastAsia="Times New Roman" w:hAnsi="Times New Roman" w:cs="Times New Roman"/>
                <w:sz w:val="28"/>
                <w:szCs w:val="28"/>
                <w:lang w:eastAsia="ru-RU"/>
              </w:rPr>
              <w:t>)</w:t>
            </w:r>
          </w:p>
        </w:tc>
        <w:tc>
          <w:tcPr>
            <w:tcW w:w="3402" w:type="dxa"/>
          </w:tcPr>
          <w:p w:rsidR="00E40DE9" w:rsidRPr="00802D35" w:rsidRDefault="00E40DE9" w:rsidP="00E40DE9">
            <w:pPr>
              <w:jc w:val="center"/>
              <w:rPr>
                <w:rFonts w:ascii="Times New Roman" w:eastAsia="Times New Roman" w:hAnsi="Times New Roman" w:cs="Times New Roman"/>
                <w:sz w:val="28"/>
                <w:szCs w:val="28"/>
                <w:lang w:val="en-US" w:eastAsia="ru-RU"/>
              </w:rPr>
            </w:pPr>
            <w:r w:rsidRPr="00802D35">
              <w:rPr>
                <w:rFonts w:ascii="Times New Roman" w:eastAsia="Times New Roman" w:hAnsi="Times New Roman" w:cs="Times New Roman"/>
                <w:sz w:val="28"/>
                <w:szCs w:val="28"/>
                <w:shd w:val="clear" w:color="auto" w:fill="FFFFFF"/>
                <w:lang w:val="en-US" w:eastAsia="ru-RU"/>
              </w:rPr>
              <w:t>Y(min(s</w:t>
            </w:r>
            <w:r w:rsidRPr="00802D35">
              <w:rPr>
                <w:rFonts w:ascii="Times New Roman" w:eastAsia="Times New Roman" w:hAnsi="Times New Roman" w:cs="Times New Roman"/>
                <w:sz w:val="28"/>
                <w:szCs w:val="28"/>
                <w:shd w:val="clear" w:color="auto" w:fill="FFFFFF"/>
                <w:vertAlign w:val="subscript"/>
                <w:lang w:val="en-US" w:eastAsia="ru-RU"/>
              </w:rPr>
              <w:t>i</w:t>
            </w:r>
            <w:r w:rsidRPr="00802D35">
              <w:rPr>
                <w:rFonts w:ascii="Times New Roman" w:eastAsia="Times New Roman" w:hAnsi="Times New Roman" w:cs="Times New Roman"/>
                <w:sz w:val="28"/>
                <w:szCs w:val="28"/>
                <w:shd w:val="clear" w:color="auto" w:fill="FFFFFF"/>
                <w:lang w:val="en-US" w:eastAsia="ru-RU"/>
              </w:rPr>
              <w:t>) + (1-Y)(max(s</w:t>
            </w:r>
            <w:r w:rsidRPr="00802D35">
              <w:rPr>
                <w:rFonts w:ascii="Times New Roman" w:eastAsia="Times New Roman" w:hAnsi="Times New Roman" w:cs="Times New Roman"/>
                <w:sz w:val="28"/>
                <w:szCs w:val="28"/>
                <w:shd w:val="clear" w:color="auto" w:fill="FFFFFF"/>
                <w:vertAlign w:val="subscript"/>
                <w:lang w:val="en-US" w:eastAsia="ru-RU"/>
              </w:rPr>
              <w:t>j</w:t>
            </w:r>
            <w:r w:rsidRPr="00802D35">
              <w:rPr>
                <w:rFonts w:ascii="Times New Roman" w:eastAsia="Times New Roman" w:hAnsi="Times New Roman" w:cs="Times New Roman"/>
                <w:sz w:val="28"/>
                <w:szCs w:val="28"/>
                <w:shd w:val="clear" w:color="auto" w:fill="FFFFFF"/>
                <w:lang w:val="en-US" w:eastAsia="ru-RU"/>
              </w:rPr>
              <w:t>))</w:t>
            </w:r>
          </w:p>
        </w:tc>
      </w:tr>
      <w:tr w:rsidR="00E40DE9" w:rsidRPr="00802D35" w:rsidTr="00E40DE9">
        <w:tc>
          <w:tcPr>
            <w:tcW w:w="817"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1</w:t>
            </w:r>
          </w:p>
        </w:tc>
        <w:tc>
          <w:tcPr>
            <w:tcW w:w="77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2,5</w:t>
            </w:r>
          </w:p>
        </w:tc>
        <w:tc>
          <w:tcPr>
            <w:tcW w:w="851"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w:t>
            </w:r>
          </w:p>
        </w:tc>
        <w:tc>
          <w:tcPr>
            <w:tcW w:w="786"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3,7</w:t>
            </w:r>
          </w:p>
        </w:tc>
        <w:tc>
          <w:tcPr>
            <w:tcW w:w="850"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3,5</w:t>
            </w:r>
          </w:p>
        </w:tc>
        <w:tc>
          <w:tcPr>
            <w:tcW w:w="1134"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2,5</w:t>
            </w:r>
          </w:p>
        </w:tc>
        <w:tc>
          <w:tcPr>
            <w:tcW w:w="1134"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3,7</w:t>
            </w:r>
          </w:p>
        </w:tc>
        <w:tc>
          <w:tcPr>
            <w:tcW w:w="340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3,1</w:t>
            </w:r>
          </w:p>
        </w:tc>
      </w:tr>
      <w:tr w:rsidR="00E40DE9" w:rsidRPr="00802D35" w:rsidTr="00E40DE9">
        <w:tc>
          <w:tcPr>
            <w:tcW w:w="817"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2</w:t>
            </w:r>
          </w:p>
        </w:tc>
        <w:tc>
          <w:tcPr>
            <w:tcW w:w="77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2,1</w:t>
            </w:r>
          </w:p>
        </w:tc>
        <w:tc>
          <w:tcPr>
            <w:tcW w:w="851"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3,2</w:t>
            </w:r>
          </w:p>
        </w:tc>
        <w:tc>
          <w:tcPr>
            <w:tcW w:w="786"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4</w:t>
            </w:r>
          </w:p>
        </w:tc>
        <w:tc>
          <w:tcPr>
            <w:tcW w:w="850"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2,8</w:t>
            </w:r>
          </w:p>
        </w:tc>
        <w:tc>
          <w:tcPr>
            <w:tcW w:w="1134"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2,1</w:t>
            </w:r>
          </w:p>
        </w:tc>
        <w:tc>
          <w:tcPr>
            <w:tcW w:w="1134"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4</w:t>
            </w:r>
          </w:p>
        </w:tc>
        <w:tc>
          <w:tcPr>
            <w:tcW w:w="340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3,05</w:t>
            </w:r>
          </w:p>
        </w:tc>
      </w:tr>
      <w:tr w:rsidR="00E40DE9" w:rsidRPr="00802D35" w:rsidTr="00E40DE9">
        <w:tc>
          <w:tcPr>
            <w:tcW w:w="817"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A</w:t>
            </w:r>
            <w:r w:rsidRPr="00802D35">
              <w:rPr>
                <w:rFonts w:ascii="Times New Roman" w:eastAsia="Times New Roman" w:hAnsi="Times New Roman" w:cs="Times New Roman"/>
                <w:i/>
                <w:sz w:val="28"/>
                <w:szCs w:val="28"/>
                <w:vertAlign w:val="subscript"/>
                <w:lang w:eastAsia="ru-RU"/>
              </w:rPr>
              <w:t>3</w:t>
            </w:r>
          </w:p>
        </w:tc>
        <w:tc>
          <w:tcPr>
            <w:tcW w:w="773"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2,9</w:t>
            </w:r>
          </w:p>
        </w:tc>
        <w:tc>
          <w:tcPr>
            <w:tcW w:w="851"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4,1</w:t>
            </w:r>
          </w:p>
        </w:tc>
        <w:tc>
          <w:tcPr>
            <w:tcW w:w="786"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3,2</w:t>
            </w:r>
          </w:p>
        </w:tc>
        <w:tc>
          <w:tcPr>
            <w:tcW w:w="850"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3,8</w:t>
            </w:r>
          </w:p>
        </w:tc>
        <w:tc>
          <w:tcPr>
            <w:tcW w:w="1134"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2,9</w:t>
            </w:r>
          </w:p>
        </w:tc>
        <w:tc>
          <w:tcPr>
            <w:tcW w:w="1134"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4,1</w:t>
            </w:r>
          </w:p>
        </w:tc>
        <w:tc>
          <w:tcPr>
            <w:tcW w:w="3402" w:type="dxa"/>
          </w:tcPr>
          <w:p w:rsidR="00E40DE9" w:rsidRPr="00802D35" w:rsidRDefault="00E40DE9" w:rsidP="00E40DE9">
            <w:pPr>
              <w:jc w:val="center"/>
              <w:rPr>
                <w:rFonts w:ascii="Times New Roman" w:eastAsia="Times New Roman" w:hAnsi="Times New Roman" w:cs="Times New Roman"/>
                <w:i/>
                <w:sz w:val="28"/>
                <w:szCs w:val="28"/>
                <w:lang w:eastAsia="ru-RU"/>
              </w:rPr>
            </w:pPr>
            <w:r w:rsidRPr="00802D35">
              <w:rPr>
                <w:rFonts w:ascii="Times New Roman" w:eastAsia="Times New Roman" w:hAnsi="Times New Roman" w:cs="Times New Roman"/>
                <w:i/>
                <w:sz w:val="28"/>
                <w:szCs w:val="28"/>
                <w:lang w:eastAsia="ru-RU"/>
              </w:rPr>
              <w:t>3,55</w:t>
            </w:r>
          </w:p>
        </w:tc>
      </w:tr>
      <w:tr w:rsidR="00E40DE9" w:rsidRPr="00802D35" w:rsidTr="00E40DE9">
        <w:tc>
          <w:tcPr>
            <w:tcW w:w="817"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A</w:t>
            </w:r>
            <w:r w:rsidRPr="00802D35">
              <w:rPr>
                <w:rFonts w:ascii="Times New Roman" w:eastAsia="Times New Roman" w:hAnsi="Times New Roman" w:cs="Times New Roman"/>
                <w:sz w:val="28"/>
                <w:szCs w:val="28"/>
                <w:vertAlign w:val="subscript"/>
                <w:lang w:eastAsia="ru-RU"/>
              </w:rPr>
              <w:t>4</w:t>
            </w:r>
          </w:p>
        </w:tc>
        <w:tc>
          <w:tcPr>
            <w:tcW w:w="773"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2,2</w:t>
            </w:r>
          </w:p>
        </w:tc>
        <w:tc>
          <w:tcPr>
            <w:tcW w:w="851"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3,4</w:t>
            </w:r>
          </w:p>
        </w:tc>
        <w:tc>
          <w:tcPr>
            <w:tcW w:w="786"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3,8</w:t>
            </w:r>
          </w:p>
        </w:tc>
        <w:tc>
          <w:tcPr>
            <w:tcW w:w="850"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3,3</w:t>
            </w:r>
          </w:p>
        </w:tc>
        <w:tc>
          <w:tcPr>
            <w:tcW w:w="1134"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2,2</w:t>
            </w:r>
          </w:p>
        </w:tc>
        <w:tc>
          <w:tcPr>
            <w:tcW w:w="1134"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3,8</w:t>
            </w:r>
          </w:p>
        </w:tc>
        <w:tc>
          <w:tcPr>
            <w:tcW w:w="3402" w:type="dxa"/>
          </w:tcPr>
          <w:p w:rsidR="00E40DE9" w:rsidRPr="00802D35" w:rsidRDefault="00E40DE9" w:rsidP="00E40DE9">
            <w:pPr>
              <w:jc w:val="center"/>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3</w:t>
            </w:r>
          </w:p>
        </w:tc>
      </w:tr>
      <w:tr w:rsidR="00E40DE9" w:rsidRPr="00802D35" w:rsidTr="00E40DE9">
        <w:tc>
          <w:tcPr>
            <w:tcW w:w="9747" w:type="dxa"/>
            <w:gridSpan w:val="8"/>
          </w:tcPr>
          <w:p w:rsidR="00E40DE9" w:rsidRPr="00802D35" w:rsidRDefault="00E40DE9" w:rsidP="00E40DE9">
            <w:pPr>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lang w:eastAsia="ru-RU"/>
              </w:rPr>
              <w:t>Примечание – составлено на основании расчетов</w:t>
            </w:r>
          </w:p>
        </w:tc>
      </w:tr>
    </w:tbl>
    <w:p w:rsidR="00E40DE9" w:rsidRPr="00802D35" w:rsidRDefault="00E40DE9" w:rsidP="00E40DE9">
      <w:pPr>
        <w:spacing w:after="0" w:line="240" w:lineRule="auto"/>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Из матрицы решений следует выбрать </w:t>
      </w:r>
      <w:r w:rsidRPr="00802D35">
        <w:rPr>
          <w:rFonts w:ascii="Times New Roman" w:eastAsia="Times New Roman" w:hAnsi="Times New Roman" w:cs="Times New Roman"/>
          <w:sz w:val="28"/>
          <w:szCs w:val="28"/>
          <w:lang w:eastAsia="ru-RU"/>
        </w:rPr>
        <w:t>y min(a</w:t>
      </w:r>
      <w:r w:rsidRPr="00802D35">
        <w:rPr>
          <w:rFonts w:ascii="Times New Roman" w:eastAsia="Times New Roman" w:hAnsi="Times New Roman" w:cs="Times New Roman"/>
          <w:sz w:val="28"/>
          <w:szCs w:val="28"/>
          <w:vertAlign w:val="subscript"/>
          <w:lang w:eastAsia="ru-RU"/>
        </w:rPr>
        <w:t>ij</w:t>
      </w:r>
      <w:r w:rsidRPr="00802D35">
        <w:rPr>
          <w:rFonts w:ascii="Times New Roman" w:eastAsia="Times New Roman" w:hAnsi="Times New Roman" w:cs="Times New Roman"/>
          <w:sz w:val="28"/>
          <w:szCs w:val="28"/>
          <w:lang w:eastAsia="ru-RU"/>
        </w:rPr>
        <w:t>) + (1-y)max(a</w:t>
      </w:r>
      <w:r w:rsidRPr="00802D35">
        <w:rPr>
          <w:rFonts w:ascii="Times New Roman" w:eastAsia="Times New Roman" w:hAnsi="Times New Roman" w:cs="Times New Roman"/>
          <w:sz w:val="28"/>
          <w:szCs w:val="28"/>
          <w:vertAlign w:val="subscript"/>
          <w:lang w:eastAsia="ru-RU"/>
        </w:rPr>
        <w:t>ij</w:t>
      </w:r>
      <w:r w:rsidRPr="00802D35">
        <w:rPr>
          <w:rFonts w:ascii="Times New Roman" w:eastAsia="Times New Roman" w:hAnsi="Times New Roman" w:cs="Times New Roman"/>
          <w:sz w:val="28"/>
          <w:szCs w:val="28"/>
          <w:lang w:eastAsia="ru-RU"/>
        </w:rPr>
        <w:t>)</w:t>
      </w:r>
      <w:r w:rsidRPr="00802D35">
        <w:rPr>
          <w:rFonts w:ascii="Times New Roman" w:eastAsia="Times New Roman" w:hAnsi="Times New Roman" w:cs="Times New Roman"/>
          <w:sz w:val="28"/>
          <w:szCs w:val="28"/>
          <w:shd w:val="clear" w:color="auto" w:fill="FFFFFF"/>
          <w:lang w:eastAsia="ru-RU"/>
        </w:rPr>
        <w:t xml:space="preserve"> из (3,1; 3,05; 3,55; 3) максимальный элемент, который в данном случае равен max = 3,55, поэтому оптимальной является стратегия А</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при которой N = 3.</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Сведем все результаты в матричную диаграмму, отражающие показатели максимума или минимума критериев (рисунок 41).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 В результате применения метода Брауна-Робинсона и различных критериев Т.Байеса, А.Вальда, Л.Сэвиджа и А.Гурвица во всех случаях была выбрана стратегия для актива А</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за исключением, когда применялся критерий Л.Сэвиджа. При нем оптимальными оказались две стратегии А</w:t>
      </w:r>
      <w:r w:rsidRPr="00802D35">
        <w:rPr>
          <w:rFonts w:ascii="Times New Roman" w:eastAsia="Times New Roman" w:hAnsi="Times New Roman" w:cs="Times New Roman"/>
          <w:sz w:val="28"/>
          <w:szCs w:val="28"/>
          <w:shd w:val="clear" w:color="auto" w:fill="FFFFFF"/>
          <w:vertAlign w:val="subscript"/>
          <w:lang w:eastAsia="ru-RU"/>
        </w:rPr>
        <w:t>3</w:t>
      </w:r>
      <w:r w:rsidRPr="00802D35">
        <w:rPr>
          <w:rFonts w:ascii="Times New Roman" w:eastAsia="Times New Roman" w:hAnsi="Times New Roman" w:cs="Times New Roman"/>
          <w:sz w:val="28"/>
          <w:szCs w:val="28"/>
          <w:shd w:val="clear" w:color="auto" w:fill="FFFFFF"/>
          <w:lang w:eastAsia="ru-RU"/>
        </w:rPr>
        <w:t xml:space="preserve"> и А</w:t>
      </w:r>
      <w:r w:rsidRPr="00802D35">
        <w:rPr>
          <w:rFonts w:ascii="Times New Roman" w:eastAsia="Times New Roman" w:hAnsi="Times New Roman" w:cs="Times New Roman"/>
          <w:sz w:val="28"/>
          <w:szCs w:val="28"/>
          <w:shd w:val="clear" w:color="auto" w:fill="FFFFFF"/>
          <w:vertAlign w:val="subscript"/>
          <w:lang w:eastAsia="ru-RU"/>
        </w:rPr>
        <w:t>4</w:t>
      </w:r>
      <w:r w:rsidRPr="00802D35">
        <w:rPr>
          <w:rFonts w:ascii="Times New Roman" w:eastAsia="Times New Roman" w:hAnsi="Times New Roman" w:cs="Times New Roman"/>
          <w:sz w:val="28"/>
          <w:szCs w:val="28"/>
          <w:shd w:val="clear" w:color="auto" w:fill="FFFFFF"/>
          <w:lang w:eastAsia="ru-RU"/>
        </w:rPr>
        <w:t>. Однако, ввиду того, что по остальным критериям оптимальной являлась стратегия А</w:t>
      </w:r>
      <w:r w:rsidRPr="00802D35">
        <w:rPr>
          <w:rFonts w:ascii="Times New Roman" w:eastAsia="Times New Roman" w:hAnsi="Times New Roman" w:cs="Times New Roman"/>
          <w:sz w:val="28"/>
          <w:szCs w:val="28"/>
          <w:shd w:val="clear" w:color="auto" w:fill="FFFFFF"/>
          <w:vertAlign w:val="subscript"/>
          <w:lang w:eastAsia="ru-RU"/>
        </w:rPr>
        <w:t xml:space="preserve">3 </w:t>
      </w:r>
      <w:r w:rsidRPr="00802D35">
        <w:rPr>
          <w:rFonts w:ascii="Times New Roman" w:eastAsia="Times New Roman" w:hAnsi="Times New Roman" w:cs="Times New Roman"/>
          <w:sz w:val="28"/>
          <w:szCs w:val="28"/>
          <w:shd w:val="clear" w:color="auto" w:fill="FFFFFF"/>
          <w:lang w:eastAsia="ru-RU"/>
        </w:rPr>
        <w:t xml:space="preserve">вполне очевидно, что именно она является наиболее приемлемым вариантом.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Полученные результаты предполагают, что необходимо использовать имеющиеся инструменты фондирования для финансирования активных операций 3-ей стратегии, то есть кредитования корпоративных клиентов, поскольку в этом случае достигается самый высокий спред в процентах. Одновременно, из представленных вариантов эта стратегия обеспечивает </w:t>
      </w:r>
      <w:r w:rsidRPr="00802D35">
        <w:rPr>
          <w:rFonts w:ascii="Times New Roman" w:eastAsia="Times New Roman" w:hAnsi="Times New Roman" w:cs="Times New Roman"/>
          <w:sz w:val="28"/>
          <w:szCs w:val="28"/>
          <w:shd w:val="clear" w:color="auto" w:fill="FFFFFF"/>
          <w:lang w:eastAsia="ru-RU"/>
        </w:rPr>
        <w:lastRenderedPageBreak/>
        <w:t xml:space="preserve">наилучший исход событий при негативных условиях, то есть высоких рисках и высокой стоимости фондирования.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E40DE9" w:rsidRPr="00802D35" w:rsidRDefault="005368DA" w:rsidP="00E40DE9">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simplePos x="0" y="0"/>
                <wp:positionH relativeFrom="column">
                  <wp:posOffset>1951355</wp:posOffset>
                </wp:positionH>
                <wp:positionV relativeFrom="paragraph">
                  <wp:posOffset>66040</wp:posOffset>
                </wp:positionV>
                <wp:extent cx="384175" cy="281940"/>
                <wp:effectExtent l="0" t="0" r="0" b="3810"/>
                <wp:wrapNone/>
                <wp:docPr id="3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81940"/>
                        </a:xfrm>
                        <a:prstGeom prst="rect">
                          <a:avLst/>
                        </a:prstGeom>
                        <a:noFill/>
                        <a:ln w="9525">
                          <a:noFill/>
                          <a:miter lim="800000"/>
                          <a:headEnd/>
                          <a:tailEnd/>
                        </a:ln>
                      </wps:spPr>
                      <wps:txbx>
                        <w:txbxContent>
                          <w:p w:rsidR="000C2C64" w:rsidRPr="00746050" w:rsidRDefault="000C2C64" w:rsidP="00E40DE9">
                            <w:pPr>
                              <w:rPr>
                                <w:rFonts w:ascii="Times New Roman" w:hAnsi="Times New Roman" w:cs="Times New Roman"/>
                                <w:b/>
                                <w:i/>
                              </w:rPr>
                            </w:pPr>
                            <w:r w:rsidRPr="00746050">
                              <w:rPr>
                                <w:rFonts w:ascii="Times New Roman" w:hAnsi="Times New Roman" w:cs="Times New Roman"/>
                                <w:b/>
                                <w:i/>
                              </w:rPr>
                              <w:t>А</w:t>
                            </w:r>
                            <w:r>
                              <w:rPr>
                                <w:rFonts w:ascii="Times New Roman" w:hAnsi="Times New Roman" w:cs="Times New Roman"/>
                                <w:b/>
                                <w:i/>
                                <w:vertAlign w:val="sub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3.65pt;margin-top:5.2pt;width:30.25pt;height:22.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" filled="f" stroked="f">
                <v:textbox>
                  <w:txbxContent>
                    <w:p w:rsidR="000C2C64" w:rsidRPr="00746050" w:rsidRDefault="000C2C64" w:rsidP="00E40DE9">
                      <w:pPr>
                        <w:rPr>
                          <w:rFonts w:ascii="Times New Roman" w:hAnsi="Times New Roman" w:cs="Times New Roman"/>
                          <w:b/>
                          <w:i/>
                        </w:rPr>
                      </w:pPr>
                      <w:r w:rsidRPr="00746050">
                        <w:rPr>
                          <w:rFonts w:ascii="Times New Roman" w:hAnsi="Times New Roman" w:cs="Times New Roman"/>
                          <w:b/>
                          <w:i/>
                        </w:rPr>
                        <w:t>А</w:t>
                      </w:r>
                      <w:r>
                        <w:rPr>
                          <w:rFonts w:ascii="Times New Roman" w:hAnsi="Times New Roman" w:cs="Times New Roman"/>
                          <w:b/>
                          <w:i/>
                          <w:vertAlign w:val="subscript"/>
                        </w:rPr>
                        <w:t>4</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simplePos x="0" y="0"/>
                <wp:positionH relativeFrom="column">
                  <wp:posOffset>1951355</wp:posOffset>
                </wp:positionH>
                <wp:positionV relativeFrom="paragraph">
                  <wp:posOffset>408305</wp:posOffset>
                </wp:positionV>
                <wp:extent cx="384175" cy="281940"/>
                <wp:effectExtent l="0" t="0" r="0" b="3810"/>
                <wp:wrapNone/>
                <wp:docPr id="3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81940"/>
                        </a:xfrm>
                        <a:prstGeom prst="rect">
                          <a:avLst/>
                        </a:prstGeom>
                        <a:noFill/>
                        <a:ln w="9525">
                          <a:noFill/>
                          <a:miter lim="800000"/>
                          <a:headEnd/>
                          <a:tailEnd/>
                        </a:ln>
                      </wps:spPr>
                      <wps:txbx>
                        <w:txbxContent>
                          <w:p w:rsidR="000C2C64" w:rsidRPr="00746050" w:rsidRDefault="000C2C64" w:rsidP="00E40DE9">
                            <w:pPr>
                              <w:rPr>
                                <w:rFonts w:ascii="Times New Roman" w:hAnsi="Times New Roman" w:cs="Times New Roman"/>
                                <w:b/>
                                <w:i/>
                              </w:rPr>
                            </w:pPr>
                            <w:r w:rsidRPr="00746050">
                              <w:rPr>
                                <w:rFonts w:ascii="Times New Roman" w:hAnsi="Times New Roman" w:cs="Times New Roman"/>
                                <w:b/>
                                <w:i/>
                              </w:rPr>
                              <w:t>А</w:t>
                            </w:r>
                            <w:r>
                              <w:rPr>
                                <w:rFonts w:ascii="Times New Roman" w:hAnsi="Times New Roman" w:cs="Times New Roman"/>
                                <w:b/>
                                <w:i/>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53.65pt;margin-top:32.15pt;width:30.25pt;height:2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" filled="f" stroked="f">
                <v:textbox>
                  <w:txbxContent>
                    <w:p w:rsidR="000C2C64" w:rsidRPr="00746050" w:rsidRDefault="000C2C64" w:rsidP="00E40DE9">
                      <w:pPr>
                        <w:rPr>
                          <w:rFonts w:ascii="Times New Roman" w:hAnsi="Times New Roman" w:cs="Times New Roman"/>
                          <w:b/>
                          <w:i/>
                        </w:rPr>
                      </w:pPr>
                      <w:r w:rsidRPr="00746050">
                        <w:rPr>
                          <w:rFonts w:ascii="Times New Roman" w:hAnsi="Times New Roman" w:cs="Times New Roman"/>
                          <w:b/>
                          <w:i/>
                        </w:rPr>
                        <w:t>А</w:t>
                      </w:r>
                      <w:r>
                        <w:rPr>
                          <w:rFonts w:ascii="Times New Roman" w:hAnsi="Times New Roman" w:cs="Times New Roman"/>
                          <w:b/>
                          <w:i/>
                          <w:vertAlign w:val="subscript"/>
                        </w:rPr>
                        <w:t>3</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simplePos x="0" y="0"/>
                <wp:positionH relativeFrom="column">
                  <wp:posOffset>1951355</wp:posOffset>
                </wp:positionH>
                <wp:positionV relativeFrom="paragraph">
                  <wp:posOffset>664210</wp:posOffset>
                </wp:positionV>
                <wp:extent cx="384175" cy="281940"/>
                <wp:effectExtent l="0" t="0" r="0" b="3810"/>
                <wp:wrapNone/>
                <wp:docPr id="3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81940"/>
                        </a:xfrm>
                        <a:prstGeom prst="rect">
                          <a:avLst/>
                        </a:prstGeom>
                        <a:noFill/>
                        <a:ln w="9525">
                          <a:noFill/>
                          <a:miter lim="800000"/>
                          <a:headEnd/>
                          <a:tailEnd/>
                        </a:ln>
                      </wps:spPr>
                      <wps:txbx>
                        <w:txbxContent>
                          <w:p w:rsidR="000C2C64" w:rsidRPr="00746050" w:rsidRDefault="000C2C64" w:rsidP="00E40DE9">
                            <w:pPr>
                              <w:rPr>
                                <w:rFonts w:ascii="Times New Roman" w:hAnsi="Times New Roman" w:cs="Times New Roman"/>
                                <w:b/>
                                <w:i/>
                              </w:rPr>
                            </w:pPr>
                            <w:r w:rsidRPr="00746050">
                              <w:rPr>
                                <w:rFonts w:ascii="Times New Roman" w:hAnsi="Times New Roman" w:cs="Times New Roman"/>
                                <w:b/>
                                <w:i/>
                              </w:rPr>
                              <w:t>А</w:t>
                            </w:r>
                            <w:r>
                              <w:rPr>
                                <w:rFonts w:ascii="Times New Roman" w:hAnsi="Times New Roman" w:cs="Times New Roman"/>
                                <w:b/>
                                <w:i/>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53.65pt;margin-top:52.3pt;width:30.25pt;height:2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" filled="f" stroked="f">
                <v:textbox>
                  <w:txbxContent>
                    <w:p w:rsidR="000C2C64" w:rsidRPr="00746050" w:rsidRDefault="000C2C64" w:rsidP="00E40DE9">
                      <w:pPr>
                        <w:rPr>
                          <w:rFonts w:ascii="Times New Roman" w:hAnsi="Times New Roman" w:cs="Times New Roman"/>
                          <w:b/>
                          <w:i/>
                        </w:rPr>
                      </w:pPr>
                      <w:r w:rsidRPr="00746050">
                        <w:rPr>
                          <w:rFonts w:ascii="Times New Roman" w:hAnsi="Times New Roman" w:cs="Times New Roman"/>
                          <w:b/>
                          <w:i/>
                        </w:rPr>
                        <w:t>А</w:t>
                      </w:r>
                      <w:r>
                        <w:rPr>
                          <w:rFonts w:ascii="Times New Roman" w:hAnsi="Times New Roman" w:cs="Times New Roman"/>
                          <w:b/>
                          <w:i/>
                          <w:vertAlign w:val="subscript"/>
                        </w:rPr>
                        <w:t>2</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simplePos x="0" y="0"/>
                <wp:positionH relativeFrom="column">
                  <wp:posOffset>1953895</wp:posOffset>
                </wp:positionH>
                <wp:positionV relativeFrom="paragraph">
                  <wp:posOffset>871220</wp:posOffset>
                </wp:positionV>
                <wp:extent cx="384810" cy="281940"/>
                <wp:effectExtent l="0" t="0" r="0" b="3810"/>
                <wp:wrapNone/>
                <wp:docPr id="3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81940"/>
                        </a:xfrm>
                        <a:prstGeom prst="rect">
                          <a:avLst/>
                        </a:prstGeom>
                        <a:noFill/>
                        <a:ln w="9525">
                          <a:noFill/>
                          <a:miter lim="800000"/>
                          <a:headEnd/>
                          <a:tailEnd/>
                        </a:ln>
                      </wps:spPr>
                      <wps:txbx>
                        <w:txbxContent>
                          <w:p w:rsidR="000C2C64" w:rsidRPr="00746050" w:rsidRDefault="000C2C64" w:rsidP="00E40DE9">
                            <w:pPr>
                              <w:rPr>
                                <w:rFonts w:ascii="Times New Roman" w:hAnsi="Times New Roman" w:cs="Times New Roman"/>
                                <w:b/>
                                <w:i/>
                              </w:rPr>
                            </w:pPr>
                            <w:r w:rsidRPr="00746050">
                              <w:rPr>
                                <w:rFonts w:ascii="Times New Roman" w:hAnsi="Times New Roman" w:cs="Times New Roman"/>
                                <w:b/>
                                <w:i/>
                              </w:rPr>
                              <w:t>А</w:t>
                            </w:r>
                            <w:r w:rsidRPr="00746050">
                              <w:rPr>
                                <w:rFonts w:ascii="Times New Roman" w:hAnsi="Times New Roman" w:cs="Times New Roman"/>
                                <w:b/>
                                <w:i/>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53.85pt;margin-top:68.6pt;width:30.3pt;height:2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" filled="f" stroked="f">
                <v:textbox>
                  <w:txbxContent>
                    <w:p w:rsidR="000C2C64" w:rsidRPr="00746050" w:rsidRDefault="000C2C64" w:rsidP="00E40DE9">
                      <w:pPr>
                        <w:rPr>
                          <w:rFonts w:ascii="Times New Roman" w:hAnsi="Times New Roman" w:cs="Times New Roman"/>
                          <w:b/>
                          <w:i/>
                        </w:rPr>
                      </w:pPr>
                      <w:r w:rsidRPr="00746050">
                        <w:rPr>
                          <w:rFonts w:ascii="Times New Roman" w:hAnsi="Times New Roman" w:cs="Times New Roman"/>
                          <w:b/>
                          <w:i/>
                        </w:rPr>
                        <w:t>А</w:t>
                      </w:r>
                      <w:r w:rsidRPr="00746050">
                        <w:rPr>
                          <w:rFonts w:ascii="Times New Roman" w:hAnsi="Times New Roman" w:cs="Times New Roman"/>
                          <w:b/>
                          <w:i/>
                          <w:vertAlign w:val="subscript"/>
                        </w:rPr>
                        <w:t>1</w:t>
                      </w:r>
                    </w:p>
                  </w:txbxContent>
                </v:textbox>
              </v:shape>
            </w:pict>
          </mc:Fallback>
        </mc:AlternateContent>
      </w:r>
      <w:r w:rsidR="00E40DE9" w:rsidRPr="00802D35">
        <w:rPr>
          <w:rFonts w:ascii="Times New Roman" w:hAnsi="Times New Roman" w:cs="Times New Roman"/>
          <w:noProof/>
          <w:lang w:eastAsia="ru-RU"/>
        </w:rPr>
        <w:drawing>
          <wp:inline distT="0" distB="0" distL="0" distR="0">
            <wp:extent cx="6161518" cy="3392680"/>
            <wp:effectExtent l="0" t="0" r="0" b="0"/>
            <wp:docPr id="6" name="Диаграмма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center"/>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Рисунок 41 - Результаты оптимизации по критериям Брауна-Робинсона, Т.Байеса, А.Вальда, Л.Сэвиджа и А.Гурвица</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802D35">
        <w:rPr>
          <w:rFonts w:ascii="Times New Roman" w:eastAsia="Times New Roman" w:hAnsi="Times New Roman" w:cs="Times New Roman"/>
          <w:sz w:val="24"/>
          <w:szCs w:val="24"/>
          <w:shd w:val="clear" w:color="auto" w:fill="FFFFFF"/>
          <w:lang w:eastAsia="ru-RU"/>
        </w:rPr>
        <w:t>Примечание – составлено на основании расчетов</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Получается, что поступившие в данный период времени ресурсы из представленных источников фондирования при поступлении заявки на получение кредита от корпоративного заемщика наиболее оптимально направить на кредитование.</w:t>
      </w:r>
    </w:p>
    <w:p w:rsidR="00E40DE9" w:rsidRPr="00802D35" w:rsidRDefault="00E40DE9" w:rsidP="00E40DE9">
      <w:pPr>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Привлечение средств выступает лишь первой частью проблемы фондирования банков. Основная задача возникает в эффективном их распределении на осуществление активных банковских операций, приносящих доходы [</w:t>
      </w:r>
      <w:r w:rsidR="000B0564" w:rsidRPr="00802D35">
        <w:rPr>
          <w:rFonts w:ascii="Times New Roman" w:hAnsi="Times New Roman" w:cs="Times New Roman"/>
          <w:sz w:val="28"/>
          <w:szCs w:val="28"/>
        </w:rPr>
        <w:t>120</w:t>
      </w:r>
      <w:r w:rsidRPr="00802D35">
        <w:rPr>
          <w:rFonts w:ascii="Times New Roman" w:hAnsi="Times New Roman" w:cs="Times New Roman"/>
          <w:sz w:val="28"/>
          <w:szCs w:val="28"/>
        </w:rPr>
        <w:t>].</w:t>
      </w:r>
    </w:p>
    <w:p w:rsidR="00E40DE9" w:rsidRPr="00802D35" w:rsidRDefault="00E40DE9" w:rsidP="00E40DE9">
      <w:pPr>
        <w:tabs>
          <w:tab w:val="left" w:pos="1134"/>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Эффективное использование и рациональное управление ресурсами фондирования выступает ключевым аспектом политики фондирования любого банка. Политика управления привлеченными средствами направлена на оптимизацию как структуры активов, так и фондирования с точки зрения их качества, срочности, стоимости. В связи с этим современные банки во всем мире акцентируют внимание на применении инструментов моделирования с целью оценки качества, эффективного использования ресурсов фондирования [</w:t>
      </w:r>
      <w:r w:rsidR="000B0564" w:rsidRPr="00802D35">
        <w:rPr>
          <w:rFonts w:ascii="Times New Roman" w:hAnsi="Times New Roman" w:cs="Times New Roman"/>
          <w:sz w:val="28"/>
          <w:szCs w:val="28"/>
        </w:rPr>
        <w:t>121</w:t>
      </w:r>
      <w:r w:rsidRPr="00802D35">
        <w:rPr>
          <w:rFonts w:ascii="Times New Roman" w:hAnsi="Times New Roman" w:cs="Times New Roman"/>
          <w:sz w:val="28"/>
          <w:szCs w:val="28"/>
        </w:rPr>
        <w:t>]. Некоторые авторы, исследовавшие проблему распределения ресурсов фондирования, предлагают применение имитационного моделирования, полагая, что фондирование рассматривает задачи управления привлеченными ресурсами банков [</w:t>
      </w:r>
      <w:r w:rsidR="000B0564" w:rsidRPr="00802D35">
        <w:rPr>
          <w:rFonts w:ascii="Times New Roman" w:hAnsi="Times New Roman" w:cs="Times New Roman"/>
          <w:sz w:val="28"/>
          <w:szCs w:val="28"/>
        </w:rPr>
        <w:t>122</w:t>
      </w:r>
      <w:r w:rsidRPr="00802D35">
        <w:rPr>
          <w:rFonts w:ascii="Times New Roman" w:hAnsi="Times New Roman" w:cs="Times New Roman"/>
          <w:sz w:val="28"/>
          <w:szCs w:val="28"/>
        </w:rPr>
        <w:t xml:space="preserve">]. Данный вариант модели позволяет учитывать большое </w:t>
      </w:r>
      <w:r w:rsidRPr="00802D35">
        <w:rPr>
          <w:rFonts w:ascii="Times New Roman" w:hAnsi="Times New Roman" w:cs="Times New Roman"/>
          <w:sz w:val="28"/>
          <w:szCs w:val="28"/>
        </w:rPr>
        <w:lastRenderedPageBreak/>
        <w:t xml:space="preserve">количество анализируемых переменных и высокий уровень неопределенности имитируемых ситуаций, а также сократить сложность и трудоемкость корреляционного анализа зависимостей.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 целью оптимизации распределения фондирования в банках нами предлагается применение комбинации методов линейного и динамического программирования. Такое комбинирование предлагается, исходя из соображений того, что такой подход позволит определить направления распределения средств фондирования, а модель Ричарда Эрнста Беллмана даст возможность выявить оптимальные суммы, необходимые для фондирования соответствующих активных операций банка.</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Для апробирования модели будут использованы данные по АО Halyk bank.</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Итак, первую часть моделирования можно осуществить с помощью линейного программирования, которую можно представить в качестве некоторой системы целевой функции и ограничений [</w:t>
      </w:r>
      <w:r w:rsidR="000B0564" w:rsidRPr="00802D35">
        <w:rPr>
          <w:rFonts w:ascii="Times New Roman" w:hAnsi="Times New Roman" w:cs="Times New Roman"/>
          <w:sz w:val="28"/>
          <w:szCs w:val="28"/>
        </w:rPr>
        <w:t>123</w:t>
      </w:r>
      <w:r w:rsidRPr="00802D35">
        <w:rPr>
          <w:rFonts w:ascii="Times New Roman" w:hAnsi="Times New Roman" w:cs="Times New Roman"/>
          <w:sz w:val="28"/>
          <w:szCs w:val="28"/>
        </w:rPr>
        <w:t xml:space="preserve">]: </w:t>
      </w:r>
    </w:p>
    <w:p w:rsidR="00E40DE9" w:rsidRPr="00802D35" w:rsidRDefault="005368DA" w:rsidP="00E40DE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simplePos x="0" y="0"/>
                <wp:positionH relativeFrom="column">
                  <wp:posOffset>1830070</wp:posOffset>
                </wp:positionH>
                <wp:positionV relativeFrom="paragraph">
                  <wp:posOffset>171450</wp:posOffset>
                </wp:positionV>
                <wp:extent cx="520700" cy="2063115"/>
                <wp:effectExtent l="0" t="0" r="12700" b="13335"/>
                <wp:wrapNone/>
                <wp:docPr id="387" name="Левая фигурная скобка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2063115"/>
                        </a:xfrm>
                        <a:prstGeom prst="leftBrace">
                          <a:avLst>
                            <a:gd name="adj1" fmla="val 46081"/>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Левая фигурная скобка 387" o:spid="_x0000_s1026" type="#_x0000_t87" style="position:absolute;margin-left:144.1pt;margin-top:13.5pt;width:41pt;height:162.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" adj="2512" strokecolor="black [3040]"/>
            </w:pict>
          </mc:Fallback>
        </mc:AlternateContent>
      </w:r>
    </w:p>
    <w:p w:rsidR="00E40DE9" w:rsidRPr="00802D35" w:rsidRDefault="00FF4C7E" w:rsidP="00E40DE9">
      <w:pPr>
        <w:jc w:val="center"/>
        <w:rPr>
          <w:rFonts w:ascii="Times New Roman" w:hAnsi="Times New Roman" w:cs="Times New Roman"/>
          <w:sz w:val="28"/>
          <w:szCs w:val="28"/>
        </w:rPr>
      </w:pPr>
      <m:oMathPara>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i∈A</m:t>
              </m:r>
            </m:sub>
            <m:sup/>
            <m:e>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j∈T</m:t>
                  </m:r>
                </m:sub>
                <m:sup/>
                <m:e>
                  <m:r>
                    <w:rPr>
                      <w:rFonts w:ascii="Cambria Math" w:hAnsi="Cambria Math" w:cs="Times New Roman"/>
                      <w:sz w:val="28"/>
                      <w:szCs w:val="28"/>
                    </w:rPr>
                    <m:t>C(i,j)</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nary>
            </m:e>
          </m:nary>
        </m:oMath>
      </m:oMathPara>
    </w:p>
    <w:p w:rsidR="00E40DE9" w:rsidRPr="00802D35" w:rsidRDefault="00E40DE9" w:rsidP="00E40DE9">
      <w:pPr>
        <w:jc w:val="right"/>
        <w:rPr>
          <w:rFonts w:ascii="Times New Roman" w:hAnsi="Times New Roman" w:cs="Times New Roman"/>
          <w:sz w:val="28"/>
          <w:szCs w:val="28"/>
        </w:rPr>
      </w:pPr>
      <w:r w:rsidRPr="00802D35">
        <w:rPr>
          <w:rFonts w:ascii="Times New Roman" w:eastAsiaTheme="minorEastAsia" w:hAnsi="Times New Roman" w:cs="Times New Roman"/>
          <w:sz w:val="28"/>
          <w:szCs w:val="28"/>
        </w:rPr>
        <w:t xml:space="preserve"> </w:t>
      </w:r>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i∈A</m:t>
            </m:r>
          </m:sub>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r>
              <w:rPr>
                <w:rFonts w:ascii="Cambria Math" w:hAnsi="Cambria Math" w:cs="Times New Roman"/>
                <w:sz w:val="28"/>
                <w:szCs w:val="28"/>
              </w:rPr>
              <m:t>=1 для j∈T</m:t>
            </m:r>
          </m:e>
        </m:nary>
      </m:oMath>
      <w:r w:rsidRPr="00802D35">
        <w:rPr>
          <w:rFonts w:ascii="Times New Roman" w:eastAsiaTheme="minorEastAsia" w:hAnsi="Times New Roman" w:cs="Times New Roman"/>
          <w:sz w:val="28"/>
          <w:szCs w:val="28"/>
        </w:rPr>
        <w:t xml:space="preserve">                                         (45),</w:t>
      </w:r>
    </w:p>
    <w:p w:rsidR="00E40DE9" w:rsidRPr="00802D35" w:rsidRDefault="00FF4C7E" w:rsidP="00E40DE9">
      <w:pPr>
        <w:rPr>
          <w:rFonts w:ascii="Times New Roman" w:hAnsi="Times New Roman" w:cs="Times New Roman"/>
          <w:sz w:val="28"/>
          <w:szCs w:val="28"/>
        </w:rPr>
      </w:pPr>
      <m:oMathPara>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j∈T</m:t>
              </m:r>
            </m:sub>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r>
                <w:rPr>
                  <w:rFonts w:ascii="Cambria Math" w:hAnsi="Cambria Math" w:cs="Times New Roman"/>
                  <w:sz w:val="28"/>
                  <w:szCs w:val="28"/>
                </w:rPr>
                <m:t>=1 для i∈A</m:t>
              </m:r>
            </m:e>
          </m:nary>
        </m:oMath>
      </m:oMathPara>
    </w:p>
    <w:p w:rsidR="00E40DE9" w:rsidRPr="00802D35" w:rsidRDefault="00FF4C7E" w:rsidP="00E40DE9">
      <w:pPr>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ij </m:t>
              </m:r>
            </m:sub>
          </m:sSub>
          <m:r>
            <w:rPr>
              <w:rFonts w:ascii="Cambria Math" w:hAnsi="Cambria Math" w:cs="Times New Roman"/>
              <w:sz w:val="28"/>
              <w:szCs w:val="28"/>
            </w:rPr>
            <m:t>≥0 для i,j∈A,T</m:t>
          </m:r>
        </m:oMath>
      </m:oMathPara>
    </w:p>
    <w:p w:rsidR="00E40DE9" w:rsidRPr="00802D35" w:rsidRDefault="00E40DE9" w:rsidP="00E40DE9">
      <w:pPr>
        <w:spacing w:after="0" w:line="240" w:lineRule="auto"/>
        <w:ind w:firstLine="567"/>
        <w:jc w:val="both"/>
        <w:rPr>
          <w:rFonts w:ascii="Times New Roman" w:eastAsiaTheme="minorEastAsia" w:hAnsi="Times New Roman" w:cs="Times New Roman"/>
          <w:sz w:val="28"/>
          <w:szCs w:val="28"/>
        </w:rPr>
      </w:pPr>
      <w:r w:rsidRPr="00802D35">
        <w:rPr>
          <w:rFonts w:ascii="Times New Roman" w:eastAsiaTheme="minorEastAsia" w:hAnsi="Times New Roman" w:cs="Times New Roman"/>
          <w:sz w:val="28"/>
          <w:szCs w:val="28"/>
        </w:rPr>
        <w:t>где:</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i/>
          <w:sz w:val="28"/>
          <w:szCs w:val="28"/>
        </w:rPr>
        <w:t>x</w:t>
      </w:r>
      <w:r w:rsidRPr="00802D35">
        <w:rPr>
          <w:rFonts w:ascii="Times New Roman" w:hAnsi="Times New Roman" w:cs="Times New Roman"/>
          <w:i/>
          <w:sz w:val="28"/>
          <w:szCs w:val="28"/>
          <w:vertAlign w:val="subscript"/>
        </w:rPr>
        <w:t>ij</w:t>
      </w:r>
      <w:r w:rsidRPr="00802D35">
        <w:rPr>
          <w:rFonts w:ascii="Times New Roman" w:hAnsi="Times New Roman" w:cs="Times New Roman"/>
          <w:sz w:val="28"/>
          <w:szCs w:val="28"/>
        </w:rPr>
        <w:t xml:space="preserve"> – назначение финансирования i-го привлеченного ресурса фондирования на j-ую активную операцию банка.</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color w:val="222222"/>
          <w:sz w:val="28"/>
          <w:szCs w:val="28"/>
          <w:shd w:val="clear" w:color="auto" w:fill="FFFFFF"/>
        </w:rPr>
      </w:pPr>
      <w:r w:rsidRPr="00802D35">
        <w:rPr>
          <w:rFonts w:ascii="Times New Roman" w:hAnsi="Times New Roman" w:cs="Times New Roman"/>
          <w:sz w:val="28"/>
          <w:szCs w:val="28"/>
        </w:rPr>
        <w:t xml:space="preserve">Следует отметить, что </w:t>
      </w:r>
      <w:r w:rsidRPr="00802D35">
        <w:rPr>
          <w:rFonts w:ascii="Times New Roman" w:hAnsi="Times New Roman" w:cs="Times New Roman"/>
          <w:i/>
          <w:sz w:val="28"/>
          <w:szCs w:val="28"/>
        </w:rPr>
        <w:t>x</w:t>
      </w:r>
      <w:r w:rsidRPr="00802D35">
        <w:rPr>
          <w:rFonts w:ascii="Times New Roman" w:hAnsi="Times New Roman" w:cs="Times New Roman"/>
          <w:i/>
          <w:sz w:val="28"/>
          <w:szCs w:val="28"/>
          <w:vertAlign w:val="subscript"/>
        </w:rPr>
        <w:t>ij</w:t>
      </w:r>
      <w:r w:rsidRPr="00802D35">
        <w:rPr>
          <w:rFonts w:ascii="Times New Roman" w:hAnsi="Times New Roman" w:cs="Times New Roman"/>
          <w:sz w:val="28"/>
          <w:szCs w:val="28"/>
        </w:rPr>
        <w:t xml:space="preserve"> </w:t>
      </w:r>
      <w:r w:rsidRPr="00802D35">
        <w:rPr>
          <w:rFonts w:ascii="Times New Roman" w:hAnsi="Times New Roman" w:cs="Times New Roman"/>
          <w:color w:val="222222"/>
          <w:sz w:val="28"/>
          <w:szCs w:val="28"/>
          <w:shd w:val="clear" w:color="auto" w:fill="FFFFFF"/>
        </w:rPr>
        <w:t>принимает значение 1, если привлеченный ресурс фондирования назначен на финансирование соответствующей активной операции и 0 в противном случае.</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Смысл модели Р.Э.Беллмана заключается в следующем. Если в настоящее время в начале этапа i-ая система находится в состоянии S</w:t>
      </w:r>
      <w:r w:rsidRPr="00802D35">
        <w:rPr>
          <w:rFonts w:ascii="Times New Roman" w:eastAsia="Times New Roman" w:hAnsi="Times New Roman" w:cs="Times New Roman"/>
          <w:sz w:val="28"/>
          <w:szCs w:val="28"/>
          <w:vertAlign w:val="subscript"/>
          <w:lang w:eastAsia="ru-RU"/>
        </w:rPr>
        <w:t>i-1</w:t>
      </w:r>
      <w:r w:rsidRPr="00802D35">
        <w:rPr>
          <w:rFonts w:ascii="Times New Roman" w:eastAsia="Times New Roman" w:hAnsi="Times New Roman" w:cs="Times New Roman"/>
          <w:sz w:val="28"/>
          <w:szCs w:val="28"/>
          <w:lang w:eastAsia="ru-RU"/>
        </w:rPr>
        <w:t>, то все последующие распределения ресурсов x</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 xml:space="preserve"> подбираются так, чтобы быть оптимальными в отношении состояния S</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 xml:space="preserve">. Таким образом, при таких распределениях максимизируется эффективность фондирования на последующих этапах i+1, i+2, …, </w:t>
      </w:r>
      <w:r w:rsidRPr="00802D35">
        <w:rPr>
          <w:rFonts w:ascii="Times New Roman" w:eastAsia="Times New Roman" w:hAnsi="Times New Roman" w:cs="Times New Roman"/>
          <w:caps/>
          <w:sz w:val="28"/>
          <w:szCs w:val="28"/>
          <w:lang w:eastAsia="ru-RU"/>
        </w:rPr>
        <w:t>n</w:t>
      </w:r>
      <w:r w:rsidRPr="00802D35">
        <w:rPr>
          <w:rFonts w:ascii="Times New Roman" w:eastAsia="Times New Roman" w:hAnsi="Times New Roman" w:cs="Times New Roman"/>
          <w:sz w:val="28"/>
          <w:szCs w:val="28"/>
          <w:lang w:eastAsia="ru-RU"/>
        </w:rPr>
        <w:t xml:space="preserve"> до формирования оптимизации процесса:</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lang w:eastAsia="ru-RU"/>
        </w:rPr>
      </w:pPr>
    </w:p>
    <w:p w:rsidR="00E40DE9" w:rsidRPr="00802D35" w:rsidRDefault="00FF4C7E" w:rsidP="00E40DE9">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j</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i+1</m:t>
            </m:r>
          </m:sub>
        </m:sSub>
        <m:r>
          <w:rPr>
            <w:rFonts w:ascii="Cambria Math" w:hAnsi="Cambria Math" w:cs="Times New Roman"/>
            <w:sz w:val="28"/>
            <w:szCs w:val="28"/>
          </w:rPr>
          <m:t>)</m:t>
        </m:r>
      </m:oMath>
      <w:r w:rsidR="00E40DE9" w:rsidRPr="00802D35">
        <w:rPr>
          <w:rFonts w:ascii="Times New Roman" w:eastAsiaTheme="minorEastAsia" w:hAnsi="Times New Roman" w:cs="Times New Roman"/>
          <w:sz w:val="28"/>
          <w:szCs w:val="28"/>
        </w:rPr>
        <w:t xml:space="preserve">                                             (46),</w:t>
      </w:r>
    </w:p>
    <w:p w:rsidR="00E40DE9" w:rsidRPr="00802D35" w:rsidRDefault="00E40DE9" w:rsidP="00E40DE9">
      <w:pPr>
        <w:shd w:val="clear" w:color="auto" w:fill="FFFFFF"/>
        <w:spacing w:after="0" w:line="240" w:lineRule="auto"/>
        <w:ind w:firstLine="709"/>
        <w:jc w:val="both"/>
        <w:rPr>
          <w:rFonts w:ascii="Times New Roman" w:hAnsi="Times New Roman" w:cs="Times New Roman"/>
          <w:sz w:val="28"/>
          <w:szCs w:val="28"/>
        </w:rPr>
      </w:pPr>
    </w:p>
    <w:p w:rsidR="00E40DE9" w:rsidRPr="00802D35" w:rsidRDefault="00E40DE9" w:rsidP="00E40DE9">
      <w:pPr>
        <w:shd w:val="clear" w:color="auto" w:fill="FFFFFF"/>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где:</w:t>
      </w:r>
    </w:p>
    <w:p w:rsidR="00E40DE9" w:rsidRPr="00802D35" w:rsidRDefault="00E40DE9" w:rsidP="00E40DE9">
      <w:pPr>
        <w:shd w:val="clear" w:color="auto" w:fill="FFFFFF"/>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i/>
          <w:sz w:val="28"/>
          <w:szCs w:val="28"/>
        </w:rPr>
        <w:t>x</w:t>
      </w:r>
      <w:r w:rsidRPr="00802D35">
        <w:rPr>
          <w:rFonts w:ascii="Times New Roman" w:hAnsi="Times New Roman" w:cs="Times New Roman"/>
          <w:i/>
          <w:sz w:val="28"/>
          <w:szCs w:val="28"/>
          <w:vertAlign w:val="subscript"/>
        </w:rPr>
        <w:t>i</w:t>
      </w:r>
      <w:r w:rsidRPr="00802D35">
        <w:rPr>
          <w:rFonts w:ascii="Times New Roman" w:hAnsi="Times New Roman" w:cs="Times New Roman"/>
          <w:sz w:val="28"/>
          <w:szCs w:val="28"/>
        </w:rPr>
        <w:t xml:space="preserve"> – ресурс фондирования;</w:t>
      </w:r>
    </w:p>
    <w:p w:rsidR="00E40DE9" w:rsidRPr="00802D35" w:rsidRDefault="00E40DE9" w:rsidP="00E40DE9">
      <w:pPr>
        <w:shd w:val="clear" w:color="auto" w:fill="FFFFFF"/>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i/>
          <w:sz w:val="28"/>
          <w:szCs w:val="28"/>
          <w:lang w:eastAsia="ru-RU"/>
        </w:rPr>
        <w:t xml:space="preserve">i+1, i+2, …, </w:t>
      </w:r>
      <w:r w:rsidRPr="00802D35">
        <w:rPr>
          <w:rFonts w:ascii="Times New Roman" w:eastAsia="Times New Roman" w:hAnsi="Times New Roman" w:cs="Times New Roman"/>
          <w:i/>
          <w:caps/>
          <w:sz w:val="28"/>
          <w:szCs w:val="28"/>
          <w:lang w:eastAsia="ru-RU"/>
        </w:rPr>
        <w:t>n</w:t>
      </w:r>
      <w:r w:rsidRPr="00802D35">
        <w:rPr>
          <w:rFonts w:ascii="Times New Roman" w:eastAsia="Times New Roman" w:hAnsi="Times New Roman" w:cs="Times New Roman"/>
          <w:caps/>
          <w:sz w:val="28"/>
          <w:szCs w:val="28"/>
          <w:lang w:eastAsia="ru-RU"/>
        </w:rPr>
        <w:t xml:space="preserve"> – </w:t>
      </w:r>
      <w:r w:rsidRPr="00802D35">
        <w:rPr>
          <w:rFonts w:ascii="Times New Roman" w:eastAsia="Times New Roman" w:hAnsi="Times New Roman" w:cs="Times New Roman"/>
          <w:sz w:val="28"/>
          <w:szCs w:val="28"/>
          <w:lang w:eastAsia="ru-RU"/>
        </w:rPr>
        <w:t>этапы распределения фондирования.</w:t>
      </w:r>
    </w:p>
    <w:p w:rsidR="00E40DE9" w:rsidRPr="00802D35" w:rsidRDefault="00E40DE9" w:rsidP="00E40DE9">
      <w:pPr>
        <w:shd w:val="clear" w:color="auto" w:fill="FFFFFF"/>
        <w:spacing w:after="0" w:line="240" w:lineRule="auto"/>
        <w:ind w:firstLine="567"/>
        <w:jc w:val="both"/>
        <w:rPr>
          <w:rFonts w:ascii="Times New Roman" w:hAnsi="Times New Roman" w:cs="Times New Roman"/>
          <w:sz w:val="28"/>
          <w:szCs w:val="28"/>
        </w:rPr>
      </w:pPr>
    </w:p>
    <w:p w:rsidR="00E40DE9" w:rsidRPr="00802D35" w:rsidRDefault="00E40DE9" w:rsidP="00E40DE9">
      <w:pPr>
        <w:shd w:val="clear" w:color="auto" w:fill="FFFFFF"/>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Каждый переход из состояния </w:t>
      </w:r>
      <w:r w:rsidRPr="00802D35">
        <w:rPr>
          <w:rFonts w:ascii="Times New Roman" w:eastAsia="Times New Roman" w:hAnsi="Times New Roman" w:cs="Times New Roman"/>
          <w:sz w:val="28"/>
          <w:szCs w:val="28"/>
          <w:lang w:eastAsia="ru-RU"/>
        </w:rPr>
        <w:t>S</w:t>
      </w:r>
      <w:r w:rsidRPr="00802D35">
        <w:rPr>
          <w:rFonts w:ascii="Times New Roman" w:eastAsia="Times New Roman" w:hAnsi="Times New Roman" w:cs="Times New Roman"/>
          <w:sz w:val="28"/>
          <w:szCs w:val="28"/>
          <w:vertAlign w:val="subscript"/>
          <w:lang w:eastAsia="ru-RU"/>
        </w:rPr>
        <w:t>i</w:t>
      </w:r>
      <w:r w:rsidRPr="00802D35">
        <w:rPr>
          <w:rFonts w:ascii="Times New Roman" w:hAnsi="Times New Roman" w:cs="Times New Roman"/>
          <w:sz w:val="28"/>
          <w:szCs w:val="28"/>
        </w:rPr>
        <w:t xml:space="preserve"> в следующее характеризуется функцией затрат (стоимости фондирования) на текущем этапе d</w:t>
      </w:r>
      <w:r w:rsidRPr="00802D35">
        <w:rPr>
          <w:rFonts w:ascii="Times New Roman" w:hAnsi="Times New Roman" w:cs="Times New Roman"/>
          <w:sz w:val="28"/>
          <w:szCs w:val="28"/>
          <w:vertAlign w:val="subscript"/>
        </w:rPr>
        <w:t>i+1</w:t>
      </w:r>
      <w:r w:rsidRPr="00802D35">
        <w:rPr>
          <w:rFonts w:ascii="Times New Roman" w:hAnsi="Times New Roman" w:cs="Times New Roman"/>
          <w:sz w:val="28"/>
          <w:szCs w:val="28"/>
        </w:rPr>
        <w:t>(S</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w:t>
      </w:r>
      <w:r w:rsidRPr="00802D35">
        <w:rPr>
          <w:rFonts w:ascii="Times New Roman" w:hAnsi="Times New Roman" w:cs="Times New Roman"/>
          <w:sz w:val="28"/>
          <w:szCs w:val="28"/>
          <w:vertAlign w:val="subscript"/>
        </w:rPr>
        <w:t>i+1</w:t>
      </w:r>
      <w:r w:rsidRPr="00802D35">
        <w:rPr>
          <w:rFonts w:ascii="Times New Roman" w:hAnsi="Times New Roman" w:cs="Times New Roman"/>
          <w:sz w:val="28"/>
          <w:szCs w:val="28"/>
        </w:rPr>
        <w:t xml:space="preserve">), которая зависит как от </w:t>
      </w:r>
      <w:r w:rsidRPr="00802D35">
        <w:rPr>
          <w:rFonts w:ascii="Times New Roman" w:eastAsia="Times New Roman" w:hAnsi="Times New Roman" w:cs="Times New Roman"/>
          <w:sz w:val="28"/>
          <w:szCs w:val="28"/>
          <w:lang w:eastAsia="ru-RU"/>
        </w:rPr>
        <w:t>S</w:t>
      </w:r>
      <w:r w:rsidRPr="00802D35">
        <w:rPr>
          <w:rFonts w:ascii="Times New Roman" w:eastAsia="Times New Roman" w:hAnsi="Times New Roman" w:cs="Times New Roman"/>
          <w:sz w:val="28"/>
          <w:szCs w:val="28"/>
          <w:vertAlign w:val="subscript"/>
          <w:lang w:eastAsia="ru-RU"/>
        </w:rPr>
        <w:t>i</w:t>
      </w:r>
      <w:r w:rsidRPr="00802D35">
        <w:rPr>
          <w:rFonts w:ascii="Times New Roman" w:hAnsi="Times New Roman" w:cs="Times New Roman"/>
          <w:sz w:val="28"/>
          <w:szCs w:val="28"/>
        </w:rPr>
        <w:t>, так и от периода времени и применяемого распределения фондирования. Следовательно, цель моделирования заключается в определении такого оптимального распределения имеющихся ресурсов фондирования x</w:t>
      </w:r>
      <w:r w:rsidRPr="00802D35">
        <w:rPr>
          <w:rFonts w:ascii="Times New Roman" w:hAnsi="Times New Roman" w:cs="Times New Roman"/>
          <w:sz w:val="28"/>
          <w:szCs w:val="28"/>
          <w:vertAlign w:val="superscript"/>
        </w:rPr>
        <w:t>*</w:t>
      </w:r>
      <w:r w:rsidRPr="00802D35">
        <w:rPr>
          <w:rFonts w:ascii="Times New Roman" w:hAnsi="Times New Roman" w:cs="Times New Roman"/>
          <w:sz w:val="28"/>
          <w:szCs w:val="28"/>
          <w:vertAlign w:val="subscript"/>
        </w:rPr>
        <w:t>i</w:t>
      </w:r>
      <w:r w:rsidRPr="00802D35">
        <w:rPr>
          <w:rFonts w:ascii="Times New Roman" w:hAnsi="Times New Roman" w:cs="Times New Roman"/>
          <w:sz w:val="28"/>
          <w:szCs w:val="28"/>
        </w:rPr>
        <w:t xml:space="preserve"> , которое позволит обеспечить оптимальный эффект от распределения средств, т.е.:</w:t>
      </w:r>
    </w:p>
    <w:p w:rsidR="00E40DE9" w:rsidRPr="00802D35" w:rsidRDefault="00FF4C7E" w:rsidP="00E40DE9">
      <w:pPr>
        <w:shd w:val="clear" w:color="auto" w:fill="FFFFFF"/>
        <w:spacing w:after="0" w:line="240" w:lineRule="auto"/>
        <w:ind w:firstLine="709"/>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i</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i-1</m:t>
                </m:r>
              </m:sub>
            </m:sSub>
          </m:e>
        </m:d>
        <m:r>
          <w:rPr>
            <w:rFonts w:ascii="Cambria Math" w:hAnsi="Cambria Math" w:cs="Times New Roman"/>
            <w:sz w:val="28"/>
            <w:szCs w:val="28"/>
          </w:rPr>
          <m:t>=</m:t>
        </m:r>
        <m:r>
          <m:rPr>
            <m:sty m:val="p"/>
          </m:rPr>
          <w:rPr>
            <w:rFonts w:ascii="Cambria Math" w:hAnsi="Cambria Math" w:cs="Times New Roman"/>
            <w:sz w:val="28"/>
            <w:szCs w:val="28"/>
          </w:rPr>
          <m:t>max⁡</m:t>
        </m:r>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i+1</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e>
        </m:d>
        <m:r>
          <w:rPr>
            <w:rFonts w:ascii="Cambria Math" w:hAnsi="Cambria Math" w:cs="Times New Roman"/>
            <w:sz w:val="28"/>
            <w:szCs w:val="28"/>
          </w:rPr>
          <m:t>)</m:t>
        </m:r>
      </m:oMath>
      <w:r w:rsidR="00E40DE9" w:rsidRPr="00802D35">
        <w:rPr>
          <w:rFonts w:ascii="Times New Roman" w:eastAsiaTheme="minorEastAsia" w:hAnsi="Times New Roman" w:cs="Times New Roman"/>
          <w:sz w:val="28"/>
          <w:szCs w:val="28"/>
        </w:rPr>
        <w:t xml:space="preserve">                          (47),</w:t>
      </w:r>
    </w:p>
    <w:p w:rsidR="00E40DE9" w:rsidRPr="00802D35" w:rsidRDefault="00E40DE9" w:rsidP="00E40DE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где:</w:t>
      </w:r>
    </w:p>
    <w:p w:rsidR="00E40DE9" w:rsidRPr="00802D35" w:rsidRDefault="00E40DE9" w:rsidP="00E40DE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S</w:t>
      </w:r>
      <w:r w:rsidRPr="00802D35">
        <w:rPr>
          <w:rFonts w:ascii="Times New Roman" w:eastAsia="Times New Roman" w:hAnsi="Times New Roman" w:cs="Times New Roman"/>
          <w:sz w:val="28"/>
          <w:szCs w:val="28"/>
          <w:vertAlign w:val="subscript"/>
          <w:lang w:eastAsia="ru-RU"/>
        </w:rPr>
        <w:t>i</w:t>
      </w:r>
      <w:r w:rsidRPr="00802D35">
        <w:rPr>
          <w:rFonts w:ascii="Times New Roman" w:eastAsia="Times New Roman" w:hAnsi="Times New Roman" w:cs="Times New Roman"/>
          <w:sz w:val="28"/>
          <w:szCs w:val="28"/>
          <w:lang w:eastAsia="ru-RU"/>
        </w:rPr>
        <w:t xml:space="preserve"> – состояние системы распределения фондирования в текущий период времени;</w:t>
      </w:r>
    </w:p>
    <w:p w:rsidR="00E40DE9" w:rsidRPr="00802D35" w:rsidRDefault="00E40DE9" w:rsidP="00E40DE9">
      <w:pPr>
        <w:shd w:val="clear" w:color="auto" w:fill="FFFFFF"/>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S</w:t>
      </w:r>
      <w:r w:rsidRPr="00802D35">
        <w:rPr>
          <w:rFonts w:ascii="Times New Roman" w:eastAsia="Times New Roman" w:hAnsi="Times New Roman" w:cs="Times New Roman"/>
          <w:sz w:val="28"/>
          <w:szCs w:val="28"/>
          <w:vertAlign w:val="subscript"/>
          <w:lang w:eastAsia="ru-RU"/>
        </w:rPr>
        <w:t>i-1</w:t>
      </w:r>
      <w:r w:rsidRPr="00802D35">
        <w:rPr>
          <w:rFonts w:ascii="Times New Roman" w:eastAsia="Times New Roman" w:hAnsi="Times New Roman" w:cs="Times New Roman"/>
          <w:sz w:val="28"/>
          <w:szCs w:val="28"/>
          <w:lang w:eastAsia="ru-RU"/>
        </w:rPr>
        <w:t xml:space="preserve"> – состояние системы распределения фондирования в начальный период времени.</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Представленное уравнение является основным рекуррентным уравнением Р.Э. Беллмана</w:t>
      </w:r>
      <w:r w:rsidRPr="00802D35">
        <w:rPr>
          <w:rFonts w:ascii="Times New Roman" w:hAnsi="Times New Roman" w:cs="Times New Roman"/>
          <w:sz w:val="28"/>
          <w:szCs w:val="28"/>
        </w:rPr>
        <w:t>.</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таблице 24 представлены проценты доходности от вложения соответствующих привлеченных средств фондирования. Проекты подразумевают вложения в соответствующие активы с целью получения прибыли. Требуется определить оптимальное распределение фондирования инвестирования, позволяющее максимизировать прибыль.</w:t>
      </w:r>
    </w:p>
    <w:p w:rsidR="00E40DE9" w:rsidRPr="00802D35" w:rsidRDefault="00E40DE9" w:rsidP="00E40DE9">
      <w:pPr>
        <w:spacing w:after="0" w:line="240" w:lineRule="auto"/>
        <w:jc w:val="both"/>
        <w:rPr>
          <w:rFonts w:ascii="Times New Roman" w:hAnsi="Times New Roman" w:cs="Times New Roman"/>
          <w:sz w:val="28"/>
          <w:szCs w:val="28"/>
        </w:rPr>
      </w:pPr>
    </w:p>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 xml:space="preserve">Таблица 24 – Данные по доходности при использовании соответствующих ресурсов фондирования </w:t>
      </w:r>
    </w:p>
    <w:p w:rsidR="00E40DE9" w:rsidRPr="00802D35" w:rsidRDefault="00E40DE9" w:rsidP="00E40DE9">
      <w:pPr>
        <w:spacing w:after="0" w:line="240" w:lineRule="auto"/>
        <w:jc w:val="both"/>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275"/>
        <w:gridCol w:w="1276"/>
        <w:gridCol w:w="1276"/>
        <w:gridCol w:w="1276"/>
        <w:gridCol w:w="1275"/>
      </w:tblGrid>
      <w:tr w:rsidR="00E40DE9" w:rsidRPr="00802D35" w:rsidTr="00E40DE9">
        <w:tc>
          <w:tcPr>
            <w:tcW w:w="198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 xml:space="preserve">Вид ресурса </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Международные облигации банка А</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Депозитарные расписки В</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Финансирование проекта С</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Кредитование по программе ДАМУ</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Валютные свопы</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 xml:space="preserve">Облигации МФО </w:t>
            </w:r>
          </w:p>
        </w:tc>
      </w:tr>
      <w:tr w:rsidR="00E40DE9" w:rsidRPr="00802D35" w:rsidTr="00E40DE9">
        <w:tc>
          <w:tcPr>
            <w:tcW w:w="1985" w:type="dxa"/>
          </w:tcPr>
          <w:p w:rsidR="00E40DE9" w:rsidRPr="00802D35" w:rsidRDefault="00E40DE9" w:rsidP="00E40DE9">
            <w:pPr>
              <w:spacing w:after="0" w:line="240" w:lineRule="auto"/>
              <w:rPr>
                <w:rFonts w:ascii="Times New Roman" w:hAnsi="Times New Roman" w:cs="Times New Roman"/>
                <w:sz w:val="24"/>
                <w:szCs w:val="24"/>
              </w:rPr>
            </w:pPr>
            <w:r w:rsidRPr="00802D35">
              <w:rPr>
                <w:rFonts w:ascii="Times New Roman" w:hAnsi="Times New Roman" w:cs="Times New Roman"/>
                <w:sz w:val="24"/>
                <w:szCs w:val="24"/>
              </w:rPr>
              <w:t>Вклады физических лиц</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10,1</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11,2</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7,8</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6,4</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9,2</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10,2</w:t>
            </w:r>
          </w:p>
        </w:tc>
      </w:tr>
      <w:tr w:rsidR="00E40DE9" w:rsidRPr="00802D35" w:rsidTr="00E40DE9">
        <w:tc>
          <w:tcPr>
            <w:tcW w:w="1985" w:type="dxa"/>
          </w:tcPr>
          <w:p w:rsidR="00E40DE9" w:rsidRPr="00802D35" w:rsidRDefault="00E40DE9" w:rsidP="00E40DE9">
            <w:pPr>
              <w:spacing w:after="0" w:line="240" w:lineRule="auto"/>
              <w:rPr>
                <w:rFonts w:ascii="Times New Roman" w:hAnsi="Times New Roman" w:cs="Times New Roman"/>
                <w:sz w:val="24"/>
                <w:szCs w:val="24"/>
              </w:rPr>
            </w:pPr>
            <w:r w:rsidRPr="00802D35">
              <w:rPr>
                <w:rFonts w:ascii="Times New Roman" w:hAnsi="Times New Roman" w:cs="Times New Roman"/>
                <w:sz w:val="24"/>
                <w:szCs w:val="24"/>
              </w:rPr>
              <w:t>Корпоративные вклады</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12,3</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15,1</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10,3</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11,1</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13,0</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11,2</w:t>
            </w:r>
          </w:p>
        </w:tc>
      </w:tr>
      <w:tr w:rsidR="00E40DE9" w:rsidRPr="00802D35" w:rsidTr="00E40DE9">
        <w:tc>
          <w:tcPr>
            <w:tcW w:w="1985" w:type="dxa"/>
          </w:tcPr>
          <w:p w:rsidR="00E40DE9" w:rsidRPr="00802D35" w:rsidRDefault="00E40DE9" w:rsidP="00E40DE9">
            <w:pPr>
              <w:spacing w:after="0" w:line="240" w:lineRule="auto"/>
              <w:rPr>
                <w:rFonts w:ascii="Times New Roman" w:hAnsi="Times New Roman" w:cs="Times New Roman"/>
                <w:sz w:val="24"/>
                <w:szCs w:val="24"/>
              </w:rPr>
            </w:pPr>
            <w:r w:rsidRPr="00802D35">
              <w:rPr>
                <w:rFonts w:ascii="Times New Roman" w:hAnsi="Times New Roman" w:cs="Times New Roman"/>
                <w:sz w:val="24"/>
                <w:szCs w:val="24"/>
              </w:rPr>
              <w:t>Межбанковские кредиты</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10,4</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11,0</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9,21</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12,1</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9,3</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9,9</w:t>
            </w:r>
          </w:p>
        </w:tc>
      </w:tr>
      <w:tr w:rsidR="00E40DE9" w:rsidRPr="00802D35" w:rsidTr="00E40DE9">
        <w:tc>
          <w:tcPr>
            <w:tcW w:w="1985" w:type="dxa"/>
          </w:tcPr>
          <w:p w:rsidR="00E40DE9" w:rsidRPr="00802D35" w:rsidRDefault="00E40DE9" w:rsidP="00E40DE9">
            <w:pPr>
              <w:spacing w:after="0" w:line="240" w:lineRule="auto"/>
              <w:rPr>
                <w:rFonts w:ascii="Times New Roman" w:hAnsi="Times New Roman" w:cs="Times New Roman"/>
                <w:sz w:val="24"/>
                <w:szCs w:val="24"/>
              </w:rPr>
            </w:pPr>
            <w:r w:rsidRPr="00802D35">
              <w:rPr>
                <w:rFonts w:ascii="Times New Roman" w:hAnsi="Times New Roman" w:cs="Times New Roman"/>
                <w:sz w:val="24"/>
                <w:szCs w:val="24"/>
              </w:rPr>
              <w:t>Субординированные облигации</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9,8</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11,3</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12,0</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9,0</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8,7</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8,9</w:t>
            </w:r>
          </w:p>
        </w:tc>
      </w:tr>
      <w:tr w:rsidR="00E40DE9" w:rsidRPr="00802D35" w:rsidTr="00E40DE9">
        <w:tc>
          <w:tcPr>
            <w:tcW w:w="1985" w:type="dxa"/>
          </w:tcPr>
          <w:p w:rsidR="00E40DE9" w:rsidRPr="00802D35" w:rsidRDefault="00E40DE9" w:rsidP="00E40DE9">
            <w:pPr>
              <w:spacing w:after="0" w:line="240" w:lineRule="auto"/>
              <w:rPr>
                <w:rFonts w:ascii="Times New Roman" w:hAnsi="Times New Roman" w:cs="Times New Roman"/>
                <w:sz w:val="24"/>
                <w:szCs w:val="24"/>
              </w:rPr>
            </w:pPr>
            <w:r w:rsidRPr="00802D35">
              <w:rPr>
                <w:rFonts w:ascii="Times New Roman" w:hAnsi="Times New Roman" w:cs="Times New Roman"/>
                <w:sz w:val="24"/>
                <w:szCs w:val="24"/>
              </w:rPr>
              <w:t>Международные облигации</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8,8</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9,4</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10,11</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11,12</w:t>
            </w:r>
          </w:p>
        </w:tc>
        <w:tc>
          <w:tcPr>
            <w:tcW w:w="1276"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12,1</w:t>
            </w:r>
          </w:p>
        </w:tc>
        <w:tc>
          <w:tcPr>
            <w:tcW w:w="127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9,1</w:t>
            </w:r>
          </w:p>
        </w:tc>
      </w:tr>
      <w:tr w:rsidR="00E40DE9" w:rsidRPr="00802D35" w:rsidTr="00E40DE9">
        <w:tc>
          <w:tcPr>
            <w:tcW w:w="9639" w:type="dxa"/>
            <w:gridSpan w:val="7"/>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Примечание – составлено на основании данных АО Halyk bank</w:t>
            </w:r>
          </w:p>
        </w:tc>
      </w:tr>
    </w:tbl>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Исходя из имеющихся данных можно отметить, что математическая модель задачи будет сведена к следующим ограничениям:</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Ограничения по ресурсам фондирования: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11</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12</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13</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14</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15</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16</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21</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22</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23</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24</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25</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26</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lastRenderedPageBreak/>
        <w:t>x</w:t>
      </w:r>
      <w:r w:rsidRPr="00802D35">
        <w:rPr>
          <w:rFonts w:ascii="Times New Roman" w:eastAsia="Times New Roman" w:hAnsi="Times New Roman" w:cs="Times New Roman"/>
          <w:sz w:val="28"/>
          <w:szCs w:val="28"/>
          <w:shd w:val="clear" w:color="auto" w:fill="FFFFFF"/>
          <w:vertAlign w:val="subscript"/>
          <w:lang w:eastAsia="ru-RU"/>
        </w:rPr>
        <w:t>31</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32</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33</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34</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35</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36</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41</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42</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43</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44</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45</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46</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51</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52</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53</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54</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55</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56</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В свою очередь, ограничения по вложениям в активы будут следующими: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11</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21</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31</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41</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51</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12</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22</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32</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42</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52</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13</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23</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33</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43</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53</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14</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24</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34</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44</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54</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15</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25</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35</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45</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55</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x</w:t>
      </w:r>
      <w:r w:rsidRPr="00802D35">
        <w:rPr>
          <w:rFonts w:ascii="Times New Roman" w:eastAsia="Times New Roman" w:hAnsi="Times New Roman" w:cs="Times New Roman"/>
          <w:sz w:val="28"/>
          <w:szCs w:val="28"/>
          <w:shd w:val="clear" w:color="auto" w:fill="FFFFFF"/>
          <w:vertAlign w:val="subscript"/>
          <w:lang w:eastAsia="ru-RU"/>
        </w:rPr>
        <w:t>16</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26</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36</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46</w:t>
      </w:r>
      <w:r w:rsidRPr="00802D35">
        <w:rPr>
          <w:rFonts w:ascii="Times New Roman" w:eastAsia="Times New Roman" w:hAnsi="Times New Roman" w:cs="Times New Roman"/>
          <w:sz w:val="28"/>
          <w:szCs w:val="28"/>
          <w:shd w:val="clear" w:color="auto" w:fill="FFFFFF"/>
          <w:lang w:eastAsia="ru-RU"/>
        </w:rPr>
        <w:t> + x</w:t>
      </w:r>
      <w:r w:rsidRPr="00802D35">
        <w:rPr>
          <w:rFonts w:ascii="Times New Roman" w:eastAsia="Times New Roman" w:hAnsi="Times New Roman" w:cs="Times New Roman"/>
          <w:sz w:val="28"/>
          <w:szCs w:val="28"/>
          <w:shd w:val="clear" w:color="auto" w:fill="FFFFFF"/>
          <w:vertAlign w:val="subscript"/>
          <w:lang w:eastAsia="ru-RU"/>
        </w:rPr>
        <w:t>56</w:t>
      </w:r>
      <w:r w:rsidRPr="00802D35">
        <w:rPr>
          <w:rFonts w:ascii="Times New Roman" w:eastAsia="Times New Roman" w:hAnsi="Times New Roman" w:cs="Times New Roman"/>
          <w:sz w:val="28"/>
          <w:szCs w:val="28"/>
          <w:shd w:val="clear" w:color="auto" w:fill="FFFFFF"/>
          <w:lang w:eastAsia="ru-RU"/>
        </w:rPr>
        <w:t> = 1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Учитывая, что целью является максимизация доходности, целевая функция примет следующий вид:</w:t>
      </w: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val="en-US" w:eastAsia="ru-RU"/>
        </w:rPr>
      </w:pPr>
      <w:r w:rsidRPr="00276CDB">
        <w:rPr>
          <w:rFonts w:ascii="Times New Roman" w:eastAsia="Times New Roman" w:hAnsi="Times New Roman" w:cs="Times New Roman"/>
          <w:sz w:val="28"/>
          <w:szCs w:val="28"/>
          <w:lang w:val="en-US" w:eastAsia="ru-RU"/>
        </w:rPr>
        <w:br/>
      </w:r>
      <w:r w:rsidRPr="00802D35">
        <w:rPr>
          <w:rFonts w:ascii="Times New Roman" w:eastAsia="Times New Roman" w:hAnsi="Times New Roman" w:cs="Times New Roman"/>
          <w:sz w:val="28"/>
          <w:szCs w:val="28"/>
          <w:shd w:val="clear" w:color="auto" w:fill="FFFFFF"/>
          <w:lang w:val="en-US" w:eastAsia="ru-RU"/>
        </w:rPr>
        <w:t>10,1x</w:t>
      </w:r>
      <w:r w:rsidRPr="00802D35">
        <w:rPr>
          <w:rFonts w:ascii="Times New Roman" w:eastAsia="Times New Roman" w:hAnsi="Times New Roman" w:cs="Times New Roman"/>
          <w:sz w:val="28"/>
          <w:szCs w:val="28"/>
          <w:shd w:val="clear" w:color="auto" w:fill="FFFFFF"/>
          <w:vertAlign w:val="subscript"/>
          <w:lang w:val="en-US" w:eastAsia="ru-RU"/>
        </w:rPr>
        <w:t>11</w:t>
      </w:r>
      <w:r w:rsidRPr="00802D35">
        <w:rPr>
          <w:rFonts w:ascii="Times New Roman" w:eastAsia="Times New Roman" w:hAnsi="Times New Roman" w:cs="Times New Roman"/>
          <w:sz w:val="28"/>
          <w:szCs w:val="28"/>
          <w:shd w:val="clear" w:color="auto" w:fill="FFFFFF"/>
          <w:lang w:val="en-US" w:eastAsia="ru-RU"/>
        </w:rPr>
        <w:t> + 11,2x</w:t>
      </w:r>
      <w:r w:rsidRPr="00802D35">
        <w:rPr>
          <w:rFonts w:ascii="Times New Roman" w:eastAsia="Times New Roman" w:hAnsi="Times New Roman" w:cs="Times New Roman"/>
          <w:sz w:val="28"/>
          <w:szCs w:val="28"/>
          <w:shd w:val="clear" w:color="auto" w:fill="FFFFFF"/>
          <w:vertAlign w:val="subscript"/>
          <w:lang w:val="en-US" w:eastAsia="ru-RU"/>
        </w:rPr>
        <w:t>12</w:t>
      </w:r>
      <w:r w:rsidRPr="00802D35">
        <w:rPr>
          <w:rFonts w:ascii="Times New Roman" w:eastAsia="Times New Roman" w:hAnsi="Times New Roman" w:cs="Times New Roman"/>
          <w:sz w:val="28"/>
          <w:szCs w:val="28"/>
          <w:shd w:val="clear" w:color="auto" w:fill="FFFFFF"/>
          <w:lang w:val="en-US" w:eastAsia="ru-RU"/>
        </w:rPr>
        <w:t> + 7,8x</w:t>
      </w:r>
      <w:r w:rsidRPr="00802D35">
        <w:rPr>
          <w:rFonts w:ascii="Times New Roman" w:eastAsia="Times New Roman" w:hAnsi="Times New Roman" w:cs="Times New Roman"/>
          <w:sz w:val="28"/>
          <w:szCs w:val="28"/>
          <w:shd w:val="clear" w:color="auto" w:fill="FFFFFF"/>
          <w:vertAlign w:val="subscript"/>
          <w:lang w:val="en-US" w:eastAsia="ru-RU"/>
        </w:rPr>
        <w:t>13</w:t>
      </w:r>
      <w:r w:rsidRPr="00802D35">
        <w:rPr>
          <w:rFonts w:ascii="Times New Roman" w:eastAsia="Times New Roman" w:hAnsi="Times New Roman" w:cs="Times New Roman"/>
          <w:sz w:val="28"/>
          <w:szCs w:val="28"/>
          <w:shd w:val="clear" w:color="auto" w:fill="FFFFFF"/>
          <w:lang w:val="en-US" w:eastAsia="ru-RU"/>
        </w:rPr>
        <w:t> + 6,4x</w:t>
      </w:r>
      <w:r w:rsidRPr="00802D35">
        <w:rPr>
          <w:rFonts w:ascii="Times New Roman" w:eastAsia="Times New Roman" w:hAnsi="Times New Roman" w:cs="Times New Roman"/>
          <w:sz w:val="28"/>
          <w:szCs w:val="28"/>
          <w:shd w:val="clear" w:color="auto" w:fill="FFFFFF"/>
          <w:vertAlign w:val="subscript"/>
          <w:lang w:val="en-US" w:eastAsia="ru-RU"/>
        </w:rPr>
        <w:t>14</w:t>
      </w:r>
      <w:r w:rsidRPr="00802D35">
        <w:rPr>
          <w:rFonts w:ascii="Times New Roman" w:eastAsia="Times New Roman" w:hAnsi="Times New Roman" w:cs="Times New Roman"/>
          <w:sz w:val="28"/>
          <w:szCs w:val="28"/>
          <w:shd w:val="clear" w:color="auto" w:fill="FFFFFF"/>
          <w:lang w:val="en-US" w:eastAsia="ru-RU"/>
        </w:rPr>
        <w:t> + 9,2x</w:t>
      </w:r>
      <w:r w:rsidRPr="00802D35">
        <w:rPr>
          <w:rFonts w:ascii="Times New Roman" w:eastAsia="Times New Roman" w:hAnsi="Times New Roman" w:cs="Times New Roman"/>
          <w:sz w:val="28"/>
          <w:szCs w:val="28"/>
          <w:shd w:val="clear" w:color="auto" w:fill="FFFFFF"/>
          <w:vertAlign w:val="subscript"/>
          <w:lang w:val="en-US" w:eastAsia="ru-RU"/>
        </w:rPr>
        <w:t>15</w:t>
      </w:r>
      <w:r w:rsidRPr="00802D35">
        <w:rPr>
          <w:rFonts w:ascii="Times New Roman" w:eastAsia="Times New Roman" w:hAnsi="Times New Roman" w:cs="Times New Roman"/>
          <w:sz w:val="28"/>
          <w:szCs w:val="28"/>
          <w:shd w:val="clear" w:color="auto" w:fill="FFFFFF"/>
          <w:lang w:val="en-US" w:eastAsia="ru-RU"/>
        </w:rPr>
        <w:t> + 10,2x</w:t>
      </w:r>
      <w:r w:rsidRPr="00802D35">
        <w:rPr>
          <w:rFonts w:ascii="Times New Roman" w:eastAsia="Times New Roman" w:hAnsi="Times New Roman" w:cs="Times New Roman"/>
          <w:sz w:val="28"/>
          <w:szCs w:val="28"/>
          <w:shd w:val="clear" w:color="auto" w:fill="FFFFFF"/>
          <w:vertAlign w:val="subscript"/>
          <w:lang w:val="en-US" w:eastAsia="ru-RU"/>
        </w:rPr>
        <w:t>16</w:t>
      </w:r>
      <w:r w:rsidRPr="00802D35">
        <w:rPr>
          <w:rFonts w:ascii="Times New Roman" w:eastAsia="Times New Roman" w:hAnsi="Times New Roman" w:cs="Times New Roman"/>
          <w:sz w:val="28"/>
          <w:szCs w:val="28"/>
          <w:shd w:val="clear" w:color="auto" w:fill="FFFFFF"/>
          <w:lang w:val="en-US" w:eastAsia="ru-RU"/>
        </w:rPr>
        <w:t> + 12,3x</w:t>
      </w:r>
      <w:r w:rsidRPr="00802D35">
        <w:rPr>
          <w:rFonts w:ascii="Times New Roman" w:eastAsia="Times New Roman" w:hAnsi="Times New Roman" w:cs="Times New Roman"/>
          <w:sz w:val="28"/>
          <w:szCs w:val="28"/>
          <w:shd w:val="clear" w:color="auto" w:fill="FFFFFF"/>
          <w:vertAlign w:val="subscript"/>
          <w:lang w:val="en-US" w:eastAsia="ru-RU"/>
        </w:rPr>
        <w:t>21</w:t>
      </w:r>
      <w:r w:rsidRPr="00802D35">
        <w:rPr>
          <w:rFonts w:ascii="Times New Roman" w:eastAsia="Times New Roman" w:hAnsi="Times New Roman" w:cs="Times New Roman"/>
          <w:sz w:val="28"/>
          <w:szCs w:val="28"/>
          <w:shd w:val="clear" w:color="auto" w:fill="FFFFFF"/>
          <w:lang w:val="en-US" w:eastAsia="ru-RU"/>
        </w:rPr>
        <w:t> + 15,1x</w:t>
      </w:r>
      <w:r w:rsidRPr="00802D35">
        <w:rPr>
          <w:rFonts w:ascii="Times New Roman" w:eastAsia="Times New Roman" w:hAnsi="Times New Roman" w:cs="Times New Roman"/>
          <w:sz w:val="28"/>
          <w:szCs w:val="28"/>
          <w:shd w:val="clear" w:color="auto" w:fill="FFFFFF"/>
          <w:vertAlign w:val="subscript"/>
          <w:lang w:val="en-US" w:eastAsia="ru-RU"/>
        </w:rPr>
        <w:t>22</w:t>
      </w:r>
      <w:r w:rsidRPr="00802D35">
        <w:rPr>
          <w:rFonts w:ascii="Times New Roman" w:eastAsia="Times New Roman" w:hAnsi="Times New Roman" w:cs="Times New Roman"/>
          <w:sz w:val="28"/>
          <w:szCs w:val="28"/>
          <w:shd w:val="clear" w:color="auto" w:fill="FFFFFF"/>
          <w:lang w:val="en-US" w:eastAsia="ru-RU"/>
        </w:rPr>
        <w:t> + 10,3x</w:t>
      </w:r>
      <w:r w:rsidRPr="00802D35">
        <w:rPr>
          <w:rFonts w:ascii="Times New Roman" w:eastAsia="Times New Roman" w:hAnsi="Times New Roman" w:cs="Times New Roman"/>
          <w:sz w:val="28"/>
          <w:szCs w:val="28"/>
          <w:shd w:val="clear" w:color="auto" w:fill="FFFFFF"/>
          <w:vertAlign w:val="subscript"/>
          <w:lang w:val="en-US" w:eastAsia="ru-RU"/>
        </w:rPr>
        <w:t>23</w:t>
      </w:r>
      <w:r w:rsidRPr="00802D35">
        <w:rPr>
          <w:rFonts w:ascii="Times New Roman" w:eastAsia="Times New Roman" w:hAnsi="Times New Roman" w:cs="Times New Roman"/>
          <w:sz w:val="28"/>
          <w:szCs w:val="28"/>
          <w:shd w:val="clear" w:color="auto" w:fill="FFFFFF"/>
          <w:lang w:val="en-US" w:eastAsia="ru-RU"/>
        </w:rPr>
        <w:t> + 11,1x</w:t>
      </w:r>
      <w:r w:rsidRPr="00802D35">
        <w:rPr>
          <w:rFonts w:ascii="Times New Roman" w:eastAsia="Times New Roman" w:hAnsi="Times New Roman" w:cs="Times New Roman"/>
          <w:sz w:val="28"/>
          <w:szCs w:val="28"/>
          <w:shd w:val="clear" w:color="auto" w:fill="FFFFFF"/>
          <w:vertAlign w:val="subscript"/>
          <w:lang w:val="en-US" w:eastAsia="ru-RU"/>
        </w:rPr>
        <w:t>24</w:t>
      </w:r>
      <w:r w:rsidRPr="00802D35">
        <w:rPr>
          <w:rFonts w:ascii="Times New Roman" w:eastAsia="Times New Roman" w:hAnsi="Times New Roman" w:cs="Times New Roman"/>
          <w:sz w:val="28"/>
          <w:szCs w:val="28"/>
          <w:shd w:val="clear" w:color="auto" w:fill="FFFFFF"/>
          <w:lang w:val="en-US" w:eastAsia="ru-RU"/>
        </w:rPr>
        <w:t> + 13,0x</w:t>
      </w:r>
      <w:r w:rsidRPr="00802D35">
        <w:rPr>
          <w:rFonts w:ascii="Times New Roman" w:eastAsia="Times New Roman" w:hAnsi="Times New Roman" w:cs="Times New Roman"/>
          <w:sz w:val="28"/>
          <w:szCs w:val="28"/>
          <w:shd w:val="clear" w:color="auto" w:fill="FFFFFF"/>
          <w:vertAlign w:val="subscript"/>
          <w:lang w:val="en-US" w:eastAsia="ru-RU"/>
        </w:rPr>
        <w:t>25</w:t>
      </w:r>
      <w:r w:rsidRPr="00802D35">
        <w:rPr>
          <w:rFonts w:ascii="Times New Roman" w:eastAsia="Times New Roman" w:hAnsi="Times New Roman" w:cs="Times New Roman"/>
          <w:sz w:val="28"/>
          <w:szCs w:val="28"/>
          <w:shd w:val="clear" w:color="auto" w:fill="FFFFFF"/>
          <w:lang w:val="en-US" w:eastAsia="ru-RU"/>
        </w:rPr>
        <w:t> + 11,2x</w:t>
      </w:r>
      <w:r w:rsidRPr="00802D35">
        <w:rPr>
          <w:rFonts w:ascii="Times New Roman" w:eastAsia="Times New Roman" w:hAnsi="Times New Roman" w:cs="Times New Roman"/>
          <w:sz w:val="28"/>
          <w:szCs w:val="28"/>
          <w:shd w:val="clear" w:color="auto" w:fill="FFFFFF"/>
          <w:vertAlign w:val="subscript"/>
          <w:lang w:val="en-US" w:eastAsia="ru-RU"/>
        </w:rPr>
        <w:t>26</w:t>
      </w:r>
      <w:r w:rsidRPr="00802D35">
        <w:rPr>
          <w:rFonts w:ascii="Times New Roman" w:eastAsia="Times New Roman" w:hAnsi="Times New Roman" w:cs="Times New Roman"/>
          <w:sz w:val="28"/>
          <w:szCs w:val="28"/>
          <w:shd w:val="clear" w:color="auto" w:fill="FFFFFF"/>
          <w:lang w:val="en-US" w:eastAsia="ru-RU"/>
        </w:rPr>
        <w:t> + 10,4x</w:t>
      </w:r>
      <w:r w:rsidRPr="00802D35">
        <w:rPr>
          <w:rFonts w:ascii="Times New Roman" w:eastAsia="Times New Roman" w:hAnsi="Times New Roman" w:cs="Times New Roman"/>
          <w:sz w:val="28"/>
          <w:szCs w:val="28"/>
          <w:shd w:val="clear" w:color="auto" w:fill="FFFFFF"/>
          <w:vertAlign w:val="subscript"/>
          <w:lang w:val="en-US" w:eastAsia="ru-RU"/>
        </w:rPr>
        <w:t>31</w:t>
      </w:r>
      <w:r w:rsidRPr="00802D35">
        <w:rPr>
          <w:rFonts w:ascii="Times New Roman" w:eastAsia="Times New Roman" w:hAnsi="Times New Roman" w:cs="Times New Roman"/>
          <w:sz w:val="28"/>
          <w:szCs w:val="28"/>
          <w:shd w:val="clear" w:color="auto" w:fill="FFFFFF"/>
          <w:lang w:val="en-US" w:eastAsia="ru-RU"/>
        </w:rPr>
        <w:t> + 11,0x</w:t>
      </w:r>
      <w:r w:rsidRPr="00802D35">
        <w:rPr>
          <w:rFonts w:ascii="Times New Roman" w:eastAsia="Times New Roman" w:hAnsi="Times New Roman" w:cs="Times New Roman"/>
          <w:sz w:val="28"/>
          <w:szCs w:val="28"/>
          <w:shd w:val="clear" w:color="auto" w:fill="FFFFFF"/>
          <w:vertAlign w:val="subscript"/>
          <w:lang w:val="en-US" w:eastAsia="ru-RU"/>
        </w:rPr>
        <w:t>32</w:t>
      </w:r>
      <w:r w:rsidRPr="00802D35">
        <w:rPr>
          <w:rFonts w:ascii="Times New Roman" w:eastAsia="Times New Roman" w:hAnsi="Times New Roman" w:cs="Times New Roman"/>
          <w:sz w:val="28"/>
          <w:szCs w:val="28"/>
          <w:shd w:val="clear" w:color="auto" w:fill="FFFFFF"/>
          <w:lang w:val="en-US" w:eastAsia="ru-RU"/>
        </w:rPr>
        <w:t> + 9,21x</w:t>
      </w:r>
      <w:r w:rsidRPr="00802D35">
        <w:rPr>
          <w:rFonts w:ascii="Times New Roman" w:eastAsia="Times New Roman" w:hAnsi="Times New Roman" w:cs="Times New Roman"/>
          <w:sz w:val="28"/>
          <w:szCs w:val="28"/>
          <w:shd w:val="clear" w:color="auto" w:fill="FFFFFF"/>
          <w:vertAlign w:val="subscript"/>
          <w:lang w:val="en-US" w:eastAsia="ru-RU"/>
        </w:rPr>
        <w:t>33</w:t>
      </w:r>
      <w:r w:rsidRPr="00802D35">
        <w:rPr>
          <w:rFonts w:ascii="Times New Roman" w:eastAsia="Times New Roman" w:hAnsi="Times New Roman" w:cs="Times New Roman"/>
          <w:sz w:val="28"/>
          <w:szCs w:val="28"/>
          <w:shd w:val="clear" w:color="auto" w:fill="FFFFFF"/>
          <w:lang w:val="en-US" w:eastAsia="ru-RU"/>
        </w:rPr>
        <w:t> + 12,1x</w:t>
      </w:r>
      <w:r w:rsidRPr="00802D35">
        <w:rPr>
          <w:rFonts w:ascii="Times New Roman" w:eastAsia="Times New Roman" w:hAnsi="Times New Roman" w:cs="Times New Roman"/>
          <w:sz w:val="28"/>
          <w:szCs w:val="28"/>
          <w:shd w:val="clear" w:color="auto" w:fill="FFFFFF"/>
          <w:vertAlign w:val="subscript"/>
          <w:lang w:val="en-US" w:eastAsia="ru-RU"/>
        </w:rPr>
        <w:t>34</w:t>
      </w:r>
      <w:r w:rsidRPr="00802D35">
        <w:rPr>
          <w:rFonts w:ascii="Times New Roman" w:eastAsia="Times New Roman" w:hAnsi="Times New Roman" w:cs="Times New Roman"/>
          <w:sz w:val="28"/>
          <w:szCs w:val="28"/>
          <w:shd w:val="clear" w:color="auto" w:fill="FFFFFF"/>
          <w:lang w:val="en-US" w:eastAsia="ru-RU"/>
        </w:rPr>
        <w:t> + 9,3x</w:t>
      </w:r>
      <w:r w:rsidRPr="00802D35">
        <w:rPr>
          <w:rFonts w:ascii="Times New Roman" w:eastAsia="Times New Roman" w:hAnsi="Times New Roman" w:cs="Times New Roman"/>
          <w:sz w:val="28"/>
          <w:szCs w:val="28"/>
          <w:shd w:val="clear" w:color="auto" w:fill="FFFFFF"/>
          <w:vertAlign w:val="subscript"/>
          <w:lang w:val="en-US" w:eastAsia="ru-RU"/>
        </w:rPr>
        <w:t>35</w:t>
      </w:r>
      <w:r w:rsidRPr="00802D35">
        <w:rPr>
          <w:rFonts w:ascii="Times New Roman" w:eastAsia="Times New Roman" w:hAnsi="Times New Roman" w:cs="Times New Roman"/>
          <w:sz w:val="28"/>
          <w:szCs w:val="28"/>
          <w:shd w:val="clear" w:color="auto" w:fill="FFFFFF"/>
          <w:lang w:val="en-US" w:eastAsia="ru-RU"/>
        </w:rPr>
        <w:t> + 9,9x</w:t>
      </w:r>
      <w:r w:rsidRPr="00802D35">
        <w:rPr>
          <w:rFonts w:ascii="Times New Roman" w:eastAsia="Times New Roman" w:hAnsi="Times New Roman" w:cs="Times New Roman"/>
          <w:sz w:val="28"/>
          <w:szCs w:val="28"/>
          <w:shd w:val="clear" w:color="auto" w:fill="FFFFFF"/>
          <w:vertAlign w:val="subscript"/>
          <w:lang w:val="en-US" w:eastAsia="ru-RU"/>
        </w:rPr>
        <w:t>36</w:t>
      </w:r>
      <w:r w:rsidRPr="00802D35">
        <w:rPr>
          <w:rFonts w:ascii="Times New Roman" w:eastAsia="Times New Roman" w:hAnsi="Times New Roman" w:cs="Times New Roman"/>
          <w:sz w:val="28"/>
          <w:szCs w:val="28"/>
          <w:shd w:val="clear" w:color="auto" w:fill="FFFFFF"/>
          <w:lang w:val="en-US" w:eastAsia="ru-RU"/>
        </w:rPr>
        <w:t> + 9,8x</w:t>
      </w:r>
      <w:r w:rsidRPr="00802D35">
        <w:rPr>
          <w:rFonts w:ascii="Times New Roman" w:eastAsia="Times New Roman" w:hAnsi="Times New Roman" w:cs="Times New Roman"/>
          <w:sz w:val="28"/>
          <w:szCs w:val="28"/>
          <w:shd w:val="clear" w:color="auto" w:fill="FFFFFF"/>
          <w:vertAlign w:val="subscript"/>
          <w:lang w:val="en-US" w:eastAsia="ru-RU"/>
        </w:rPr>
        <w:t>41</w:t>
      </w:r>
      <w:r w:rsidRPr="00802D35">
        <w:rPr>
          <w:rFonts w:ascii="Times New Roman" w:eastAsia="Times New Roman" w:hAnsi="Times New Roman" w:cs="Times New Roman"/>
          <w:sz w:val="28"/>
          <w:szCs w:val="28"/>
          <w:shd w:val="clear" w:color="auto" w:fill="FFFFFF"/>
          <w:lang w:val="en-US" w:eastAsia="ru-RU"/>
        </w:rPr>
        <w:t> + 11,3x</w:t>
      </w:r>
      <w:r w:rsidRPr="00802D35">
        <w:rPr>
          <w:rFonts w:ascii="Times New Roman" w:eastAsia="Times New Roman" w:hAnsi="Times New Roman" w:cs="Times New Roman"/>
          <w:sz w:val="28"/>
          <w:szCs w:val="28"/>
          <w:shd w:val="clear" w:color="auto" w:fill="FFFFFF"/>
          <w:vertAlign w:val="subscript"/>
          <w:lang w:val="en-US" w:eastAsia="ru-RU"/>
        </w:rPr>
        <w:t>42</w:t>
      </w:r>
      <w:r w:rsidRPr="00802D35">
        <w:rPr>
          <w:rFonts w:ascii="Times New Roman" w:eastAsia="Times New Roman" w:hAnsi="Times New Roman" w:cs="Times New Roman"/>
          <w:sz w:val="28"/>
          <w:szCs w:val="28"/>
          <w:shd w:val="clear" w:color="auto" w:fill="FFFFFF"/>
          <w:lang w:val="en-US" w:eastAsia="ru-RU"/>
        </w:rPr>
        <w:t> + 12,0x</w:t>
      </w:r>
      <w:r w:rsidRPr="00802D35">
        <w:rPr>
          <w:rFonts w:ascii="Times New Roman" w:eastAsia="Times New Roman" w:hAnsi="Times New Roman" w:cs="Times New Roman"/>
          <w:sz w:val="28"/>
          <w:szCs w:val="28"/>
          <w:shd w:val="clear" w:color="auto" w:fill="FFFFFF"/>
          <w:vertAlign w:val="subscript"/>
          <w:lang w:val="en-US" w:eastAsia="ru-RU"/>
        </w:rPr>
        <w:t>43</w:t>
      </w:r>
      <w:r w:rsidRPr="00802D35">
        <w:rPr>
          <w:rFonts w:ascii="Times New Roman" w:eastAsia="Times New Roman" w:hAnsi="Times New Roman" w:cs="Times New Roman"/>
          <w:sz w:val="28"/>
          <w:szCs w:val="28"/>
          <w:shd w:val="clear" w:color="auto" w:fill="FFFFFF"/>
          <w:lang w:val="en-US" w:eastAsia="ru-RU"/>
        </w:rPr>
        <w:t> + 9,0x</w:t>
      </w:r>
      <w:r w:rsidRPr="00802D35">
        <w:rPr>
          <w:rFonts w:ascii="Times New Roman" w:eastAsia="Times New Roman" w:hAnsi="Times New Roman" w:cs="Times New Roman"/>
          <w:sz w:val="28"/>
          <w:szCs w:val="28"/>
          <w:shd w:val="clear" w:color="auto" w:fill="FFFFFF"/>
          <w:vertAlign w:val="subscript"/>
          <w:lang w:val="en-US" w:eastAsia="ru-RU"/>
        </w:rPr>
        <w:t>44</w:t>
      </w:r>
      <w:r w:rsidRPr="00802D35">
        <w:rPr>
          <w:rFonts w:ascii="Times New Roman" w:eastAsia="Times New Roman" w:hAnsi="Times New Roman" w:cs="Times New Roman"/>
          <w:sz w:val="28"/>
          <w:szCs w:val="28"/>
          <w:shd w:val="clear" w:color="auto" w:fill="FFFFFF"/>
          <w:lang w:val="en-US" w:eastAsia="ru-RU"/>
        </w:rPr>
        <w:t> + 8,7x</w:t>
      </w:r>
      <w:r w:rsidRPr="00802D35">
        <w:rPr>
          <w:rFonts w:ascii="Times New Roman" w:eastAsia="Times New Roman" w:hAnsi="Times New Roman" w:cs="Times New Roman"/>
          <w:sz w:val="28"/>
          <w:szCs w:val="28"/>
          <w:shd w:val="clear" w:color="auto" w:fill="FFFFFF"/>
          <w:vertAlign w:val="subscript"/>
          <w:lang w:val="en-US" w:eastAsia="ru-RU"/>
        </w:rPr>
        <w:t>45</w:t>
      </w:r>
      <w:r w:rsidRPr="00802D35">
        <w:rPr>
          <w:rFonts w:ascii="Times New Roman" w:eastAsia="Times New Roman" w:hAnsi="Times New Roman" w:cs="Times New Roman"/>
          <w:sz w:val="28"/>
          <w:szCs w:val="28"/>
          <w:shd w:val="clear" w:color="auto" w:fill="FFFFFF"/>
          <w:lang w:val="en-US" w:eastAsia="ru-RU"/>
        </w:rPr>
        <w:t> + 8,9x</w:t>
      </w:r>
      <w:r w:rsidRPr="00802D35">
        <w:rPr>
          <w:rFonts w:ascii="Times New Roman" w:eastAsia="Times New Roman" w:hAnsi="Times New Roman" w:cs="Times New Roman"/>
          <w:sz w:val="28"/>
          <w:szCs w:val="28"/>
          <w:shd w:val="clear" w:color="auto" w:fill="FFFFFF"/>
          <w:vertAlign w:val="subscript"/>
          <w:lang w:val="en-US" w:eastAsia="ru-RU"/>
        </w:rPr>
        <w:t>46</w:t>
      </w:r>
      <w:r w:rsidRPr="00802D35">
        <w:rPr>
          <w:rFonts w:ascii="Times New Roman" w:eastAsia="Times New Roman" w:hAnsi="Times New Roman" w:cs="Times New Roman"/>
          <w:sz w:val="28"/>
          <w:szCs w:val="28"/>
          <w:shd w:val="clear" w:color="auto" w:fill="FFFFFF"/>
          <w:lang w:val="en-US" w:eastAsia="ru-RU"/>
        </w:rPr>
        <w:t> + 8,8x</w:t>
      </w:r>
      <w:r w:rsidRPr="00802D35">
        <w:rPr>
          <w:rFonts w:ascii="Times New Roman" w:eastAsia="Times New Roman" w:hAnsi="Times New Roman" w:cs="Times New Roman"/>
          <w:sz w:val="28"/>
          <w:szCs w:val="28"/>
          <w:shd w:val="clear" w:color="auto" w:fill="FFFFFF"/>
          <w:vertAlign w:val="subscript"/>
          <w:lang w:val="en-US" w:eastAsia="ru-RU"/>
        </w:rPr>
        <w:t>51</w:t>
      </w:r>
      <w:r w:rsidRPr="00802D35">
        <w:rPr>
          <w:rFonts w:ascii="Times New Roman" w:eastAsia="Times New Roman" w:hAnsi="Times New Roman" w:cs="Times New Roman"/>
          <w:sz w:val="28"/>
          <w:szCs w:val="28"/>
          <w:shd w:val="clear" w:color="auto" w:fill="FFFFFF"/>
          <w:lang w:val="en-US" w:eastAsia="ru-RU"/>
        </w:rPr>
        <w:t> + 9,4x</w:t>
      </w:r>
      <w:r w:rsidRPr="00802D35">
        <w:rPr>
          <w:rFonts w:ascii="Times New Roman" w:eastAsia="Times New Roman" w:hAnsi="Times New Roman" w:cs="Times New Roman"/>
          <w:sz w:val="28"/>
          <w:szCs w:val="28"/>
          <w:shd w:val="clear" w:color="auto" w:fill="FFFFFF"/>
          <w:vertAlign w:val="subscript"/>
          <w:lang w:val="en-US" w:eastAsia="ru-RU"/>
        </w:rPr>
        <w:t>52</w:t>
      </w:r>
      <w:r w:rsidRPr="00802D35">
        <w:rPr>
          <w:rFonts w:ascii="Times New Roman" w:eastAsia="Times New Roman" w:hAnsi="Times New Roman" w:cs="Times New Roman"/>
          <w:sz w:val="28"/>
          <w:szCs w:val="28"/>
          <w:shd w:val="clear" w:color="auto" w:fill="FFFFFF"/>
          <w:lang w:val="en-US" w:eastAsia="ru-RU"/>
        </w:rPr>
        <w:t> + 10,11x</w:t>
      </w:r>
      <w:r w:rsidRPr="00802D35">
        <w:rPr>
          <w:rFonts w:ascii="Times New Roman" w:eastAsia="Times New Roman" w:hAnsi="Times New Roman" w:cs="Times New Roman"/>
          <w:sz w:val="28"/>
          <w:szCs w:val="28"/>
          <w:shd w:val="clear" w:color="auto" w:fill="FFFFFF"/>
          <w:vertAlign w:val="subscript"/>
          <w:lang w:val="en-US" w:eastAsia="ru-RU"/>
        </w:rPr>
        <w:t>53</w:t>
      </w:r>
      <w:r w:rsidRPr="00802D35">
        <w:rPr>
          <w:rFonts w:ascii="Times New Roman" w:eastAsia="Times New Roman" w:hAnsi="Times New Roman" w:cs="Times New Roman"/>
          <w:sz w:val="28"/>
          <w:szCs w:val="28"/>
          <w:shd w:val="clear" w:color="auto" w:fill="FFFFFF"/>
          <w:lang w:val="en-US" w:eastAsia="ru-RU"/>
        </w:rPr>
        <w:t> + 11,12x</w:t>
      </w:r>
      <w:r w:rsidRPr="00802D35">
        <w:rPr>
          <w:rFonts w:ascii="Times New Roman" w:eastAsia="Times New Roman" w:hAnsi="Times New Roman" w:cs="Times New Roman"/>
          <w:sz w:val="28"/>
          <w:szCs w:val="28"/>
          <w:shd w:val="clear" w:color="auto" w:fill="FFFFFF"/>
          <w:vertAlign w:val="subscript"/>
          <w:lang w:val="en-US" w:eastAsia="ru-RU"/>
        </w:rPr>
        <w:t>54</w:t>
      </w:r>
      <w:r w:rsidRPr="00802D35">
        <w:rPr>
          <w:rFonts w:ascii="Times New Roman" w:eastAsia="Times New Roman" w:hAnsi="Times New Roman" w:cs="Times New Roman"/>
          <w:sz w:val="28"/>
          <w:szCs w:val="28"/>
          <w:shd w:val="clear" w:color="auto" w:fill="FFFFFF"/>
          <w:lang w:val="en-US" w:eastAsia="ru-RU"/>
        </w:rPr>
        <w:t>+ 12,1x</w:t>
      </w:r>
      <w:r w:rsidRPr="00802D35">
        <w:rPr>
          <w:rFonts w:ascii="Times New Roman" w:eastAsia="Times New Roman" w:hAnsi="Times New Roman" w:cs="Times New Roman"/>
          <w:sz w:val="28"/>
          <w:szCs w:val="28"/>
          <w:shd w:val="clear" w:color="auto" w:fill="FFFFFF"/>
          <w:vertAlign w:val="subscript"/>
          <w:lang w:val="en-US" w:eastAsia="ru-RU"/>
        </w:rPr>
        <w:t>55</w:t>
      </w:r>
      <w:r w:rsidRPr="00802D35">
        <w:rPr>
          <w:rFonts w:ascii="Times New Roman" w:eastAsia="Times New Roman" w:hAnsi="Times New Roman" w:cs="Times New Roman"/>
          <w:sz w:val="28"/>
          <w:szCs w:val="28"/>
          <w:shd w:val="clear" w:color="auto" w:fill="FFFFFF"/>
          <w:lang w:val="en-US" w:eastAsia="ru-RU"/>
        </w:rPr>
        <w:t> + 9,1x</w:t>
      </w:r>
      <w:r w:rsidRPr="00802D35">
        <w:rPr>
          <w:rFonts w:ascii="Times New Roman" w:eastAsia="Times New Roman" w:hAnsi="Times New Roman" w:cs="Times New Roman"/>
          <w:sz w:val="28"/>
          <w:szCs w:val="28"/>
          <w:shd w:val="clear" w:color="auto" w:fill="FFFFFF"/>
          <w:vertAlign w:val="subscript"/>
          <w:lang w:val="en-US" w:eastAsia="ru-RU"/>
        </w:rPr>
        <w:t>56</w:t>
      </w:r>
      <w:r w:rsidRPr="00802D35">
        <w:rPr>
          <w:rFonts w:ascii="Times New Roman" w:eastAsia="Times New Roman" w:hAnsi="Times New Roman" w:cs="Times New Roman"/>
          <w:sz w:val="28"/>
          <w:szCs w:val="28"/>
          <w:shd w:val="clear" w:color="auto" w:fill="FFFFFF"/>
          <w:lang w:val="en-US" w:eastAsia="ru-RU"/>
        </w:rPr>
        <w:t> → max</w:t>
      </w: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val="en-US"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Данные таблицы 24 можно представить в виде матрицы, которую следует смодифицировать посредством умножения всех ее элементов на (-1) и последующим сложением их с максимальным элементом матрицы. При этом, </w:t>
      </w:r>
      <w:r w:rsidRPr="00802D35">
        <w:rPr>
          <w:rFonts w:ascii="Times New Roman" w:eastAsia="Times New Roman" w:hAnsi="Times New Roman" w:cs="Times New Roman"/>
          <w:sz w:val="28"/>
          <w:szCs w:val="28"/>
          <w:lang w:eastAsia="ru-RU"/>
        </w:rPr>
        <w:br/>
      </w:r>
      <w:r w:rsidRPr="00802D35">
        <w:rPr>
          <w:rFonts w:ascii="Times New Roman" w:eastAsia="Times New Roman" w:hAnsi="Times New Roman" w:cs="Times New Roman"/>
          <w:sz w:val="28"/>
          <w:szCs w:val="28"/>
          <w:shd w:val="clear" w:color="auto" w:fill="FFFFFF"/>
          <w:lang w:eastAsia="ru-RU"/>
        </w:rPr>
        <w:t xml:space="preserve">модифицированная матрица не должна содержать отрицательных элементов.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lang w:eastAsia="ru-RU"/>
        </w:rPr>
        <w:t xml:space="preserve">Таким образом, </w:t>
      </w:r>
      <w:r w:rsidRPr="00802D35">
        <w:rPr>
          <w:rFonts w:ascii="Times New Roman" w:eastAsia="Times New Roman" w:hAnsi="Times New Roman" w:cs="Times New Roman"/>
          <w:sz w:val="28"/>
          <w:szCs w:val="28"/>
          <w:shd w:val="clear" w:color="auto" w:fill="FFFFFF"/>
          <w:lang w:eastAsia="ru-RU"/>
        </w:rPr>
        <w:t>полученная итоговая матрица будет показывать оптимальное распределение фондирования активных операций банка. В частности, согласно полученных данных такие ресурсы фондирования как вклады физических лиц лучше направить на приобретение облигаций МФО, корпоративные депозиты – на депозитарные расписки В, межбанковские кредиты – кредитование по программе ДАМУ, субординированные облигации – финансирование проекта С и международные облигации – валютные свопы. При таком распределении система показывает достижение максимального значения доходности:</w:t>
      </w:r>
    </w:p>
    <w:p w:rsidR="00E40DE9" w:rsidRPr="00802D35" w:rsidRDefault="00E40DE9" w:rsidP="00E40DE9">
      <w:pPr>
        <w:spacing w:after="0" w:line="240" w:lineRule="auto"/>
        <w:ind w:firstLine="709"/>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Р</w:t>
      </w:r>
      <w:r w:rsidRPr="00802D35">
        <w:rPr>
          <w:rFonts w:ascii="Times New Roman" w:eastAsia="Times New Roman" w:hAnsi="Times New Roman" w:cs="Times New Roman"/>
          <w:sz w:val="28"/>
          <w:szCs w:val="28"/>
          <w:shd w:val="clear" w:color="auto" w:fill="FFFFFF"/>
          <w:vertAlign w:val="subscript"/>
          <w:lang w:eastAsia="ru-RU"/>
        </w:rPr>
        <w:t>max</w:t>
      </w:r>
      <w:r w:rsidRPr="00802D35">
        <w:rPr>
          <w:rFonts w:ascii="Times New Roman" w:eastAsia="Times New Roman" w:hAnsi="Times New Roman" w:cs="Times New Roman"/>
          <w:sz w:val="28"/>
          <w:szCs w:val="28"/>
          <w:shd w:val="clear" w:color="auto" w:fill="FFFFFF"/>
          <w:lang w:eastAsia="ru-RU"/>
        </w:rPr>
        <w:t xml:space="preserve"> = 10,2 + 15,1 + 12,1 + 12,0 + 12,1 = 61,5 </w:t>
      </w:r>
    </w:p>
    <w:p w:rsidR="00E40DE9" w:rsidRPr="00802D35" w:rsidRDefault="00E40DE9" w:rsidP="00E40DE9">
      <w:pPr>
        <w:spacing w:after="0" w:line="240" w:lineRule="auto"/>
        <w:ind w:firstLine="567"/>
        <w:rPr>
          <w:rFonts w:ascii="Times New Roman" w:eastAsia="Times New Roman" w:hAnsi="Times New Roman" w:cs="Times New Roman"/>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Теперь следует определить, какие суммы фондирования возможно распределить на соответствующие активные операции банка с целью максимизации прибыли. В таблице 25 указаны возможные доходности от распределения в соответствующие активы при вложении 40-100 млн тенге средств фондирования.</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Следует отметить, что банк самостоятельно осуществляет выбор наиболее привлекательных инструментов вложения средств фондирования, рассчитывая на максимизацию доходности при приемлемых уровнях риска.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val="en-US" w:eastAsia="ru-RU"/>
        </w:rPr>
      </w:pPr>
      <w:r w:rsidRPr="00802D35">
        <w:rPr>
          <w:rFonts w:ascii="Times New Roman" w:eastAsia="Times New Roman" w:hAnsi="Times New Roman" w:cs="Times New Roman"/>
          <w:sz w:val="28"/>
          <w:szCs w:val="28"/>
          <w:shd w:val="clear" w:color="auto" w:fill="FFFFFF"/>
          <w:lang w:eastAsia="ru-RU"/>
        </w:rPr>
        <w:lastRenderedPageBreak/>
        <w:t>В данном случае, варианты были взяты произвольно, учитывая интересы банка и ставя задачу максимизации результатов. Сумма фондирования также взята произвольно.</w:t>
      </w:r>
    </w:p>
    <w:p w:rsidR="00E97FF6" w:rsidRPr="00802D35" w:rsidRDefault="00E97FF6" w:rsidP="00E40DE9">
      <w:pPr>
        <w:spacing w:after="0" w:line="240" w:lineRule="auto"/>
        <w:ind w:firstLine="567"/>
        <w:jc w:val="both"/>
        <w:rPr>
          <w:rFonts w:ascii="Times New Roman" w:eastAsia="Times New Roman" w:hAnsi="Times New Roman" w:cs="Times New Roman"/>
          <w:sz w:val="28"/>
          <w:szCs w:val="28"/>
          <w:shd w:val="clear" w:color="auto" w:fill="FFFFFF"/>
          <w:lang w:val="en-US" w:eastAsia="ru-RU"/>
        </w:rPr>
      </w:pPr>
    </w:p>
    <w:p w:rsidR="00E40DE9" w:rsidRPr="00802D35" w:rsidRDefault="00E40DE9" w:rsidP="00E40DE9">
      <w:pPr>
        <w:spacing w:after="0" w:line="240" w:lineRule="auto"/>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Таблица 25 – Распределение сумм фондирования</w:t>
      </w:r>
    </w:p>
    <w:p w:rsidR="00E40DE9" w:rsidRPr="00802D35" w:rsidRDefault="00E40DE9" w:rsidP="00E40DE9">
      <w:pPr>
        <w:spacing w:after="0" w:line="240" w:lineRule="auto"/>
        <w:ind w:firstLine="709"/>
        <w:jc w:val="both"/>
        <w:rPr>
          <w:rFonts w:ascii="Times New Roman" w:eastAsia="Times New Roman" w:hAnsi="Times New Roman" w:cs="Times New Roman"/>
          <w:sz w:val="28"/>
          <w:szCs w:val="28"/>
          <w:shd w:val="clear" w:color="auto" w:fill="FFFFFF"/>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23"/>
        <w:gridCol w:w="1323"/>
        <w:gridCol w:w="1323"/>
        <w:gridCol w:w="1323"/>
        <w:gridCol w:w="1323"/>
        <w:gridCol w:w="1323"/>
      </w:tblGrid>
      <w:tr w:rsidR="00E40DE9" w:rsidRPr="00802D35" w:rsidTr="00E40DE9">
        <w:tc>
          <w:tcPr>
            <w:tcW w:w="1809"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Сумма инвестирования, млн тенге</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Международные облигации банка А</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Депозитарные расписки В</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Финансирование проекта С</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Кредитование по программе ДАМУ</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Валютные свопы</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 xml:space="preserve">Облигации МФО </w:t>
            </w:r>
          </w:p>
        </w:tc>
      </w:tr>
      <w:tr w:rsidR="00E40DE9" w:rsidRPr="00802D35" w:rsidTr="00E40DE9">
        <w:tc>
          <w:tcPr>
            <w:tcW w:w="1809"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41</w:t>
            </w:r>
          </w:p>
        </w:tc>
        <w:tc>
          <w:tcPr>
            <w:tcW w:w="1323"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7,3</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10,2</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6,8</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7,4</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8,2</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10,0</w:t>
            </w:r>
          </w:p>
        </w:tc>
      </w:tr>
      <w:tr w:rsidR="00E40DE9" w:rsidRPr="00802D35" w:rsidTr="00E40DE9">
        <w:tc>
          <w:tcPr>
            <w:tcW w:w="1809"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50</w:t>
            </w:r>
          </w:p>
        </w:tc>
        <w:tc>
          <w:tcPr>
            <w:tcW w:w="1323"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8,1</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11,1</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10,8</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11,4</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12,0</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12,3</w:t>
            </w:r>
          </w:p>
        </w:tc>
      </w:tr>
      <w:tr w:rsidR="00E40DE9" w:rsidRPr="00802D35" w:rsidTr="00E40DE9">
        <w:tc>
          <w:tcPr>
            <w:tcW w:w="1809"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62</w:t>
            </w:r>
          </w:p>
        </w:tc>
        <w:tc>
          <w:tcPr>
            <w:tcW w:w="1323"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5,6</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12,1</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9,5</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11,2</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9,7</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9,9</w:t>
            </w:r>
          </w:p>
        </w:tc>
      </w:tr>
      <w:tr w:rsidR="00E40DE9" w:rsidRPr="00802D35" w:rsidTr="00E40DE9">
        <w:tc>
          <w:tcPr>
            <w:tcW w:w="1809"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71</w:t>
            </w:r>
          </w:p>
        </w:tc>
        <w:tc>
          <w:tcPr>
            <w:tcW w:w="1323"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8,2</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11,3</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12,0</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9,0</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8,7</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8,9</w:t>
            </w:r>
          </w:p>
        </w:tc>
      </w:tr>
      <w:tr w:rsidR="00E40DE9" w:rsidRPr="00802D35" w:rsidTr="00E40DE9">
        <w:tc>
          <w:tcPr>
            <w:tcW w:w="1809"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80</w:t>
            </w:r>
          </w:p>
        </w:tc>
        <w:tc>
          <w:tcPr>
            <w:tcW w:w="1323"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10</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11,4</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12.1</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10,0</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11,2</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10,9</w:t>
            </w:r>
          </w:p>
        </w:tc>
      </w:tr>
      <w:tr w:rsidR="00E40DE9" w:rsidRPr="00802D35" w:rsidTr="00E40DE9">
        <w:tc>
          <w:tcPr>
            <w:tcW w:w="1809"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91</w:t>
            </w:r>
          </w:p>
        </w:tc>
        <w:tc>
          <w:tcPr>
            <w:tcW w:w="1323"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9,2</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10,4</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11,8</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11,9</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12,3</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12,1</w:t>
            </w:r>
          </w:p>
        </w:tc>
      </w:tr>
      <w:tr w:rsidR="00E40DE9" w:rsidRPr="00802D35" w:rsidTr="00E40DE9">
        <w:tc>
          <w:tcPr>
            <w:tcW w:w="1809"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100</w:t>
            </w:r>
          </w:p>
        </w:tc>
        <w:tc>
          <w:tcPr>
            <w:tcW w:w="1323"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12,3</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11,7</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11,1</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10,8</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12,0</w:t>
            </w:r>
          </w:p>
        </w:tc>
        <w:tc>
          <w:tcPr>
            <w:tcW w:w="1323"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12,4</w:t>
            </w:r>
          </w:p>
        </w:tc>
      </w:tr>
      <w:tr w:rsidR="00E40DE9" w:rsidRPr="00802D35" w:rsidTr="00E40DE9">
        <w:tc>
          <w:tcPr>
            <w:tcW w:w="9747" w:type="dxa"/>
            <w:gridSpan w:val="7"/>
          </w:tcPr>
          <w:p w:rsidR="00E40DE9" w:rsidRPr="00802D35" w:rsidRDefault="00E40DE9" w:rsidP="00E40DE9">
            <w:pPr>
              <w:spacing w:after="0" w:line="240" w:lineRule="auto"/>
              <w:jc w:val="both"/>
              <w:rPr>
                <w:rFonts w:ascii="Times New Roman" w:hAnsi="Times New Roman" w:cs="Times New Roman"/>
                <w:sz w:val="24"/>
                <w:szCs w:val="24"/>
              </w:rPr>
            </w:pPr>
            <w:r w:rsidRPr="00802D35">
              <w:rPr>
                <w:rFonts w:ascii="Times New Roman" w:hAnsi="Times New Roman" w:cs="Times New Roman"/>
                <w:sz w:val="24"/>
                <w:szCs w:val="24"/>
              </w:rPr>
              <w:t>Примечание – составлено на основании данных АО Halyk bank</w:t>
            </w:r>
          </w:p>
        </w:tc>
      </w:tr>
    </w:tbl>
    <w:p w:rsidR="00E40DE9" w:rsidRPr="00802D35" w:rsidRDefault="00E40DE9" w:rsidP="00E40DE9">
      <w:pPr>
        <w:spacing w:after="0" w:line="240" w:lineRule="auto"/>
        <w:ind w:firstLine="709"/>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Для данной задачи необходимо использовать метод динамического программирования, а именно метод прямой прогонки для оптимизации распределения сумм фондирования. Первым этапом является условная оптимизация, при которой i = 1. В данном случае предполагается, что все средства фондирования в сумме 100 млн. тенге используются на вложения в международные облигации банка А (таблица 26).</w:t>
      </w:r>
    </w:p>
    <w:p w:rsidR="00E40DE9" w:rsidRPr="00802D35" w:rsidRDefault="00E40DE9" w:rsidP="00E40DE9">
      <w:pPr>
        <w:spacing w:after="0" w:line="240" w:lineRule="auto"/>
        <w:ind w:firstLine="709"/>
        <w:jc w:val="both"/>
        <w:rPr>
          <w:rFonts w:ascii="Times New Roman" w:hAnsi="Times New Roman" w:cs="Times New Roman"/>
          <w:sz w:val="28"/>
          <w:szCs w:val="28"/>
        </w:rPr>
      </w:pPr>
    </w:p>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 xml:space="preserve">Таблица 26 – Матрица условной оптимизации </w:t>
      </w:r>
      <w:r w:rsidRPr="00802D35">
        <w:rPr>
          <w:rFonts w:ascii="Times New Roman" w:eastAsia="Times New Roman" w:hAnsi="Times New Roman" w:cs="Times New Roman"/>
          <w:color w:val="333333"/>
          <w:sz w:val="28"/>
          <w:szCs w:val="28"/>
          <w:lang w:eastAsia="ru-RU"/>
        </w:rPr>
        <w:t xml:space="preserve">при </w:t>
      </w:r>
      <w:r w:rsidRPr="00802D35">
        <w:rPr>
          <w:rFonts w:ascii="Times New Roman" w:hAnsi="Times New Roman" w:cs="Times New Roman"/>
          <w:sz w:val="28"/>
          <w:szCs w:val="28"/>
        </w:rPr>
        <w:t>i = 1</w:t>
      </w:r>
    </w:p>
    <w:p w:rsidR="00E40DE9" w:rsidRPr="00802D35" w:rsidRDefault="00E40DE9" w:rsidP="00E40DE9">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5"/>
        <w:gridCol w:w="986"/>
        <w:gridCol w:w="986"/>
        <w:gridCol w:w="986"/>
        <w:gridCol w:w="986"/>
      </w:tblGrid>
      <w:tr w:rsidR="00E40DE9" w:rsidRPr="00802D35" w:rsidTr="00E40DE9">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 xml:space="preserve">Коэф </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x</w:t>
            </w:r>
            <w:r w:rsidRPr="00802D35">
              <w:rPr>
                <w:rFonts w:ascii="Times New Roman" w:eastAsia="Times New Roman" w:hAnsi="Times New Roman" w:cs="Times New Roman"/>
                <w:sz w:val="24"/>
                <w:szCs w:val="24"/>
                <w:vertAlign w:val="subscript"/>
                <w:lang w:eastAsia="ru-RU"/>
              </w:rPr>
              <w:t>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98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41</w:t>
            </w:r>
          </w:p>
        </w:tc>
        <w:tc>
          <w:tcPr>
            <w:tcW w:w="98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50</w:t>
            </w:r>
          </w:p>
        </w:tc>
        <w:tc>
          <w:tcPr>
            <w:tcW w:w="98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62</w:t>
            </w:r>
          </w:p>
        </w:tc>
        <w:tc>
          <w:tcPr>
            <w:tcW w:w="986"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71</w:t>
            </w:r>
          </w:p>
        </w:tc>
        <w:tc>
          <w:tcPr>
            <w:tcW w:w="986"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80</w:t>
            </w:r>
          </w:p>
        </w:tc>
        <w:tc>
          <w:tcPr>
            <w:tcW w:w="986"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91</w:t>
            </w:r>
          </w:p>
        </w:tc>
        <w:tc>
          <w:tcPr>
            <w:tcW w:w="986"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100</w:t>
            </w:r>
          </w:p>
        </w:tc>
      </w:tr>
      <w:tr w:rsidR="00E40DE9" w:rsidRPr="00802D35" w:rsidTr="00E40DE9">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x</w:t>
            </w:r>
            <w:r w:rsidRPr="00802D35">
              <w:rPr>
                <w:rFonts w:ascii="Times New Roman" w:eastAsia="Times New Roman" w:hAnsi="Times New Roman" w:cs="Times New Roman"/>
                <w:sz w:val="24"/>
                <w:szCs w:val="24"/>
                <w:vertAlign w:val="subscript"/>
                <w:lang w:eastAsia="ru-RU"/>
              </w:rPr>
              <w:t>2</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f</w:t>
            </w:r>
            <w:r w:rsidRPr="00802D35">
              <w:rPr>
                <w:rFonts w:ascii="Times New Roman" w:eastAsia="Times New Roman" w:hAnsi="Times New Roman" w:cs="Times New Roman"/>
                <w:sz w:val="24"/>
                <w:szCs w:val="24"/>
                <w:vertAlign w:val="subscript"/>
                <w:lang w:eastAsia="ru-RU"/>
              </w:rPr>
              <w:t>2</w:t>
            </w:r>
            <w:r w:rsidRPr="00802D35">
              <w:rPr>
                <w:rFonts w:ascii="Times New Roman" w:eastAsia="Times New Roman" w:hAnsi="Times New Roman" w:cs="Times New Roman"/>
                <w:sz w:val="24"/>
                <w:szCs w:val="24"/>
                <w:lang w:eastAsia="ru-RU"/>
              </w:rPr>
              <w:t>(x</w:t>
            </w:r>
            <w:r w:rsidRPr="00802D35">
              <w:rPr>
                <w:rFonts w:ascii="Times New Roman" w:eastAsia="Times New Roman" w:hAnsi="Times New Roman" w:cs="Times New Roman"/>
                <w:sz w:val="24"/>
                <w:szCs w:val="24"/>
                <w:vertAlign w:val="subscript"/>
                <w:lang w:eastAsia="ru-RU"/>
              </w:rPr>
              <w:t>2</w:t>
            </w:r>
            <w:r w:rsidRPr="00802D35">
              <w:rPr>
                <w:rFonts w:ascii="Times New Roman" w:eastAsia="Times New Roman" w:hAnsi="Times New Roman" w:cs="Times New Roman"/>
                <w:sz w:val="24"/>
                <w:szCs w:val="24"/>
                <w:lang w:eastAsia="ru-RU"/>
              </w:rPr>
              <w:t>) / F</w:t>
            </w:r>
            <w:r w:rsidRPr="00802D35">
              <w:rPr>
                <w:rFonts w:ascii="Times New Roman" w:eastAsia="Times New Roman" w:hAnsi="Times New Roman" w:cs="Times New Roman"/>
                <w:sz w:val="24"/>
                <w:szCs w:val="24"/>
                <w:vertAlign w:val="subscript"/>
                <w:lang w:eastAsia="ru-RU"/>
              </w:rPr>
              <w:t>1</w:t>
            </w:r>
            <w:r w:rsidRPr="00802D35">
              <w:rPr>
                <w:rFonts w:ascii="Times New Roman" w:eastAsia="Times New Roman" w:hAnsi="Times New Roman" w:cs="Times New Roman"/>
                <w:sz w:val="24"/>
                <w:szCs w:val="24"/>
                <w:lang w:eastAsia="ru-RU"/>
              </w:rPr>
              <w:t>(x</w:t>
            </w:r>
            <w:r w:rsidRPr="00802D35">
              <w:rPr>
                <w:rFonts w:ascii="Times New Roman" w:eastAsia="Times New Roman" w:hAnsi="Times New Roman" w:cs="Times New Roman"/>
                <w:sz w:val="24"/>
                <w:szCs w:val="24"/>
                <w:vertAlign w:val="subscript"/>
                <w:lang w:eastAsia="ru-RU"/>
              </w:rPr>
              <w:t>1</w:t>
            </w:r>
            <w:r w:rsidRPr="00802D35">
              <w:rPr>
                <w:rFonts w:ascii="Times New Roman" w:eastAsia="Times New Roman" w:hAnsi="Times New Roman" w:cs="Times New Roman"/>
                <w:sz w:val="24"/>
                <w:szCs w:val="24"/>
                <w:lang w:eastAsia="ru-RU"/>
              </w:rPr>
              <w:t>)</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7,3</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5,8</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8,1</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11</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9,01</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11,1</w:t>
            </w:r>
          </w:p>
        </w:tc>
      </w:tr>
      <w:tr w:rsidR="00E40DE9" w:rsidRPr="00802D35" w:rsidTr="00E40DE9">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7,3</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5,8</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8,1</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11</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9,01</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11,1</w:t>
            </w:r>
          </w:p>
        </w:tc>
      </w:tr>
      <w:tr w:rsidR="00E40DE9" w:rsidRPr="00802D35" w:rsidTr="00E40DE9">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3</w:t>
            </w:r>
          </w:p>
        </w:tc>
        <w:tc>
          <w:tcPr>
            <w:tcW w:w="98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4</w:t>
            </w:r>
          </w:p>
        </w:tc>
        <w:tc>
          <w:tcPr>
            <w:tcW w:w="98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5</w:t>
            </w:r>
          </w:p>
        </w:tc>
        <w:tc>
          <w:tcPr>
            <w:tcW w:w="98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6</w:t>
            </w:r>
          </w:p>
        </w:tc>
        <w:tc>
          <w:tcPr>
            <w:tcW w:w="986"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7</w:t>
            </w:r>
          </w:p>
        </w:tc>
        <w:tc>
          <w:tcPr>
            <w:tcW w:w="986"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w:t>
            </w:r>
          </w:p>
        </w:tc>
        <w:tc>
          <w:tcPr>
            <w:tcW w:w="986"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w:t>
            </w:r>
          </w:p>
        </w:tc>
        <w:tc>
          <w:tcPr>
            <w:tcW w:w="986"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w:t>
            </w:r>
          </w:p>
        </w:tc>
      </w:tr>
      <w:tr w:rsidR="00E40DE9" w:rsidRPr="00802D35" w:rsidTr="00E40DE9">
        <w:tc>
          <w:tcPr>
            <w:tcW w:w="98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41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7,3</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i/>
                <w:sz w:val="24"/>
                <w:szCs w:val="24"/>
                <w:lang w:eastAsia="ru-RU"/>
              </w:rPr>
            </w:pPr>
            <w:r w:rsidRPr="00802D35">
              <w:rPr>
                <w:rFonts w:ascii="Times New Roman" w:eastAsia="Times New Roman" w:hAnsi="Times New Roman" w:cs="Times New Roman"/>
                <w:i/>
                <w:sz w:val="24"/>
                <w:szCs w:val="24"/>
                <w:lang w:eastAsia="ru-RU"/>
              </w:rPr>
              <w:t>7,3*</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i/>
                <w:sz w:val="24"/>
                <w:szCs w:val="24"/>
                <w:lang w:eastAsia="ru-RU"/>
              </w:rPr>
            </w:pPr>
            <w:r w:rsidRPr="00802D35">
              <w:rPr>
                <w:rFonts w:ascii="Times New Roman" w:eastAsia="Times New Roman" w:hAnsi="Times New Roman" w:cs="Times New Roman"/>
                <w:i/>
                <w:sz w:val="24"/>
                <w:szCs w:val="24"/>
                <w:lang w:eastAsia="ru-RU"/>
              </w:rPr>
              <w:t>14,4*</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14,6</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13,1</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i/>
                <w:sz w:val="24"/>
                <w:szCs w:val="24"/>
                <w:lang w:eastAsia="ru-RU"/>
              </w:rPr>
            </w:pPr>
            <w:r w:rsidRPr="00802D35">
              <w:rPr>
                <w:rFonts w:ascii="Times New Roman" w:eastAsia="Times New Roman" w:hAnsi="Times New Roman" w:cs="Times New Roman"/>
                <w:i/>
                <w:sz w:val="24"/>
                <w:szCs w:val="24"/>
                <w:lang w:eastAsia="ru-RU"/>
              </w:rPr>
              <w:t>15,3*</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i/>
                <w:sz w:val="24"/>
                <w:szCs w:val="24"/>
                <w:lang w:eastAsia="ru-RU"/>
              </w:rPr>
            </w:pPr>
            <w:r w:rsidRPr="00802D35">
              <w:rPr>
                <w:rFonts w:ascii="Times New Roman" w:eastAsia="Times New Roman" w:hAnsi="Times New Roman" w:cs="Times New Roman"/>
                <w:i/>
                <w:sz w:val="24"/>
                <w:szCs w:val="24"/>
                <w:lang w:eastAsia="ru-RU"/>
              </w:rPr>
              <w:t>18,3*</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16,3</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r>
      <w:tr w:rsidR="00E40DE9" w:rsidRPr="00802D35" w:rsidTr="00E40DE9">
        <w:tc>
          <w:tcPr>
            <w:tcW w:w="98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50</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i/>
                <w:sz w:val="24"/>
                <w:szCs w:val="24"/>
                <w:lang w:eastAsia="ru-RU"/>
              </w:rPr>
            </w:pPr>
            <w:r w:rsidRPr="00802D35">
              <w:rPr>
                <w:rFonts w:ascii="Times New Roman" w:eastAsia="Times New Roman" w:hAnsi="Times New Roman" w:cs="Times New Roman"/>
                <w:i/>
                <w:sz w:val="24"/>
                <w:szCs w:val="24"/>
                <w:lang w:eastAsia="ru-RU"/>
              </w:rPr>
              <w:t>15,2*</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i/>
                <w:sz w:val="24"/>
                <w:szCs w:val="24"/>
                <w:lang w:eastAsia="ru-RU"/>
              </w:rPr>
            </w:pPr>
            <w:r w:rsidRPr="00802D35">
              <w:rPr>
                <w:rFonts w:ascii="Times New Roman" w:eastAsia="Times New Roman" w:hAnsi="Times New Roman" w:cs="Times New Roman"/>
                <w:i/>
                <w:sz w:val="24"/>
                <w:szCs w:val="24"/>
                <w:lang w:eastAsia="ru-RU"/>
              </w:rPr>
              <w:t>15,4*</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13,9</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16,1</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i/>
                <w:sz w:val="24"/>
                <w:szCs w:val="24"/>
                <w:lang w:eastAsia="ru-RU"/>
              </w:rPr>
            </w:pPr>
            <w:r w:rsidRPr="00802D35">
              <w:rPr>
                <w:rFonts w:ascii="Times New Roman" w:eastAsia="Times New Roman" w:hAnsi="Times New Roman" w:cs="Times New Roman"/>
                <w:i/>
                <w:sz w:val="24"/>
                <w:szCs w:val="24"/>
                <w:lang w:eastAsia="ru-RU"/>
              </w:rPr>
              <w:t>19,1*</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r>
      <w:tr w:rsidR="00E40DE9" w:rsidRPr="00802D35" w:rsidTr="00E40DE9">
        <w:tc>
          <w:tcPr>
            <w:tcW w:w="98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62</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5,6</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5,6</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12,7</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12,9</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11,4</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13,6</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r>
      <w:tr w:rsidR="00E40DE9" w:rsidRPr="00802D35" w:rsidTr="00E40DE9">
        <w:tc>
          <w:tcPr>
            <w:tcW w:w="98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71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8,2</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8,2</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15,3</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15,5</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14</w:t>
            </w: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r>
      <w:tr w:rsidR="00E40DE9" w:rsidRPr="00802D35" w:rsidTr="00E40DE9">
        <w:tc>
          <w:tcPr>
            <w:tcW w:w="98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80</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10</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10</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17,1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17,3</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r>
      <w:tr w:rsidR="00E40DE9" w:rsidRPr="00802D35" w:rsidTr="00E40DE9">
        <w:tc>
          <w:tcPr>
            <w:tcW w:w="98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91</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9,2</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9,2</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16,3</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r>
      <w:tr w:rsidR="00E40DE9" w:rsidRPr="00802D35" w:rsidTr="00E40DE9">
        <w:tc>
          <w:tcPr>
            <w:tcW w:w="985" w:type="dxa"/>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100</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12,3</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12,3</w:t>
            </w: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986"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r>
      <w:tr w:rsidR="00E40DE9" w:rsidRPr="00802D35" w:rsidTr="00E40DE9">
        <w:tc>
          <w:tcPr>
            <w:tcW w:w="9854" w:type="dxa"/>
            <w:gridSpan w:val="10"/>
          </w:tcPr>
          <w:p w:rsidR="00E40DE9" w:rsidRPr="00802D35" w:rsidRDefault="00E40DE9" w:rsidP="00E40DE9">
            <w:pPr>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Примечание – составлено на основании расчетов</w:t>
            </w:r>
          </w:p>
        </w:tc>
      </w:tr>
    </w:tbl>
    <w:p w:rsidR="00E40DE9" w:rsidRPr="00802D35" w:rsidRDefault="00E40DE9" w:rsidP="00E40DE9">
      <w:pPr>
        <w:spacing w:after="0" w:line="240" w:lineRule="auto"/>
        <w:ind w:firstLine="567"/>
        <w:jc w:val="both"/>
        <w:rPr>
          <w:rFonts w:ascii="Times New Roman" w:eastAsia="Times New Roman" w:hAnsi="Times New Roman" w:cs="Times New Roman"/>
          <w:color w:val="333333"/>
          <w:sz w:val="28"/>
          <w:szCs w:val="28"/>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color w:val="333333"/>
          <w:sz w:val="28"/>
          <w:szCs w:val="28"/>
          <w:lang w:eastAsia="ru-RU"/>
        </w:rPr>
      </w:pPr>
      <w:r w:rsidRPr="00802D35">
        <w:rPr>
          <w:rFonts w:ascii="Times New Roman" w:eastAsia="Times New Roman" w:hAnsi="Times New Roman" w:cs="Times New Roman"/>
          <w:color w:val="333333"/>
          <w:sz w:val="28"/>
          <w:szCs w:val="28"/>
          <w:lang w:eastAsia="ru-RU"/>
        </w:rPr>
        <w:t>В таблице 26 на каждой диагонали выявляются наибольшие значения данных матрицы (отмечены звездочкой), которые заносятся в таблицу значений условной оптимизации (таблица 27).</w:t>
      </w:r>
    </w:p>
    <w:p w:rsidR="00E40DE9" w:rsidRPr="00802D35" w:rsidRDefault="00E40DE9" w:rsidP="00E40DE9">
      <w:pPr>
        <w:spacing w:after="0" w:line="240" w:lineRule="auto"/>
        <w:rPr>
          <w:rFonts w:ascii="Times New Roman" w:eastAsia="Times New Roman" w:hAnsi="Times New Roman" w:cs="Times New Roman"/>
          <w:color w:val="333333"/>
          <w:sz w:val="28"/>
          <w:szCs w:val="28"/>
          <w:lang w:eastAsia="ru-RU"/>
        </w:rPr>
      </w:pPr>
    </w:p>
    <w:p w:rsidR="000B0564" w:rsidRPr="00802D35" w:rsidRDefault="000B0564" w:rsidP="00E40DE9">
      <w:pPr>
        <w:spacing w:after="0" w:line="240" w:lineRule="auto"/>
        <w:rPr>
          <w:rFonts w:ascii="Times New Roman" w:eastAsia="Times New Roman" w:hAnsi="Times New Roman" w:cs="Times New Roman"/>
          <w:color w:val="333333"/>
          <w:sz w:val="28"/>
          <w:szCs w:val="28"/>
          <w:lang w:eastAsia="ru-RU"/>
        </w:rPr>
      </w:pPr>
    </w:p>
    <w:p w:rsidR="00E40DE9" w:rsidRPr="00802D35" w:rsidRDefault="00E40DE9" w:rsidP="00E40DE9">
      <w:pPr>
        <w:spacing w:after="0" w:line="240" w:lineRule="auto"/>
        <w:rPr>
          <w:rFonts w:ascii="Times New Roman" w:eastAsia="Times New Roman" w:hAnsi="Times New Roman" w:cs="Times New Roman"/>
          <w:color w:val="333333"/>
          <w:sz w:val="28"/>
          <w:szCs w:val="28"/>
          <w:lang w:eastAsia="ru-RU"/>
        </w:rPr>
      </w:pPr>
      <w:r w:rsidRPr="00802D35">
        <w:rPr>
          <w:rFonts w:ascii="Times New Roman" w:eastAsia="Times New Roman" w:hAnsi="Times New Roman" w:cs="Times New Roman"/>
          <w:color w:val="333333"/>
          <w:sz w:val="28"/>
          <w:szCs w:val="28"/>
          <w:lang w:eastAsia="ru-RU"/>
        </w:rPr>
        <w:lastRenderedPageBreak/>
        <w:t>Таблица 27 – Значения условной оптимизации</w:t>
      </w:r>
    </w:p>
    <w:p w:rsidR="00E40DE9" w:rsidRPr="00802D35" w:rsidRDefault="00E40DE9" w:rsidP="00E40DE9">
      <w:pPr>
        <w:spacing w:after="0" w:line="240" w:lineRule="auto"/>
        <w:rPr>
          <w:rFonts w:ascii="Times New Roman" w:eastAsia="Times New Roman" w:hAnsi="Times New Roman" w:cs="Times New Roman"/>
          <w:color w:val="333333"/>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1095"/>
        <w:gridCol w:w="1095"/>
        <w:gridCol w:w="1095"/>
        <w:gridCol w:w="1095"/>
        <w:gridCol w:w="1095"/>
        <w:gridCol w:w="1095"/>
        <w:gridCol w:w="1095"/>
      </w:tblGrid>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1</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41</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50</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62</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71</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80</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91</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100</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F</w:t>
            </w:r>
            <w:r w:rsidRPr="00802D35">
              <w:rPr>
                <w:rFonts w:ascii="Times New Roman" w:eastAsia="Times New Roman" w:hAnsi="Times New Roman" w:cs="Times New Roman"/>
                <w:sz w:val="24"/>
                <w:szCs w:val="24"/>
                <w:vertAlign w:val="subscript"/>
                <w:lang w:eastAsia="ru-RU"/>
              </w:rPr>
              <w:t>2</w:t>
            </w: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1</w:t>
            </w:r>
            <w:r w:rsidRPr="00802D35">
              <w:rPr>
                <w:rFonts w:ascii="Times New Roman" w:eastAsia="Times New Roman" w:hAnsi="Times New Roman" w:cs="Times New Roman"/>
                <w:sz w:val="24"/>
                <w:szCs w:val="24"/>
                <w:lang w:eastAsia="ru-RU"/>
              </w:rPr>
              <w:t>)</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7,3</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14,4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15,2</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15,4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15,3</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18,3</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19,1</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x</w:t>
            </w:r>
            <w:r w:rsidRPr="00802D35">
              <w:rPr>
                <w:rFonts w:ascii="Times New Roman" w:eastAsia="Times New Roman" w:hAnsi="Times New Roman" w:cs="Times New Roman"/>
                <w:sz w:val="24"/>
                <w:szCs w:val="24"/>
                <w:vertAlign w:val="subscript"/>
                <w:lang w:eastAsia="ru-RU"/>
              </w:rPr>
              <w:t>1</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w:t>
            </w:r>
          </w:p>
        </w:tc>
      </w:tr>
      <w:tr w:rsidR="00E40DE9" w:rsidRPr="00802D35" w:rsidTr="00E40DE9">
        <w:tc>
          <w:tcPr>
            <w:tcW w:w="9854" w:type="dxa"/>
            <w:gridSpan w:val="9"/>
          </w:tcPr>
          <w:p w:rsidR="00E40DE9" w:rsidRPr="00802D35" w:rsidRDefault="00E40DE9" w:rsidP="00E40DE9">
            <w:pPr>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Примечание – составлено на основании расчетов</w:t>
            </w:r>
          </w:p>
        </w:tc>
      </w:tr>
    </w:tbl>
    <w:p w:rsidR="000B0564" w:rsidRPr="00802D35" w:rsidRDefault="000B0564" w:rsidP="00E40DE9">
      <w:pPr>
        <w:spacing w:after="0" w:line="240" w:lineRule="auto"/>
        <w:ind w:firstLine="567"/>
        <w:jc w:val="both"/>
        <w:rPr>
          <w:rFonts w:ascii="Times New Roman" w:eastAsia="Times New Roman" w:hAnsi="Times New Roman" w:cs="Times New Roman"/>
          <w:sz w:val="28"/>
          <w:szCs w:val="28"/>
          <w:lang w:eastAsia="ru-RU"/>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 xml:space="preserve">Следующим шагом предполагается, что средства распределяются между международными облигациями банка А и депозитарными расписками В и полагается, что </w:t>
      </w:r>
      <w:r w:rsidRPr="00802D35">
        <w:rPr>
          <w:rFonts w:ascii="Times New Roman" w:hAnsi="Times New Roman" w:cs="Times New Roman"/>
          <w:sz w:val="28"/>
          <w:szCs w:val="28"/>
        </w:rPr>
        <w:t>i = 2. Определяется оптимальное распределение средств фондирования между этими активами. В данном случае рекуррентное соотношение Р.Э.Беллмана будет иметь следующий вид:</w:t>
      </w:r>
    </w:p>
    <w:p w:rsidR="00E40DE9" w:rsidRPr="00802D35" w:rsidRDefault="00E40DE9" w:rsidP="00E40DE9">
      <w:pPr>
        <w:spacing w:after="0" w:line="240" w:lineRule="auto"/>
        <w:ind w:firstLine="709"/>
        <w:rPr>
          <w:rFonts w:ascii="Times New Roman" w:hAnsi="Times New Roman" w:cs="Times New Roman"/>
          <w:sz w:val="28"/>
          <w:szCs w:val="28"/>
        </w:rPr>
      </w:pPr>
    </w:p>
    <w:p w:rsidR="00E40DE9" w:rsidRPr="00802D35" w:rsidRDefault="00FF4C7E" w:rsidP="00E40DE9">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e>
        </m:d>
        <m:r>
          <w:rPr>
            <w:rFonts w:ascii="Cambria Math" w:hAnsi="Cambria Math" w:cs="Times New Roman"/>
            <w:sz w:val="28"/>
            <w:szCs w:val="28"/>
          </w:rPr>
          <m:t>=</m:t>
        </m:r>
        <m:r>
          <m:rPr>
            <m:sty m:val="p"/>
          </m:rPr>
          <w:rPr>
            <w:rFonts w:ascii="Cambria Math" w:hAnsi="Cambria Math" w:cs="Times New Roman"/>
            <w:sz w:val="28"/>
            <w:szCs w:val="28"/>
          </w:rPr>
          <m:t>max⁡</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m:t>
        </m:r>
      </m:oMath>
      <w:r w:rsidR="00E40DE9" w:rsidRPr="00802D35">
        <w:rPr>
          <w:rFonts w:ascii="Times New Roman" w:eastAsiaTheme="minorEastAsia" w:hAnsi="Times New Roman" w:cs="Times New Roman"/>
          <w:sz w:val="28"/>
          <w:szCs w:val="28"/>
        </w:rPr>
        <w:t xml:space="preserve">                   (48).</w:t>
      </w:r>
    </w:p>
    <w:p w:rsidR="00E40DE9" w:rsidRPr="00802D35" w:rsidRDefault="00E40DE9" w:rsidP="00E40DE9">
      <w:pPr>
        <w:spacing w:after="0" w:line="240" w:lineRule="auto"/>
        <w:ind w:firstLine="709"/>
        <w:rPr>
          <w:rFonts w:ascii="Times New Roman" w:eastAsia="Times New Roman" w:hAnsi="Times New Roman" w:cs="Times New Roman"/>
          <w:color w:val="333333"/>
          <w:sz w:val="28"/>
          <w:szCs w:val="28"/>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color w:val="333333"/>
          <w:sz w:val="28"/>
          <w:szCs w:val="28"/>
          <w:lang w:eastAsia="ru-RU"/>
        </w:rPr>
        <w:t xml:space="preserve">При таком соотношении матрица условной оптимизации будет иметь обновленный вид. </w:t>
      </w:r>
      <w:r w:rsidRPr="00802D35">
        <w:rPr>
          <w:rFonts w:ascii="Times New Roman" w:eastAsia="Times New Roman" w:hAnsi="Times New Roman" w:cs="Times New Roman"/>
          <w:sz w:val="28"/>
          <w:szCs w:val="28"/>
          <w:lang w:eastAsia="ru-RU"/>
        </w:rPr>
        <w:t>Аналогичным образом как и на первом этапе условной оптимизации по диагоналям матрицы определяются максимальные значения, которые составят итоговую матрицу (таблица 28).</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bCs/>
          <w:sz w:val="28"/>
          <w:szCs w:val="28"/>
          <w:shd w:val="clear" w:color="auto" w:fill="FFFFFF"/>
          <w:lang w:eastAsia="ru-RU"/>
        </w:rPr>
        <w:t xml:space="preserve">Итак, получив все уравнения и матрицы осуществляется распределение средств фондирования на выделенные объекты инвестирования (активы). При этом, распределение начинаем с конца. В таблице 28 </w:t>
      </w:r>
      <w:r w:rsidRPr="00802D35">
        <w:rPr>
          <w:rFonts w:ascii="Times New Roman" w:eastAsia="Times New Roman" w:hAnsi="Times New Roman" w:cs="Times New Roman"/>
          <w:sz w:val="28"/>
          <w:szCs w:val="28"/>
          <w:lang w:eastAsia="ru-RU"/>
        </w:rPr>
        <w:t>F</w:t>
      </w:r>
      <w:r w:rsidRPr="00802D35">
        <w:rPr>
          <w:rFonts w:ascii="Times New Roman" w:eastAsia="Times New Roman" w:hAnsi="Times New Roman" w:cs="Times New Roman"/>
          <w:sz w:val="28"/>
          <w:szCs w:val="28"/>
          <w:vertAlign w:val="subscript"/>
          <w:lang w:eastAsia="ru-RU"/>
        </w:rPr>
        <w:t>6</w:t>
      </w:r>
      <w:r w:rsidRPr="00802D35">
        <w:rPr>
          <w:rFonts w:ascii="Times New Roman" w:eastAsia="Times New Roman" w:hAnsi="Times New Roman" w:cs="Times New Roman"/>
          <w:sz w:val="28"/>
          <w:szCs w:val="28"/>
          <w:lang w:eastAsia="ru-RU"/>
        </w:rPr>
        <w:t>(S</w:t>
      </w:r>
      <w:r w:rsidRPr="00802D35">
        <w:rPr>
          <w:rFonts w:ascii="Times New Roman" w:eastAsia="Times New Roman" w:hAnsi="Times New Roman" w:cs="Times New Roman"/>
          <w:sz w:val="28"/>
          <w:szCs w:val="28"/>
          <w:vertAlign w:val="subscript"/>
          <w:lang w:eastAsia="ru-RU"/>
        </w:rPr>
        <w:t>5</w:t>
      </w:r>
      <w:r w:rsidRPr="00802D35">
        <w:rPr>
          <w:rFonts w:ascii="Times New Roman" w:eastAsia="Times New Roman" w:hAnsi="Times New Roman" w:cs="Times New Roman"/>
          <w:sz w:val="28"/>
          <w:szCs w:val="28"/>
          <w:lang w:eastAsia="ru-RU"/>
        </w:rPr>
        <w:t>) при распределении 100 млн тенге обеспечивается максимальное значение, равное 43,3. Выходит, что на вложения в облигации МФО следует выделить 30 млн тенге. Оставшаяся сумма составит:</w:t>
      </w:r>
    </w:p>
    <w:p w:rsidR="00E40DE9" w:rsidRPr="00802D35" w:rsidRDefault="00E40DE9" w:rsidP="00E40DE9">
      <w:pPr>
        <w:spacing w:after="0" w:line="240" w:lineRule="auto"/>
        <w:ind w:firstLine="709"/>
        <w:jc w:val="both"/>
        <w:rPr>
          <w:rFonts w:ascii="Times New Roman" w:eastAsia="Times New Roman" w:hAnsi="Times New Roman" w:cs="Times New Roman"/>
          <w:sz w:val="28"/>
          <w:szCs w:val="28"/>
          <w:lang w:eastAsia="ru-RU"/>
        </w:rPr>
      </w:pPr>
    </w:p>
    <w:p w:rsidR="00E40DE9" w:rsidRPr="00802D35" w:rsidRDefault="00E40DE9" w:rsidP="00E40DE9">
      <w:pPr>
        <w:spacing w:after="0" w:line="240" w:lineRule="auto"/>
        <w:ind w:firstLine="709"/>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100 – 30 = 70 млн тенге</w:t>
      </w:r>
    </w:p>
    <w:p w:rsidR="00E40DE9" w:rsidRPr="00802D35" w:rsidRDefault="00E40DE9" w:rsidP="00E40DE9">
      <w:pPr>
        <w:spacing w:after="0" w:line="240" w:lineRule="auto"/>
        <w:ind w:firstLine="709"/>
        <w:rPr>
          <w:rFonts w:ascii="Times New Roman" w:eastAsia="Times New Roman" w:hAnsi="Times New Roman" w:cs="Times New Roman"/>
          <w:bCs/>
          <w:sz w:val="28"/>
          <w:szCs w:val="28"/>
          <w:shd w:val="clear" w:color="auto" w:fill="FFFFFF"/>
          <w:lang w:eastAsia="ru-RU"/>
        </w:rPr>
      </w:pPr>
    </w:p>
    <w:p w:rsidR="00E40DE9" w:rsidRPr="00802D35" w:rsidRDefault="00E40DE9" w:rsidP="00E40DE9">
      <w:pPr>
        <w:spacing w:after="0" w:line="240" w:lineRule="auto"/>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Таблица 28 – Значения оптимизации распределения средств фондирования</w:t>
      </w:r>
    </w:p>
    <w:p w:rsidR="00E40DE9" w:rsidRPr="00802D35" w:rsidRDefault="00E40DE9" w:rsidP="00E40DE9">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1095"/>
        <w:gridCol w:w="1095"/>
        <w:gridCol w:w="1095"/>
        <w:gridCol w:w="1095"/>
        <w:gridCol w:w="1095"/>
        <w:gridCol w:w="1095"/>
        <w:gridCol w:w="1095"/>
      </w:tblGrid>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 xml:space="preserve"> 2</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41</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50</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62</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71</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80</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91</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100</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F</w:t>
            </w:r>
            <w:r w:rsidRPr="00802D35">
              <w:rPr>
                <w:rFonts w:ascii="Times New Roman" w:eastAsia="Times New Roman" w:hAnsi="Times New Roman" w:cs="Times New Roman"/>
                <w:sz w:val="24"/>
                <w:szCs w:val="24"/>
                <w:vertAlign w:val="subscript"/>
                <w:lang w:eastAsia="ru-RU"/>
              </w:rPr>
              <w:t>3</w:t>
            </w: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 xml:space="preserve"> 2</w:t>
            </w:r>
            <w:r w:rsidRPr="00802D35">
              <w:rPr>
                <w:rFonts w:ascii="Times New Roman" w:eastAsia="Times New Roman" w:hAnsi="Times New Roman" w:cs="Times New Roman"/>
                <w:sz w:val="24"/>
                <w:szCs w:val="24"/>
                <w:lang w:eastAsia="ru-RU"/>
              </w:rPr>
              <w:t>)</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7,3</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14,4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21,4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22,2</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22,4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23,4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25,3</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x</w:t>
            </w:r>
            <w:r w:rsidRPr="00802D35">
              <w:rPr>
                <w:rFonts w:ascii="Times New Roman" w:eastAsia="Times New Roman" w:hAnsi="Times New Roman" w:cs="Times New Roman"/>
                <w:sz w:val="24"/>
                <w:szCs w:val="24"/>
                <w:vertAlign w:val="subscript"/>
                <w:lang w:eastAsia="ru-RU"/>
              </w:rPr>
              <w:t>2</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60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 xml:space="preserve"> 3</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60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90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100</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F</w:t>
            </w:r>
            <w:r w:rsidRPr="00802D35">
              <w:rPr>
                <w:rFonts w:ascii="Times New Roman" w:eastAsia="Times New Roman" w:hAnsi="Times New Roman" w:cs="Times New Roman"/>
                <w:sz w:val="24"/>
                <w:szCs w:val="24"/>
                <w:vertAlign w:val="subscript"/>
                <w:lang w:eastAsia="ru-RU"/>
              </w:rPr>
              <w:t>4</w:t>
            </w: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 xml:space="preserve"> 3</w:t>
            </w:r>
            <w:r w:rsidRPr="00802D35">
              <w:rPr>
                <w:rFonts w:ascii="Times New Roman" w:eastAsia="Times New Roman" w:hAnsi="Times New Roman" w:cs="Times New Roman"/>
                <w:sz w:val="24"/>
                <w:szCs w:val="24"/>
                <w:lang w:eastAsia="ru-RU"/>
              </w:rPr>
              <w:t>)</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7,3</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14,4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21,4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28,2</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29</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30,4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31,2</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x</w:t>
            </w:r>
            <w:r w:rsidRPr="00802D35">
              <w:rPr>
                <w:rFonts w:ascii="Times New Roman" w:eastAsia="Times New Roman" w:hAnsi="Times New Roman" w:cs="Times New Roman"/>
                <w:sz w:val="24"/>
                <w:szCs w:val="24"/>
                <w:vertAlign w:val="subscript"/>
                <w:lang w:eastAsia="ru-RU"/>
              </w:rPr>
              <w:t>3</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60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60</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 xml:space="preserve"> 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60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90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100</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F</w:t>
            </w:r>
            <w:r w:rsidRPr="00802D35">
              <w:rPr>
                <w:rFonts w:ascii="Times New Roman" w:eastAsia="Times New Roman" w:hAnsi="Times New Roman" w:cs="Times New Roman"/>
                <w:sz w:val="24"/>
                <w:szCs w:val="24"/>
                <w:vertAlign w:val="subscript"/>
                <w:lang w:eastAsia="ru-RU"/>
              </w:rPr>
              <w:t>5</w:t>
            </w: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 xml:space="preserve"> 4</w:t>
            </w:r>
            <w:r w:rsidRPr="00802D35">
              <w:rPr>
                <w:rFonts w:ascii="Times New Roman" w:eastAsia="Times New Roman" w:hAnsi="Times New Roman" w:cs="Times New Roman"/>
                <w:sz w:val="24"/>
                <w:szCs w:val="24"/>
                <w:lang w:eastAsia="ru-RU"/>
              </w:rPr>
              <w:t>)</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7,3</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14,5</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21,6</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i/>
                <w:sz w:val="24"/>
                <w:szCs w:val="24"/>
                <w:lang w:eastAsia="ru-RU"/>
              </w:rPr>
            </w:pPr>
            <w:r w:rsidRPr="00802D35">
              <w:rPr>
                <w:rFonts w:ascii="Times New Roman" w:eastAsia="Times New Roman" w:hAnsi="Times New Roman" w:cs="Times New Roman"/>
                <w:i/>
                <w:sz w:val="24"/>
                <w:szCs w:val="24"/>
                <w:lang w:eastAsia="ru-RU"/>
              </w:rPr>
              <w:t>28,6</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35,4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36,3</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37,6</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x</w:t>
            </w:r>
            <w:r w:rsidRPr="00802D35">
              <w:rPr>
                <w:rFonts w:ascii="Times New Roman" w:eastAsia="Times New Roman" w:hAnsi="Times New Roman" w:cs="Times New Roman"/>
                <w:sz w:val="24"/>
                <w:szCs w:val="24"/>
                <w:vertAlign w:val="subscript"/>
                <w:lang w:eastAsia="ru-RU"/>
              </w:rPr>
              <w:t>4</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20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 xml:space="preserve"> 5</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40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50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60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70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80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90</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100</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F</w:t>
            </w:r>
            <w:r w:rsidRPr="00802D35">
              <w:rPr>
                <w:rFonts w:ascii="Times New Roman" w:eastAsia="Times New Roman" w:hAnsi="Times New Roman" w:cs="Times New Roman"/>
                <w:sz w:val="24"/>
                <w:szCs w:val="24"/>
                <w:vertAlign w:val="subscript"/>
                <w:lang w:eastAsia="ru-RU"/>
              </w:rPr>
              <w:t>6</w:t>
            </w:r>
            <w:r w:rsidRPr="00802D35">
              <w:rPr>
                <w:rFonts w:ascii="Times New Roman" w:eastAsia="Times New Roman" w:hAnsi="Times New Roman" w:cs="Times New Roman"/>
                <w:sz w:val="24"/>
                <w:szCs w:val="24"/>
                <w:lang w:eastAsia="ru-RU"/>
              </w:rPr>
              <w:t>(S</w:t>
            </w:r>
            <w:r w:rsidRPr="00802D35">
              <w:rPr>
                <w:rFonts w:ascii="Times New Roman" w:eastAsia="Times New Roman" w:hAnsi="Times New Roman" w:cs="Times New Roman"/>
                <w:sz w:val="24"/>
                <w:szCs w:val="24"/>
                <w:vertAlign w:val="subscript"/>
                <w:lang w:eastAsia="ru-RU"/>
              </w:rPr>
              <w:t xml:space="preserve"> 5</w:t>
            </w:r>
            <w:r w:rsidRPr="00802D35">
              <w:rPr>
                <w:rFonts w:ascii="Times New Roman" w:eastAsia="Times New Roman" w:hAnsi="Times New Roman" w:cs="Times New Roman"/>
                <w:sz w:val="24"/>
                <w:szCs w:val="24"/>
                <w:lang w:eastAsia="ru-RU"/>
              </w:rPr>
              <w:t>)</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i/>
                <w:sz w:val="24"/>
                <w:szCs w:val="24"/>
                <w:lang w:eastAsia="ru-RU"/>
              </w:rPr>
            </w:pPr>
            <w:r w:rsidRPr="00802D35">
              <w:rPr>
                <w:rFonts w:ascii="Times New Roman" w:eastAsia="Times New Roman" w:hAnsi="Times New Roman" w:cs="Times New Roman"/>
                <w:i/>
                <w:sz w:val="24"/>
                <w:szCs w:val="24"/>
                <w:lang w:eastAsia="ru-RU"/>
              </w:rPr>
              <w:t>43,3</w:t>
            </w:r>
          </w:p>
        </w:tc>
      </w:tr>
      <w:tr w:rsidR="00E40DE9" w:rsidRPr="00802D35" w:rsidTr="00E40DE9">
        <w:tc>
          <w:tcPr>
            <w:tcW w:w="1094"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x</w:t>
            </w:r>
            <w:r w:rsidRPr="00802D35">
              <w:rPr>
                <w:rFonts w:ascii="Times New Roman" w:eastAsia="Times New Roman" w:hAnsi="Times New Roman" w:cs="Times New Roman"/>
                <w:sz w:val="24"/>
                <w:szCs w:val="24"/>
                <w:vertAlign w:val="subscript"/>
                <w:lang w:eastAsia="ru-RU"/>
              </w:rPr>
              <w:t>5</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0</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41</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50</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62</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71</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80</w:t>
            </w:r>
          </w:p>
        </w:tc>
        <w:tc>
          <w:tcPr>
            <w:tcW w:w="1095" w:type="dxa"/>
            <w:vAlign w:val="center"/>
          </w:tcPr>
          <w:p w:rsidR="00E40DE9" w:rsidRPr="00802D35" w:rsidRDefault="00E40DE9" w:rsidP="00E40DE9">
            <w:pPr>
              <w:spacing w:after="0" w:line="240" w:lineRule="auto"/>
              <w:jc w:val="center"/>
              <w:rPr>
                <w:rFonts w:ascii="Times New Roman" w:hAnsi="Times New Roman" w:cs="Times New Roman"/>
                <w:sz w:val="24"/>
                <w:szCs w:val="24"/>
              </w:rPr>
            </w:pPr>
            <w:r w:rsidRPr="00802D35">
              <w:rPr>
                <w:rFonts w:ascii="Times New Roman" w:hAnsi="Times New Roman" w:cs="Times New Roman"/>
                <w:sz w:val="24"/>
                <w:szCs w:val="24"/>
              </w:rPr>
              <w:t>91</w:t>
            </w:r>
          </w:p>
        </w:tc>
        <w:tc>
          <w:tcPr>
            <w:tcW w:w="1095" w:type="dxa"/>
          </w:tcPr>
          <w:p w:rsidR="00E40DE9" w:rsidRPr="00802D35" w:rsidRDefault="00E40DE9" w:rsidP="00E40DE9">
            <w:pPr>
              <w:spacing w:after="0" w:line="240" w:lineRule="auto"/>
              <w:jc w:val="center"/>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30</w:t>
            </w:r>
          </w:p>
        </w:tc>
      </w:tr>
      <w:tr w:rsidR="00E40DE9" w:rsidRPr="00802D35" w:rsidTr="00E40DE9">
        <w:tc>
          <w:tcPr>
            <w:tcW w:w="9854" w:type="dxa"/>
            <w:gridSpan w:val="9"/>
          </w:tcPr>
          <w:p w:rsidR="00E40DE9" w:rsidRPr="00802D35" w:rsidRDefault="00E40DE9" w:rsidP="00E40DE9">
            <w:pPr>
              <w:spacing w:after="0" w:line="240" w:lineRule="auto"/>
              <w:jc w:val="both"/>
              <w:rPr>
                <w:rFonts w:ascii="Times New Roman" w:eastAsia="Times New Roman" w:hAnsi="Times New Roman" w:cs="Times New Roman"/>
                <w:sz w:val="24"/>
                <w:szCs w:val="24"/>
                <w:lang w:eastAsia="ru-RU"/>
              </w:rPr>
            </w:pPr>
            <w:r w:rsidRPr="00802D35">
              <w:rPr>
                <w:rFonts w:ascii="Times New Roman" w:eastAsia="Times New Roman" w:hAnsi="Times New Roman" w:cs="Times New Roman"/>
                <w:sz w:val="24"/>
                <w:szCs w:val="24"/>
                <w:lang w:eastAsia="ru-RU"/>
              </w:rPr>
              <w:t>Примечание – составлено на основании расчетов</w:t>
            </w:r>
          </w:p>
        </w:tc>
      </w:tr>
    </w:tbl>
    <w:p w:rsidR="00E40DE9" w:rsidRPr="00802D35" w:rsidRDefault="00E40DE9" w:rsidP="00E40DE9">
      <w:pPr>
        <w:spacing w:after="0" w:line="240" w:lineRule="auto"/>
        <w:jc w:val="both"/>
        <w:rPr>
          <w:rFonts w:ascii="Times New Roman" w:eastAsia="Times New Roman" w:hAnsi="Times New Roman" w:cs="Times New Roman"/>
          <w:sz w:val="28"/>
          <w:szCs w:val="28"/>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bCs/>
          <w:sz w:val="28"/>
          <w:szCs w:val="28"/>
          <w:shd w:val="clear" w:color="auto" w:fill="FFFFFF"/>
          <w:lang w:eastAsia="ru-RU"/>
        </w:rPr>
        <w:t xml:space="preserve">Далее при рассмотрении </w:t>
      </w:r>
      <w:r w:rsidRPr="00802D35">
        <w:rPr>
          <w:rFonts w:ascii="Times New Roman" w:eastAsia="Times New Roman" w:hAnsi="Times New Roman" w:cs="Times New Roman"/>
          <w:sz w:val="28"/>
          <w:szCs w:val="28"/>
          <w:lang w:eastAsia="ru-RU"/>
        </w:rPr>
        <w:t>F</w:t>
      </w:r>
      <w:r w:rsidRPr="00802D35">
        <w:rPr>
          <w:rFonts w:ascii="Times New Roman" w:eastAsia="Times New Roman" w:hAnsi="Times New Roman" w:cs="Times New Roman"/>
          <w:sz w:val="28"/>
          <w:szCs w:val="28"/>
          <w:vertAlign w:val="subscript"/>
          <w:lang w:eastAsia="ru-RU"/>
        </w:rPr>
        <w:t>5</w:t>
      </w:r>
      <w:r w:rsidRPr="00802D35">
        <w:rPr>
          <w:rFonts w:ascii="Times New Roman" w:eastAsia="Times New Roman" w:hAnsi="Times New Roman" w:cs="Times New Roman"/>
          <w:sz w:val="28"/>
          <w:szCs w:val="28"/>
          <w:lang w:eastAsia="ru-RU"/>
        </w:rPr>
        <w:t>(S</w:t>
      </w:r>
      <w:r w:rsidRPr="00802D35">
        <w:rPr>
          <w:rFonts w:ascii="Times New Roman" w:eastAsia="Times New Roman" w:hAnsi="Times New Roman" w:cs="Times New Roman"/>
          <w:sz w:val="28"/>
          <w:szCs w:val="28"/>
          <w:vertAlign w:val="subscript"/>
          <w:lang w:eastAsia="ru-RU"/>
        </w:rPr>
        <w:t>4</w:t>
      </w:r>
      <w:r w:rsidRPr="00802D35">
        <w:rPr>
          <w:rFonts w:ascii="Times New Roman" w:eastAsia="Times New Roman" w:hAnsi="Times New Roman" w:cs="Times New Roman"/>
          <w:sz w:val="28"/>
          <w:szCs w:val="28"/>
          <w:lang w:eastAsia="ru-RU"/>
        </w:rPr>
        <w:t>)</w:t>
      </w:r>
      <w:r w:rsidRPr="00802D35">
        <w:rPr>
          <w:rFonts w:ascii="Times New Roman" w:eastAsia="Times New Roman" w:hAnsi="Times New Roman" w:cs="Times New Roman"/>
          <w:bCs/>
          <w:sz w:val="28"/>
          <w:szCs w:val="28"/>
          <w:shd w:val="clear" w:color="auto" w:fill="FFFFFF"/>
          <w:lang w:eastAsia="ru-RU"/>
        </w:rPr>
        <w:t xml:space="preserve"> при распределении оставшихся 70 млн тенге максимальное значение составит 28,6. Значит на вложения в валютные </w:t>
      </w:r>
      <w:r w:rsidRPr="00802D35">
        <w:rPr>
          <w:rFonts w:ascii="Times New Roman" w:eastAsia="Times New Roman" w:hAnsi="Times New Roman" w:cs="Times New Roman"/>
          <w:bCs/>
          <w:sz w:val="28"/>
          <w:szCs w:val="28"/>
          <w:shd w:val="clear" w:color="auto" w:fill="FFFFFF"/>
          <w:lang w:eastAsia="ru-RU"/>
        </w:rPr>
        <w:lastRenderedPageBreak/>
        <w:t>свопы следует выделить 20 млн тенге. Аналогично рассматриваются все результаты в таблице 28.</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 xml:space="preserve">В итоге на кредитование по проекту ДАМУ следует выделить 10 млн тенге, на финансирование проекта С – 10 млн тенге. На приобретение международных облигаций  А и депозитарных расписок В остается в совокупности 30 млн. тенге. Согласно полученных данных предлагается с целью максимизации доходности направить всю оставшуюся сумму фондирования на покупку  международных облигаций банка А.                                                                                                             </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Таким образом, оптимальное распределение суммы фондирования в 100 млн тенге будет следующим:</w:t>
      </w:r>
    </w:p>
    <w:p w:rsidR="00E40DE9" w:rsidRPr="00802D35" w:rsidRDefault="00E40DE9" w:rsidP="00E40DE9">
      <w:pPr>
        <w:spacing w:after="0" w:line="240" w:lineRule="auto"/>
        <w:ind w:firstLine="709"/>
        <w:rPr>
          <w:rFonts w:ascii="Times New Roman" w:eastAsia="Times New Roman" w:hAnsi="Times New Roman" w:cs="Times New Roman"/>
          <w:bCs/>
          <w:sz w:val="28"/>
          <w:szCs w:val="28"/>
          <w:shd w:val="clear" w:color="auto" w:fill="FFFFFF"/>
          <w:lang w:eastAsia="ru-RU"/>
        </w:rPr>
      </w:pPr>
    </w:p>
    <w:tbl>
      <w:tblPr>
        <w:tblW w:w="0" w:type="auto"/>
        <w:tblInd w:w="534" w:type="dxa"/>
        <w:tblLook w:val="04A0" w:firstRow="1" w:lastRow="0" w:firstColumn="1" w:lastColumn="0" w:noHBand="0" w:noVBand="1"/>
      </w:tblPr>
      <w:tblGrid>
        <w:gridCol w:w="5528"/>
        <w:gridCol w:w="2835"/>
      </w:tblGrid>
      <w:tr w:rsidR="00E40DE9" w:rsidRPr="00802D35" w:rsidTr="00E40DE9">
        <w:tc>
          <w:tcPr>
            <w:tcW w:w="5528" w:type="dxa"/>
            <w:vAlign w:val="center"/>
          </w:tcPr>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Международные облигации банка А</w:t>
            </w:r>
          </w:p>
        </w:tc>
        <w:tc>
          <w:tcPr>
            <w:tcW w:w="2835" w:type="dxa"/>
          </w:tcPr>
          <w:p w:rsidR="00E40DE9" w:rsidRPr="00802D35" w:rsidRDefault="00E40DE9" w:rsidP="00E40DE9">
            <w:pPr>
              <w:spacing w:after="0" w:line="240" w:lineRule="auto"/>
              <w:jc w:val="right"/>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30 млн тенге</w:t>
            </w:r>
          </w:p>
        </w:tc>
      </w:tr>
      <w:tr w:rsidR="00E40DE9" w:rsidRPr="00802D35" w:rsidTr="00E40DE9">
        <w:tc>
          <w:tcPr>
            <w:tcW w:w="5528" w:type="dxa"/>
            <w:vAlign w:val="center"/>
          </w:tcPr>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Депозитарные расписки В</w:t>
            </w:r>
          </w:p>
        </w:tc>
        <w:tc>
          <w:tcPr>
            <w:tcW w:w="2835" w:type="dxa"/>
          </w:tcPr>
          <w:p w:rsidR="00E40DE9" w:rsidRPr="00802D35" w:rsidRDefault="00E40DE9" w:rsidP="00E40DE9">
            <w:pPr>
              <w:spacing w:after="0" w:line="240" w:lineRule="auto"/>
              <w:jc w:val="right"/>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0 млн тенге</w:t>
            </w:r>
          </w:p>
        </w:tc>
      </w:tr>
      <w:tr w:rsidR="00E40DE9" w:rsidRPr="00802D35" w:rsidTr="00E40DE9">
        <w:tc>
          <w:tcPr>
            <w:tcW w:w="5528" w:type="dxa"/>
            <w:vAlign w:val="center"/>
          </w:tcPr>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Финансирование проекта С</w:t>
            </w:r>
          </w:p>
        </w:tc>
        <w:tc>
          <w:tcPr>
            <w:tcW w:w="2835" w:type="dxa"/>
          </w:tcPr>
          <w:p w:rsidR="00E40DE9" w:rsidRPr="00802D35" w:rsidRDefault="00E40DE9" w:rsidP="00E40DE9">
            <w:pPr>
              <w:spacing w:after="0" w:line="240" w:lineRule="auto"/>
              <w:jc w:val="right"/>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10 млн тенге</w:t>
            </w:r>
          </w:p>
        </w:tc>
      </w:tr>
      <w:tr w:rsidR="00E40DE9" w:rsidRPr="00802D35" w:rsidTr="00E40DE9">
        <w:tc>
          <w:tcPr>
            <w:tcW w:w="5528" w:type="dxa"/>
            <w:vAlign w:val="center"/>
          </w:tcPr>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Кредитование по программе ДАМУ</w:t>
            </w:r>
          </w:p>
        </w:tc>
        <w:tc>
          <w:tcPr>
            <w:tcW w:w="2835" w:type="dxa"/>
          </w:tcPr>
          <w:p w:rsidR="00E40DE9" w:rsidRPr="00802D35" w:rsidRDefault="00E40DE9" w:rsidP="00E40DE9">
            <w:pPr>
              <w:spacing w:after="0" w:line="240" w:lineRule="auto"/>
              <w:jc w:val="right"/>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10 млн тенге</w:t>
            </w:r>
          </w:p>
        </w:tc>
      </w:tr>
      <w:tr w:rsidR="00E40DE9" w:rsidRPr="00802D35" w:rsidTr="00E40DE9">
        <w:tc>
          <w:tcPr>
            <w:tcW w:w="5528" w:type="dxa"/>
            <w:vAlign w:val="center"/>
          </w:tcPr>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Валютные свопы</w:t>
            </w:r>
          </w:p>
        </w:tc>
        <w:tc>
          <w:tcPr>
            <w:tcW w:w="2835" w:type="dxa"/>
          </w:tcPr>
          <w:p w:rsidR="00E40DE9" w:rsidRPr="00802D35" w:rsidRDefault="00E40DE9" w:rsidP="00E40DE9">
            <w:pPr>
              <w:spacing w:after="0" w:line="240" w:lineRule="auto"/>
              <w:jc w:val="right"/>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20 млн тенге</w:t>
            </w:r>
          </w:p>
        </w:tc>
      </w:tr>
      <w:tr w:rsidR="00E40DE9" w:rsidRPr="00802D35" w:rsidTr="00E40DE9">
        <w:tc>
          <w:tcPr>
            <w:tcW w:w="5528" w:type="dxa"/>
            <w:vAlign w:val="center"/>
          </w:tcPr>
          <w:p w:rsidR="00E40DE9" w:rsidRPr="00802D35" w:rsidRDefault="00E40DE9" w:rsidP="00E40DE9">
            <w:pPr>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 xml:space="preserve">Облигации МФО </w:t>
            </w:r>
          </w:p>
        </w:tc>
        <w:tc>
          <w:tcPr>
            <w:tcW w:w="2835" w:type="dxa"/>
          </w:tcPr>
          <w:p w:rsidR="00E40DE9" w:rsidRPr="00802D35" w:rsidRDefault="00E40DE9" w:rsidP="00E40DE9">
            <w:pPr>
              <w:spacing w:after="0" w:line="240" w:lineRule="auto"/>
              <w:jc w:val="right"/>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30 млн тенге</w:t>
            </w:r>
          </w:p>
        </w:tc>
      </w:tr>
    </w:tbl>
    <w:p w:rsidR="00E40DE9" w:rsidRPr="00802D35" w:rsidRDefault="00E40DE9" w:rsidP="00E40DE9">
      <w:pPr>
        <w:spacing w:after="0" w:line="240" w:lineRule="auto"/>
        <w:ind w:firstLine="709"/>
        <w:rPr>
          <w:rFonts w:ascii="Times New Roman" w:eastAsia="Times New Roman" w:hAnsi="Times New Roman" w:cs="Times New Roman"/>
          <w:bCs/>
          <w:sz w:val="28"/>
          <w:szCs w:val="28"/>
          <w:shd w:val="clear" w:color="auto" w:fill="FFFFFF"/>
          <w:lang w:eastAsia="ru-RU"/>
        </w:rPr>
      </w:pP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Теперь объединим две модели и получим следующие результаты. Вклады физических лиц в сумме 30 млн следует направить на приобретение облигаций МФО. Межбанковские кредиты могут фондировать кредитование МСБ по программе ДАМУ в сумме 10 млн тенге, субординированные облигации финансируют проект С в сумме 10 млн. тенге, международные облигации становятся источником фондирования валютных свопов на сумму 20 млн тенге. Оставшиеся средства фондирования в сумме 30 млн тенге (корпоративные вклады) следует направить на покупку международных облигаций банка А. В результате такого распределения достигается оптимальное распределение средств фондирования в сумме 100 млн тенге.</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 xml:space="preserve">Следует отметить, что отсутствие вложений в депозитарные расписки, полученные согласно моделирования, вовсе не означают, что банк должен игнорировать эти активы. Менеджмент банка должен принимать решения на основании риска вложений и условий диверсификации. </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 xml:space="preserve">В частности, если вложения в депозитарные расписки оправданы с точки зрения риска, то банк может принять решение о разделении суммы в 30 млн тенге на депозитарные расписки В и международные облигации банка А. Здесь большое значение имеет фактор срочности фондирования. Поскольку на приобретение международных облигаций банка А предлагается выделить средства фондирования корпоративных вкладов, которые, как правило, имеют ограниченный срок использования банком, то вполне логично направление их на покупку международных облигаций, которые также ограничены по сроку своего существования. Вместе с тем, если взять в расчет суммы на текущих счетах корпоративных клиентов, которые имеют постоянное движение денежных сумм (поступления и выбытия), то вложения в депозитарные расписки В становятся вполне оправданными. </w:t>
      </w:r>
    </w:p>
    <w:p w:rsidR="00E40DE9" w:rsidRPr="00802D35" w:rsidRDefault="00E40DE9" w:rsidP="00E40DE9">
      <w:pPr>
        <w:spacing w:after="0" w:line="240" w:lineRule="auto"/>
        <w:ind w:firstLine="567"/>
        <w:jc w:val="both"/>
        <w:rPr>
          <w:rFonts w:ascii="Times New Roman" w:hAnsi="Times New Roman" w:cs="Times New Roman"/>
          <w:b/>
          <w:sz w:val="28"/>
          <w:szCs w:val="28"/>
          <w:shd w:val="clear" w:color="auto" w:fill="FFFFFF"/>
        </w:rPr>
      </w:pPr>
      <w:r w:rsidRPr="00802D35">
        <w:rPr>
          <w:rFonts w:ascii="Times New Roman" w:hAnsi="Times New Roman" w:cs="Times New Roman"/>
          <w:b/>
          <w:sz w:val="28"/>
          <w:szCs w:val="28"/>
          <w:shd w:val="clear" w:color="auto" w:fill="FFFFFF"/>
        </w:rPr>
        <w:lastRenderedPageBreak/>
        <w:t>3.3 Рекомендации по применению методик оценки и оптимизации фондирования</w:t>
      </w:r>
    </w:p>
    <w:p w:rsidR="00E40DE9" w:rsidRPr="00802D35" w:rsidRDefault="00E40DE9" w:rsidP="00E40DE9">
      <w:pPr>
        <w:spacing w:after="0" w:line="240" w:lineRule="auto"/>
        <w:ind w:firstLine="709"/>
        <w:jc w:val="center"/>
        <w:rPr>
          <w:rFonts w:ascii="Times New Roman" w:hAnsi="Times New Roman" w:cs="Times New Roman"/>
          <w:b/>
          <w:i/>
          <w:sz w:val="28"/>
          <w:szCs w:val="28"/>
        </w:rPr>
      </w:pP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При исследовании процесса фондирования в банках второго уровня в первой части работы, нами было определено, что весь процесс фондирования в банках охватывает не только процесс привлечения временно свободных денежных средств, но и период их аккумулирования и финансирования (перераспределения) банковских операций. С этих позиций третья фаза фондирования перекликается с финансированием, что, видимо, и вызывает интерпретацию многими авторами термина «фондирование» банков как аналогичное понятие с термином «финансирование».</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Процесс перераспределения ресурсов в банке - финансирование, рассматриваемый нами как часть процесса фондирования, имеет большое значение, поскольку позволяет формировать спрэд. Более того, при направлении привлеченных ресурсов на активные операции важное значение имеет порядок данного перераспределения: какие средства фондирования следует использовать в качестве источников финансирования определенных активных операций банков.</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 xml:space="preserve">Таким образом, использование динамического программирования, сочетание его различных методов, позволяет оптимизировать стратегию фондирования. Конечно, на практике банк может рассматривать не 4 типа инструментов фондирования для финансирования 4 видов активов, как было представлено в нашем случае, а больше или меньше, в зависимости от сложившейся ситуации, что значительно повысит избирательность и позволит несколько возможных вариантов. Это будет зависеть от возможностей банка использовать различные инструменты фондирования и вариантов приложения аккумулируемого капитала. </w:t>
      </w:r>
    </w:p>
    <w:p w:rsidR="00E40DE9" w:rsidRPr="00802D35" w:rsidRDefault="00E40DE9" w:rsidP="00E40DE9">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02D35">
        <w:rPr>
          <w:rFonts w:ascii="Times New Roman" w:eastAsia="Times New Roman" w:hAnsi="Times New Roman" w:cs="Times New Roman"/>
          <w:sz w:val="28"/>
          <w:szCs w:val="28"/>
          <w:shd w:val="clear" w:color="auto" w:fill="FFFFFF"/>
          <w:lang w:eastAsia="ru-RU"/>
        </w:rPr>
        <w:t>Вместе с тем, выполняя задачу оптимизации фондирования, возникает необходимость и повышения эффективности распределения ресурсов фондирования, имеющихся у банка в целом за определенный период.</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результате, решение данного рода задачи в банках аналогичным образом возможно с применением линейного и динамического программирования, с помощью которого банк оптимизирует распределение фондирования на соответствующие активные операции, способные принести банку прибыль.</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говорилось ранее,</w:t>
      </w:r>
      <w:r w:rsidRPr="00802D35">
        <w:rPr>
          <w:rFonts w:ascii="Times New Roman" w:hAnsi="Times New Roman" w:cs="Times New Roman"/>
          <w:b/>
          <w:sz w:val="28"/>
          <w:szCs w:val="28"/>
        </w:rPr>
        <w:t xml:space="preserve"> </w:t>
      </w:r>
      <w:r w:rsidRPr="00802D35">
        <w:rPr>
          <w:rFonts w:ascii="Times New Roman" w:hAnsi="Times New Roman" w:cs="Times New Roman"/>
          <w:sz w:val="28"/>
          <w:szCs w:val="28"/>
        </w:rPr>
        <w:t xml:space="preserve">одной из особенностей банковской деятельности является покупка и удержание активов с более длительным сроком погашения и большей стоимостью, чем их обязательства. Решение проблемы фондирования банка является важным примером предупредительного мотива сохранения ликвидности и повышения доходности. Проценты, предлагаемые по корпоративным и розничным займам, частично зависят от стоимости их фондирования. Банки при определении стоимости фондирования также принимают во внимание и риск ликвидности, связанный с финансированием долгосрочных активов посредством краткосрочных инструментов фондирования. </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lastRenderedPageBreak/>
        <w:t>Таким образом, распределение средств фондирования должно четко базироваться на основных принципах фондирования. Применение математического и статистического моделирования значительно упрощает данный процесс, однако, не исключает рационального подхода менеджмента банка.</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говорилось ранее, деятельность банка исходит из привлечения средств, то есть формирования портфеля фондирования. Следующей задачей банка становится их эффективное распределение. Однако, между периодами поступления средств фондирования и распределения ресурсов не происходит разрыв во времени, по крайней мере этого не должно быть. В противном случае банк рискует создать запасы фондирования, риски которого были рассмотрены нами ранее. Данный процесс является непрерывным: средств поступают банк в одно подразделение и сразу перераспределяются другим. Именно поэтому в предыдущем параграфе нами предлагалось применение моделирования для оперативных ситуаций.</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Вместе с тем, еще до поступления определенных средств фондирования банк проводит политику получения доходов и рассматривает наиболее выгодные для инвестирования активы. И лишь затем по мере поступления ресурсов решается задача в какие уже выбранные активы выгоднее направить появившиеся средства фондирования.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Еще одно преимущество применения такого комбинированного подхода заключается в том, что он учитывает ограниченность ресурсов, то есть непосредственно те объемы фондирования, которые имеются у банка.</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Следует отметить, что фондирование должно быть запланированным процессом, то есть формирование фонда должно исходить из целевых операций банка на будущий период. В противном случае, если банк будет иметь большой объем краткосрочных ресурсов, то вряд ли сможет использовать их для финансирования долгосрочных операций. Обратная ситуация, наоборот, ставит банк в более выгодное положение, поскольку имея в арсенале долгосрочные ресурсы, банк сможет направить их на финансирование более прибыльных операций. Следовательно, чем больше срок привлечения фондирования, тем больше возможностей и меньше рисков для фондирования размещения.</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Рассмотренный выше вариант оптимизации фондирования удобен и применим в текущих операционных целях. Однако, за определенный период времени банк принимает решение о том, куда выгоднее осуществлять вложения будущих привлеченных средств и уже по мере их поступления проводить их распределение. В результате предлагаемый нами вариант оптимизации позволяет не просто распределить средства, но и выбрать наиболее удобный с точки зрения доходности и стоимости фондирования инструмент. </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Таким образом, основными преимуществами применения предлагаемых нами моделей являются:</w:t>
      </w:r>
    </w:p>
    <w:p w:rsidR="00E40DE9" w:rsidRPr="00802D35" w:rsidRDefault="00E40DE9" w:rsidP="00E40DE9">
      <w:pPr>
        <w:pStyle w:val="a3"/>
        <w:numPr>
          <w:ilvl w:val="0"/>
          <w:numId w:val="17"/>
        </w:numPr>
        <w:spacing w:after="0" w:line="240" w:lineRule="auto"/>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Упрощение решения задач распределения ресурсов фондирования;</w:t>
      </w:r>
    </w:p>
    <w:p w:rsidR="00E40DE9" w:rsidRPr="00802D35" w:rsidRDefault="00E40DE9" w:rsidP="00E40DE9">
      <w:pPr>
        <w:pStyle w:val="a3"/>
        <w:numPr>
          <w:ilvl w:val="0"/>
          <w:numId w:val="17"/>
        </w:numPr>
        <w:spacing w:after="0" w:line="240" w:lineRule="auto"/>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Оперативность решений по распределению фондирования;</w:t>
      </w:r>
    </w:p>
    <w:p w:rsidR="00E40DE9" w:rsidRPr="00802D35" w:rsidRDefault="00E40DE9" w:rsidP="00E40DE9">
      <w:pPr>
        <w:pStyle w:val="a3"/>
        <w:numPr>
          <w:ilvl w:val="0"/>
          <w:numId w:val="17"/>
        </w:numPr>
        <w:spacing w:after="0" w:line="240" w:lineRule="auto"/>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lastRenderedPageBreak/>
        <w:t>Учет ограниченности, срочности и непрерывности процесса фондирования;</w:t>
      </w:r>
    </w:p>
    <w:p w:rsidR="00E40DE9" w:rsidRPr="00802D35" w:rsidRDefault="00E40DE9" w:rsidP="00E40DE9">
      <w:pPr>
        <w:pStyle w:val="a3"/>
        <w:numPr>
          <w:ilvl w:val="0"/>
          <w:numId w:val="17"/>
        </w:numPr>
        <w:spacing w:after="0" w:line="240" w:lineRule="auto"/>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Максимизация доходности от распределения фондирования.</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Необходимо отметить, что при распределении средств фондирования банк должен обдумать последовательность действий и предполагаемые источники и инструменты фондирования. Рассмотренные модели можно использовать в банках для рационального фондирования.</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Упрощенность задач оптимизации заключается в том, что статистическое и эконометрическое моделирование способно одновременно учитывать все составляющие аспекты фондирования: стоимость, сроки, прибыльность, суммы. Развитие технологий значительно упрощает решение задач эффективности и оптимизации и сокращает время и ошибки.</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При наличии функционирующей системы фондирования в банке процесс сбора и распределения ресурсов становится автоматизированным. Отлаженная система и механизм фондирования позволяет настроить возобновляемый процесс с учетом текущей ситуации и проблем на основе оценки фондирования. проблема в настоящий момент в казахстанских банках зачастую заключается именно в отсутствии должной оценки фондирования, которая сигнализирует о наличии возникших проблем, требующих оперативного решения.</w:t>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Поскольку деятельность банка является коммерческой, то основной целью остается максимизация прибыли. Эту задачу можно достичь также посредством применения математических моделей максимина. При этом, модели учитывают срочность ресурсов и активов, ограниченность их сумм, дополнительные потребности, которые могут быть также включены в модель.</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Таким образом, проведенная оценка элементов фондирования банков второго уровня свидетельствует о том, что БВУ необходимо проведение регулярного мониторинга и разработка стратегии фондирования, позволяющей оптимизировать политику банка по привлечению ресурсов.</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Исходя из всего вышесказанного можно еще раз подчеркнуть важность для банка депозитных ресурсов как наиболее дешевых и сравнительно долгосрочных источников фондирования. Основные предложения финансового характера относительно организации, мониторинга и управления фондированием банка были представлены нами выше. Однако, практика показывает, что не менее важные аспекты привлечения средств фондирования носят маркетинговый характер и значимая роль отводится менеджменту банка. При формировании стратегии привлечения фондирования следует, на наш взгляд, акцентировать внимание на следующих аспектах (рисунок 42).</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показывает рисунок 42</w:t>
      </w:r>
      <w:r w:rsidR="00E97FF6" w:rsidRPr="00802D35">
        <w:rPr>
          <w:rFonts w:ascii="Times New Roman" w:hAnsi="Times New Roman" w:cs="Times New Roman"/>
          <w:sz w:val="28"/>
          <w:szCs w:val="28"/>
        </w:rPr>
        <w:t>,</w:t>
      </w:r>
      <w:r w:rsidRPr="00802D35">
        <w:rPr>
          <w:rFonts w:ascii="Times New Roman" w:hAnsi="Times New Roman" w:cs="Times New Roman"/>
          <w:sz w:val="28"/>
          <w:szCs w:val="28"/>
        </w:rPr>
        <w:t xml:space="preserve"> все рассмотренные нами выше аспекты отражают определенную конкретную составляющую (элемент) фондирования. Как правило, банки второго уровня Казахстана прекрасно осознают приоритеты фондирования и приоритеты вложений. Здесь возникает разногласие, поскольку фондирование стремится снизить свою стоимость, а вложения – </w:t>
      </w:r>
      <w:r w:rsidRPr="00802D35">
        <w:rPr>
          <w:rFonts w:ascii="Times New Roman" w:hAnsi="Times New Roman" w:cs="Times New Roman"/>
          <w:sz w:val="28"/>
          <w:szCs w:val="28"/>
        </w:rPr>
        <w:lastRenderedPageBreak/>
        <w:t xml:space="preserve">стремятся повысить их стоимость. И чем больше банк сможет обеспечить данный разрыв, тем выше будут его доходы. </w:t>
      </w:r>
    </w:p>
    <w:p w:rsidR="00E40DE9" w:rsidRPr="00802D35" w:rsidRDefault="00E40DE9" w:rsidP="00E40DE9">
      <w:pPr>
        <w:pStyle w:val="q-text"/>
        <w:shd w:val="clear" w:color="auto" w:fill="FFFFFF"/>
        <w:spacing w:before="0" w:beforeAutospacing="0" w:after="0" w:afterAutospacing="0"/>
        <w:ind w:firstLine="567"/>
        <w:jc w:val="both"/>
        <w:rPr>
          <w:sz w:val="28"/>
          <w:szCs w:val="28"/>
        </w:rPr>
      </w:pPr>
      <w:r w:rsidRPr="00802D35">
        <w:rPr>
          <w:sz w:val="28"/>
          <w:szCs w:val="28"/>
        </w:rPr>
        <w:t xml:space="preserve">Вместе с тем, поскольку банк не может повлиять на стоимость вложений, а лишь осуществляет выбор наиболее привлекательных с точки зрения доходности и риска, то единственно возможным вариантом увеличения разрыва становится снижение стоимости фондирования. </w:t>
      </w:r>
    </w:p>
    <w:p w:rsidR="00E40DE9" w:rsidRPr="00802D35" w:rsidRDefault="005368DA" w:rsidP="00E40DE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simplePos x="0" y="0"/>
                <wp:positionH relativeFrom="column">
                  <wp:posOffset>5847715</wp:posOffset>
                </wp:positionH>
                <wp:positionV relativeFrom="paragraph">
                  <wp:posOffset>32385</wp:posOffset>
                </wp:positionV>
                <wp:extent cx="277495" cy="5169535"/>
                <wp:effectExtent l="57150" t="38100" r="84455" b="8826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516953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C2C64" w:rsidRDefault="000C2C64" w:rsidP="00E40DE9">
                            <w:pPr>
                              <w:rPr>
                                <w:rFonts w:ascii="Times New Roman" w:hAnsi="Times New Roman" w:cs="Times New Roman"/>
                                <w:b/>
                                <w:sz w:val="24"/>
                                <w:szCs w:val="24"/>
                              </w:rPr>
                            </w:pPr>
                            <w:r w:rsidRPr="00BD0A53">
                              <w:rPr>
                                <w:rFonts w:ascii="Times New Roman" w:hAnsi="Times New Roman" w:cs="Times New Roman"/>
                                <w:b/>
                                <w:sz w:val="24"/>
                                <w:szCs w:val="24"/>
                              </w:rPr>
                              <w:t>Оптимизация</w:t>
                            </w:r>
                          </w:p>
                          <w:p w:rsidR="000C2C64" w:rsidRPr="00BD0A53" w:rsidRDefault="000C2C64" w:rsidP="00E40DE9">
                            <w:pPr>
                              <w:rPr>
                                <w:rFonts w:ascii="Times New Roman" w:hAnsi="Times New Roman" w:cs="Times New Roman"/>
                                <w:b/>
                                <w:sz w:val="24"/>
                                <w:szCs w:val="24"/>
                              </w:rPr>
                            </w:pPr>
                            <w:r w:rsidRPr="00BD0A53">
                              <w:rPr>
                                <w:rFonts w:ascii="Times New Roman" w:hAnsi="Times New Roman" w:cs="Times New Roman"/>
                                <w:b/>
                                <w:sz w:val="24"/>
                                <w:szCs w:val="24"/>
                              </w:rPr>
                              <w:t xml:space="preserve"> фондирования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60.45pt;margin-top:2.55pt;width:21.85pt;height:407.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" fillcolor="#cdddac [1622]" strokecolor="#94b64e [3046]">
                <v:fill color2="#f0f4e6 [502]" rotate="t" angle="180" colors="0 #dafda7;22938f #e4fdc2;1 #f5ffe6" focus="100%" type="gradient"/>
                <v:shadow on="t" color="black" opacity="24903f" origin=",.5" offset="0,.55556mm"/>
                <v:textbox>
                  <w:txbxContent>
                    <w:p w:rsidR="000C2C64" w:rsidRDefault="000C2C64" w:rsidP="00E40DE9">
                      <w:pPr>
                        <w:rPr>
                          <w:rFonts w:ascii="Times New Roman" w:hAnsi="Times New Roman" w:cs="Times New Roman"/>
                          <w:b/>
                          <w:sz w:val="24"/>
                          <w:szCs w:val="24"/>
                        </w:rPr>
                      </w:pPr>
                      <w:r w:rsidRPr="00BD0A53">
                        <w:rPr>
                          <w:rFonts w:ascii="Times New Roman" w:hAnsi="Times New Roman" w:cs="Times New Roman"/>
                          <w:b/>
                          <w:sz w:val="24"/>
                          <w:szCs w:val="24"/>
                        </w:rPr>
                        <w:t>Оптимизация</w:t>
                      </w:r>
                    </w:p>
                    <w:p w:rsidR="000C2C64" w:rsidRPr="00BD0A53" w:rsidRDefault="000C2C64" w:rsidP="00E40DE9">
                      <w:pPr>
                        <w:rPr>
                          <w:rFonts w:ascii="Times New Roman" w:hAnsi="Times New Roman" w:cs="Times New Roman"/>
                          <w:b/>
                          <w:sz w:val="24"/>
                          <w:szCs w:val="24"/>
                        </w:rPr>
                      </w:pPr>
                      <w:r w:rsidRPr="00BD0A53">
                        <w:rPr>
                          <w:rFonts w:ascii="Times New Roman" w:hAnsi="Times New Roman" w:cs="Times New Roman"/>
                          <w:b/>
                          <w:sz w:val="24"/>
                          <w:szCs w:val="24"/>
                        </w:rPr>
                        <w:t xml:space="preserve"> фондирования</w:t>
                      </w:r>
                    </w:p>
                  </w:txbxContent>
                </v:textbox>
              </v:shape>
            </w:pict>
          </mc:Fallback>
        </mc:AlternateContent>
      </w:r>
    </w:p>
    <w:p w:rsidR="00E40DE9" w:rsidRPr="00802D35" w:rsidRDefault="005368DA" w:rsidP="00E40DE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simplePos x="0" y="0"/>
                <wp:positionH relativeFrom="column">
                  <wp:posOffset>4765040</wp:posOffset>
                </wp:positionH>
                <wp:positionV relativeFrom="paragraph">
                  <wp:posOffset>125095</wp:posOffset>
                </wp:positionV>
                <wp:extent cx="230505" cy="807085"/>
                <wp:effectExtent l="57150" t="38100" r="36195" b="88265"/>
                <wp:wrapNone/>
                <wp:docPr id="23" name="Двойная стрелка вверх/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807085"/>
                        </a:xfrm>
                        <a:prstGeom prst="up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8" o:spid="_x0000_s1026" type="#_x0000_t70" style="position:absolute;margin-left:375.2pt;margin-top:9.85pt;width:18.15pt;height:63.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" adj=",3085" fillcolor="#cdddac [1622]" strokecolor="#94b64e [3046]">
                <v:fill color2="#f0f4e6 [502]" rotate="t" angle="180" colors="0 #dafda7;22938f #e4fdc2;1 #f5ffe6" focus="100%" type="gradient"/>
                <v:shadow on="t" color="black" opacity="24903f" origin=",.5" offset="0,.55556mm"/>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5152" behindDoc="0" locked="0" layoutInCell="1" allowOverlap="1">
                <wp:simplePos x="0" y="0"/>
                <wp:positionH relativeFrom="column">
                  <wp:posOffset>3964940</wp:posOffset>
                </wp:positionH>
                <wp:positionV relativeFrom="paragraph">
                  <wp:posOffset>1498600</wp:posOffset>
                </wp:positionV>
                <wp:extent cx="3246120" cy="506095"/>
                <wp:effectExtent l="36512" t="0" r="66993" b="86042"/>
                <wp:wrapNone/>
                <wp:docPr id="22" name="Выгнутая вниз стрел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46120" cy="506095"/>
                        </a:xfrm>
                        <a:prstGeom prst="curvedUp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6" o:spid="_x0000_s1026" type="#_x0000_t104" style="position:absolute;margin-left:312.2pt;margin-top:118pt;width:255.6pt;height:39.8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" adj="19916,21179,5400" fillcolor="#cdddac [1622]" strokecolor="#94b64e [3046]">
                <v:fill color2="#f0f4e6 [502]" rotate="t" angle="180" colors="0 #dafda7;22938f #e4fdc2;1 #f5ffe6" focus="100%" type="gradient"/>
                <v:shadow on="t" color="black" opacity="24903f" origin=",.5" offset="0,.55556mm"/>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simplePos x="0" y="0"/>
                <wp:positionH relativeFrom="column">
                  <wp:posOffset>4737735</wp:posOffset>
                </wp:positionH>
                <wp:positionV relativeFrom="paragraph">
                  <wp:posOffset>3637280</wp:posOffset>
                </wp:positionV>
                <wp:extent cx="1364615" cy="394335"/>
                <wp:effectExtent l="46990" t="10160" r="73025" b="92075"/>
                <wp:wrapNone/>
                <wp:docPr id="21" name="Выгнутая вниз стрел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64615" cy="394335"/>
                        </a:xfrm>
                        <a:prstGeom prst="curvedUp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Выгнутая вниз стрелка 7" o:spid="_x0000_s1026" type="#_x0000_t104" style="position:absolute;margin-left:373.05pt;margin-top:286.4pt;width:107.45pt;height:31.05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" adj="18479,20820,5400" fillcolor="#dfa7a6 [1621]" strokecolor="#bc4542 [3045]">
                <v:fill color2="#f5e4e4 [501]" rotate="t" angle="180" colors="0 #ffa2a1;22938f #ffbebd;1 #ffe5e5" focus="100%" type="gradient"/>
                <v:shadow on="t" color="black" opacity="24903f" origin=",.5" offset="0,.55556mm"/>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simplePos x="0" y="0"/>
                <wp:positionH relativeFrom="column">
                  <wp:posOffset>4460875</wp:posOffset>
                </wp:positionH>
                <wp:positionV relativeFrom="paragraph">
                  <wp:posOffset>2490470</wp:posOffset>
                </wp:positionV>
                <wp:extent cx="1364615" cy="394335"/>
                <wp:effectExtent l="46990" t="10160" r="73025" b="92075"/>
                <wp:wrapNone/>
                <wp:docPr id="18" name="Выгнутая вниз стрел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64615" cy="394335"/>
                        </a:xfrm>
                        <a:prstGeom prst="curved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Выгнутая вниз стрелка 2" o:spid="_x0000_s1026" type="#_x0000_t104" style="position:absolute;margin-left:351.25pt;margin-top:196.1pt;width:107.45pt;height:31.0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" adj="18479,20820,5400" fillcolor="#fbcaa2 [1625]" strokecolor="#f68c36 [3049]">
                <v:fill color2="#fdefe3 [505]" rotate="t" angle="180" colors="0 #ffbe86;22938f #ffd0aa;1 #ffebdb" focus="100%" type="gradient"/>
                <v:shadow on="t" color="black" opacity="24903f" origin=",.5" offset="0,.55556mm"/>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simplePos x="0" y="0"/>
                <wp:positionH relativeFrom="column">
                  <wp:posOffset>4233545</wp:posOffset>
                </wp:positionH>
                <wp:positionV relativeFrom="paragraph">
                  <wp:posOffset>1624330</wp:posOffset>
                </wp:positionV>
                <wp:extent cx="1125220" cy="394335"/>
                <wp:effectExtent l="41592" t="15558" r="78423" b="97472"/>
                <wp:wrapNone/>
                <wp:docPr id="17" name="Выгнутая вниз стрел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25220" cy="394335"/>
                        </a:xfrm>
                        <a:prstGeom prst="curved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Выгнутая вниз стрелка 4" o:spid="_x0000_s1026" type="#_x0000_t104" style="position:absolute;margin-left:333.35pt;margin-top:127.9pt;width:88.6pt;height:31.0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" adj="17815,20654,5400" fillcolor="#a7bfde [1620]" strokecolor="#4579b8 [3044]">
                <v:fill color2="#e4ecf5 [500]" rotate="t" angle="180" colors="0 #a3c4ff;22938f #bfd5ff;1 #e5eeff" focus="100%" type="gradient"/>
                <v:shadow on="t" color="black" opacity="24903f" origin=",.5" offset="0,.55556mm"/>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simplePos x="0" y="0"/>
                <wp:positionH relativeFrom="column">
                  <wp:posOffset>4032250</wp:posOffset>
                </wp:positionH>
                <wp:positionV relativeFrom="paragraph">
                  <wp:posOffset>884555</wp:posOffset>
                </wp:positionV>
                <wp:extent cx="864870" cy="394335"/>
                <wp:effectExtent l="44767" t="12383" r="75248" b="94297"/>
                <wp:wrapNone/>
                <wp:docPr id="16" name="Выгнутая вниз стрел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64870" cy="394335"/>
                        </a:xfrm>
                        <a:prstGeom prst="curvedUp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Выгнутая вниз стрелка 3" o:spid="_x0000_s1026" type="#_x0000_t104" style="position:absolute;margin-left:317.5pt;margin-top:69.65pt;width:68.1pt;height:31.0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" adj="16676,20369,5400" fillcolor="#bfb1d0 [1623]" strokecolor="#795d9b [3047]">
                <v:fill color2="#ece7f1 [503]" rotate="t" angle="180" colors="0 #c9b5e8;22938f #d9cbee;1 #f0eaf9" focus="100%" type="gradient"/>
                <v:shadow on="t" color="black" opacity="24903f" origin=",.5" offset="0,.55556mm"/>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simplePos x="0" y="0"/>
                <wp:positionH relativeFrom="column">
                  <wp:posOffset>3615055</wp:posOffset>
                </wp:positionH>
                <wp:positionV relativeFrom="paragraph">
                  <wp:posOffset>321310</wp:posOffset>
                </wp:positionV>
                <wp:extent cx="918845" cy="394335"/>
                <wp:effectExtent l="52705" t="23495" r="67310" b="86360"/>
                <wp:wrapNone/>
                <wp:docPr id="14" name="Выгнутая вниз стрел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18845" cy="394335"/>
                        </a:xfrm>
                        <a:prstGeom prst="curvedUp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Выгнутая вниз стрелка 5" o:spid="_x0000_s1026" type="#_x0000_t104" style="position:absolute;margin-left:284.65pt;margin-top:25.3pt;width:72.35pt;height:31.0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" adj="16965,20441,5400" fillcolor="#cdddac [1622]" strokecolor="#94b64e [3046]">
                <v:fill color2="#f0f4e6 [502]" rotate="t" angle="180" colors="0 #dafda7;22938f #e4fdc2;1 #f5ffe6" focus="100%" type="gradient"/>
                <v:shadow on="t" color="black" opacity="24903f" origin=",.5" offset="0,.55556mm"/>
                <v:path arrowok="t"/>
              </v:shape>
            </w:pict>
          </mc:Fallback>
        </mc:AlternateContent>
      </w:r>
      <w:r w:rsidR="00E40DE9" w:rsidRPr="00802D35">
        <w:rPr>
          <w:rFonts w:ascii="Times New Roman" w:hAnsi="Times New Roman" w:cs="Times New Roman"/>
          <w:noProof/>
          <w:sz w:val="28"/>
          <w:szCs w:val="28"/>
          <w:lang w:eastAsia="ru-RU"/>
        </w:rPr>
        <w:drawing>
          <wp:inline distT="0" distB="0" distL="0" distR="0">
            <wp:extent cx="5549153" cy="4724400"/>
            <wp:effectExtent l="76200" t="57150" r="33020" b="57150"/>
            <wp:docPr id="3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center"/>
        <w:rPr>
          <w:rFonts w:ascii="Times New Roman" w:hAnsi="Times New Roman" w:cs="Times New Roman"/>
          <w:sz w:val="28"/>
          <w:szCs w:val="28"/>
        </w:rPr>
      </w:pPr>
      <w:r w:rsidRPr="00802D35">
        <w:rPr>
          <w:rFonts w:ascii="Times New Roman" w:hAnsi="Times New Roman" w:cs="Times New Roman"/>
          <w:sz w:val="28"/>
          <w:szCs w:val="28"/>
        </w:rPr>
        <w:t>Рисунок 42 – Взаимодействие элементов фондирования в стратегии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Примечание – составлено автором</w:t>
      </w:r>
    </w:p>
    <w:p w:rsidR="00E40DE9" w:rsidRPr="00802D35" w:rsidRDefault="00E40DE9" w:rsidP="00E40DE9">
      <w:pPr>
        <w:spacing w:after="0" w:line="240" w:lineRule="auto"/>
        <w:ind w:firstLine="567"/>
        <w:jc w:val="both"/>
        <w:rPr>
          <w:rFonts w:ascii="Times New Roman" w:hAnsi="Times New Roman" w:cs="Times New Roman"/>
          <w:sz w:val="28"/>
          <w:szCs w:val="28"/>
        </w:rPr>
      </w:pPr>
    </w:p>
    <w:p w:rsidR="000B0564" w:rsidRPr="00802D35" w:rsidRDefault="00E40DE9" w:rsidP="000B0564">
      <w:pPr>
        <w:pStyle w:val="q-text"/>
        <w:widowControl w:val="0"/>
        <w:shd w:val="clear" w:color="auto" w:fill="FFFFFF"/>
        <w:spacing w:before="0" w:beforeAutospacing="0" w:after="0" w:afterAutospacing="0"/>
        <w:ind w:firstLine="567"/>
        <w:jc w:val="both"/>
        <w:rPr>
          <w:sz w:val="28"/>
          <w:szCs w:val="28"/>
        </w:rPr>
      </w:pPr>
      <w:r w:rsidRPr="00802D35">
        <w:rPr>
          <w:sz w:val="28"/>
          <w:szCs w:val="28"/>
        </w:rPr>
        <w:t>Стоимость фондирования - это базовая стоимость, по которой банк получает средства. Как было рассмотрено выше, существуют различные источники и инструменты фондирования, начиная от заемных средств по различным финансовым инструментам, включая облигации, коммерческие бумаги, ценные бумаги, гибридные и структурные продукты, а также депозиты клиентов.</w:t>
      </w:r>
    </w:p>
    <w:p w:rsidR="00E40DE9" w:rsidRPr="00802D35" w:rsidRDefault="00E40DE9" w:rsidP="000B0564">
      <w:pPr>
        <w:pStyle w:val="q-text"/>
        <w:widowControl w:val="0"/>
        <w:shd w:val="clear" w:color="auto" w:fill="FFFFFF"/>
        <w:spacing w:before="0" w:beforeAutospacing="0" w:after="0" w:afterAutospacing="0"/>
        <w:ind w:firstLine="567"/>
        <w:jc w:val="both"/>
        <w:rPr>
          <w:sz w:val="28"/>
          <w:szCs w:val="28"/>
        </w:rPr>
      </w:pPr>
      <w:r w:rsidRPr="00802D35">
        <w:rPr>
          <w:sz w:val="28"/>
          <w:szCs w:val="28"/>
        </w:rPr>
        <w:t xml:space="preserve">Все эти средства фондирования, без которого банк не может вообще осуществлять свою деятельность как таковую, в совокупности дорого </w:t>
      </w:r>
      <w:r w:rsidRPr="00802D35">
        <w:rPr>
          <w:sz w:val="28"/>
          <w:szCs w:val="28"/>
        </w:rPr>
        <w:lastRenderedPageBreak/>
        <w:t>обходятся банку. Эта стоимость и есть стоимость фондирования.</w:t>
      </w:r>
    </w:p>
    <w:p w:rsidR="00E40DE9" w:rsidRPr="00802D35" w:rsidRDefault="00E40DE9" w:rsidP="00E40DE9">
      <w:pPr>
        <w:pStyle w:val="q-text"/>
        <w:shd w:val="clear" w:color="auto" w:fill="FFFFFF"/>
        <w:spacing w:before="0" w:beforeAutospacing="0" w:after="0" w:afterAutospacing="0"/>
        <w:ind w:firstLine="567"/>
        <w:jc w:val="both"/>
        <w:rPr>
          <w:sz w:val="28"/>
          <w:szCs w:val="28"/>
        </w:rPr>
      </w:pPr>
      <w:r w:rsidRPr="00802D35">
        <w:rPr>
          <w:sz w:val="28"/>
          <w:szCs w:val="28"/>
        </w:rPr>
        <w:t>Стоимость фондирования важна, поскольку банк ссужает деньги клиентам и должен делать это с маржой, превышающей затраты, чтобы учесть кредитный риск, который они принимают на себя в рамках этой клиентской ссуды. Эта маржа, как рассматривалось нами ранее, может также включать премию за ликвидность в зависимости от продолжительности, а также другие затраты на оформление кредита или досрочное погашение.</w:t>
      </w:r>
    </w:p>
    <w:p w:rsidR="00E40DE9" w:rsidRPr="00802D35" w:rsidRDefault="00E40DE9" w:rsidP="00E40DE9">
      <w:pPr>
        <w:pStyle w:val="q-text"/>
        <w:shd w:val="clear" w:color="auto" w:fill="FFFFFF"/>
        <w:spacing w:before="0" w:beforeAutospacing="0" w:after="0" w:afterAutospacing="0"/>
        <w:ind w:firstLine="567"/>
        <w:jc w:val="both"/>
        <w:rPr>
          <w:sz w:val="28"/>
          <w:szCs w:val="28"/>
        </w:rPr>
      </w:pPr>
      <w:r w:rsidRPr="00802D35">
        <w:rPr>
          <w:sz w:val="28"/>
          <w:szCs w:val="28"/>
        </w:rPr>
        <w:t>Самый важный компонент этой стоимости кредита и есть стоимость фондирования, и поэтому она должна точно отражать текущую, постоянно меняющуюся стоимость структуры фондирования.</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Исходя из представленных нами моделей оптимизации фондирования можно отметить, что в случае увеличения стоимости фондирования банки должны будут искать возможности сохранения прибыльности. В данном случае возможны три сценария исхода такой ситуации (таблица 29).</w:t>
      </w: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p>
    <w:p w:rsidR="00E40DE9" w:rsidRPr="00802D35" w:rsidRDefault="00E40DE9" w:rsidP="00E40DE9">
      <w:pPr>
        <w:widowControl w:val="0"/>
        <w:spacing w:after="0" w:line="240" w:lineRule="auto"/>
        <w:jc w:val="both"/>
        <w:rPr>
          <w:rFonts w:ascii="Times New Roman" w:hAnsi="Times New Roman" w:cs="Times New Roman"/>
          <w:sz w:val="28"/>
          <w:szCs w:val="28"/>
        </w:rPr>
      </w:pPr>
      <w:r w:rsidRPr="00802D35">
        <w:rPr>
          <w:rFonts w:ascii="Times New Roman" w:hAnsi="Times New Roman" w:cs="Times New Roman"/>
          <w:sz w:val="28"/>
          <w:szCs w:val="28"/>
        </w:rPr>
        <w:t>Таблица 29 – Сценарии развития банка в случае роста стоимости фондирования</w:t>
      </w:r>
    </w:p>
    <w:p w:rsidR="00E40DE9" w:rsidRPr="00802D35" w:rsidRDefault="00E40DE9" w:rsidP="00E40DE9">
      <w:pPr>
        <w:widowControl w:val="0"/>
        <w:spacing w:after="0" w:line="240" w:lineRule="auto"/>
        <w:jc w:val="both"/>
        <w:rPr>
          <w:rFonts w:ascii="Times New Roman" w:hAnsi="Times New Roman" w:cs="Times New Roman"/>
          <w:sz w:val="28"/>
          <w:szCs w:val="28"/>
        </w:rPr>
      </w:pPr>
    </w:p>
    <w:tbl>
      <w:tblPr>
        <w:tblStyle w:val="af1"/>
        <w:tblW w:w="0" w:type="auto"/>
        <w:tblLook w:val="04A0" w:firstRow="1" w:lastRow="0" w:firstColumn="1" w:lastColumn="0" w:noHBand="0" w:noVBand="1"/>
      </w:tblPr>
      <w:tblGrid>
        <w:gridCol w:w="2802"/>
        <w:gridCol w:w="2693"/>
        <w:gridCol w:w="4359"/>
      </w:tblGrid>
      <w:tr w:rsidR="00E40DE9" w:rsidRPr="00802D35" w:rsidTr="00E40DE9">
        <w:tc>
          <w:tcPr>
            <w:tcW w:w="2802" w:type="dxa"/>
          </w:tcPr>
          <w:p w:rsidR="00E40DE9" w:rsidRPr="00802D35" w:rsidRDefault="00E40DE9" w:rsidP="00E40DE9">
            <w:pPr>
              <w:widowControl w:val="0"/>
              <w:jc w:val="center"/>
              <w:rPr>
                <w:rFonts w:ascii="Times New Roman" w:hAnsi="Times New Roman" w:cs="Times New Roman"/>
                <w:sz w:val="28"/>
                <w:szCs w:val="28"/>
              </w:rPr>
            </w:pPr>
            <w:r w:rsidRPr="00802D35">
              <w:rPr>
                <w:rFonts w:ascii="Times New Roman" w:hAnsi="Times New Roman" w:cs="Times New Roman"/>
                <w:sz w:val="28"/>
                <w:szCs w:val="28"/>
              </w:rPr>
              <w:t>Сценарий</w:t>
            </w:r>
          </w:p>
        </w:tc>
        <w:tc>
          <w:tcPr>
            <w:tcW w:w="2693" w:type="dxa"/>
          </w:tcPr>
          <w:p w:rsidR="00E40DE9" w:rsidRPr="00802D35" w:rsidRDefault="00E40DE9" w:rsidP="00E40DE9">
            <w:pPr>
              <w:widowControl w:val="0"/>
              <w:jc w:val="center"/>
              <w:rPr>
                <w:rFonts w:ascii="Times New Roman" w:hAnsi="Times New Roman" w:cs="Times New Roman"/>
                <w:sz w:val="28"/>
                <w:szCs w:val="28"/>
              </w:rPr>
            </w:pPr>
            <w:r w:rsidRPr="00802D35">
              <w:rPr>
                <w:rFonts w:ascii="Times New Roman" w:hAnsi="Times New Roman" w:cs="Times New Roman"/>
                <w:sz w:val="28"/>
                <w:szCs w:val="28"/>
              </w:rPr>
              <w:t>Результат</w:t>
            </w:r>
          </w:p>
        </w:tc>
        <w:tc>
          <w:tcPr>
            <w:tcW w:w="4359" w:type="dxa"/>
          </w:tcPr>
          <w:p w:rsidR="00E40DE9" w:rsidRPr="00802D35" w:rsidRDefault="00E40DE9" w:rsidP="00E40DE9">
            <w:pPr>
              <w:widowControl w:val="0"/>
              <w:jc w:val="center"/>
              <w:rPr>
                <w:rFonts w:ascii="Times New Roman" w:hAnsi="Times New Roman" w:cs="Times New Roman"/>
                <w:sz w:val="28"/>
                <w:szCs w:val="28"/>
              </w:rPr>
            </w:pPr>
            <w:r w:rsidRPr="00802D35">
              <w:rPr>
                <w:rFonts w:ascii="Times New Roman" w:hAnsi="Times New Roman" w:cs="Times New Roman"/>
                <w:sz w:val="28"/>
                <w:szCs w:val="28"/>
              </w:rPr>
              <w:t>Возможности</w:t>
            </w:r>
          </w:p>
        </w:tc>
      </w:tr>
      <w:tr w:rsidR="00E40DE9" w:rsidRPr="00802D35" w:rsidTr="00E40DE9">
        <w:tc>
          <w:tcPr>
            <w:tcW w:w="2802" w:type="dxa"/>
          </w:tcPr>
          <w:p w:rsidR="00E40DE9" w:rsidRPr="00802D35" w:rsidRDefault="00E40DE9" w:rsidP="00E40DE9">
            <w:pPr>
              <w:rPr>
                <w:rFonts w:ascii="Times New Roman" w:hAnsi="Times New Roman" w:cs="Times New Roman"/>
                <w:sz w:val="28"/>
                <w:szCs w:val="28"/>
              </w:rPr>
            </w:pPr>
            <w:r w:rsidRPr="00802D35">
              <w:rPr>
                <w:rFonts w:ascii="Times New Roman" w:eastAsiaTheme="minorEastAsia" w:hAnsi="Times New Roman" w:cs="Times New Roman"/>
                <w:sz w:val="28"/>
                <w:szCs w:val="28"/>
              </w:rPr>
              <w:t>Банк принимает увеличение стоимости фондирования и не предпринимает никаких действий</w:t>
            </w:r>
          </w:p>
        </w:tc>
        <w:tc>
          <w:tcPr>
            <w:tcW w:w="2693" w:type="dxa"/>
          </w:tcPr>
          <w:p w:rsidR="00E40DE9" w:rsidRPr="00802D35" w:rsidRDefault="00E40DE9" w:rsidP="00E40DE9">
            <w:pPr>
              <w:rPr>
                <w:rFonts w:ascii="Times New Roman" w:hAnsi="Times New Roman" w:cs="Times New Roman"/>
                <w:sz w:val="28"/>
                <w:szCs w:val="28"/>
              </w:rPr>
            </w:pPr>
            <w:r w:rsidRPr="00802D35">
              <w:rPr>
                <w:rFonts w:ascii="Times New Roman" w:eastAsiaTheme="minorEastAsia" w:hAnsi="Times New Roman" w:cs="Times New Roman"/>
                <w:color w:val="000000" w:themeColor="dark1"/>
                <w:sz w:val="28"/>
                <w:szCs w:val="28"/>
              </w:rPr>
              <w:t>Снижается прибыль банка, уменьшается коэффициент фондирования</w:t>
            </w:r>
          </w:p>
          <w:p w:rsidR="00E40DE9" w:rsidRPr="00802D35" w:rsidRDefault="00E40DE9" w:rsidP="00E40DE9">
            <w:pPr>
              <w:widowControl w:val="0"/>
              <w:jc w:val="both"/>
              <w:rPr>
                <w:rFonts w:ascii="Times New Roman" w:hAnsi="Times New Roman" w:cs="Times New Roman"/>
                <w:sz w:val="28"/>
                <w:szCs w:val="28"/>
              </w:rPr>
            </w:pPr>
          </w:p>
        </w:tc>
        <w:tc>
          <w:tcPr>
            <w:tcW w:w="4359" w:type="dxa"/>
          </w:tcPr>
          <w:p w:rsidR="00E40DE9" w:rsidRPr="00802D35" w:rsidRDefault="00E40DE9" w:rsidP="00E40DE9">
            <w:pPr>
              <w:widowControl w:val="0"/>
              <w:jc w:val="both"/>
              <w:rPr>
                <w:rFonts w:ascii="Times New Roman" w:hAnsi="Times New Roman" w:cs="Times New Roman"/>
                <w:sz w:val="28"/>
                <w:szCs w:val="28"/>
              </w:rPr>
            </w:pPr>
            <w:r w:rsidRPr="00802D35">
              <w:rPr>
                <w:rFonts w:ascii="Times New Roman" w:hAnsi="Times New Roman" w:cs="Times New Roman"/>
                <w:sz w:val="28"/>
                <w:szCs w:val="28"/>
              </w:rPr>
              <w:t>Такое поведение банка возможно лишь, если увеличение стоимости фондирования незначительно и не приведет к значению коэффициента фондирования меньше 1</w:t>
            </w:r>
          </w:p>
        </w:tc>
      </w:tr>
      <w:tr w:rsidR="00E40DE9" w:rsidRPr="00802D35" w:rsidTr="00E40DE9">
        <w:tc>
          <w:tcPr>
            <w:tcW w:w="2802" w:type="dxa"/>
            <w:vMerge w:val="restart"/>
            <w:vAlign w:val="center"/>
          </w:tcPr>
          <w:p w:rsidR="00E40DE9" w:rsidRPr="00802D35" w:rsidRDefault="00E40DE9" w:rsidP="00E40DE9">
            <w:pPr>
              <w:widowControl w:val="0"/>
              <w:rPr>
                <w:rFonts w:ascii="Times New Roman" w:hAnsi="Times New Roman" w:cs="Times New Roman"/>
                <w:sz w:val="28"/>
                <w:szCs w:val="28"/>
              </w:rPr>
            </w:pPr>
            <w:r w:rsidRPr="00802D35">
              <w:rPr>
                <w:rFonts w:ascii="Times New Roman" w:hAnsi="Times New Roman" w:cs="Times New Roman"/>
                <w:sz w:val="28"/>
                <w:szCs w:val="28"/>
              </w:rPr>
              <w:t>Банк перекладывает более высокую стоимость фондирования на цену банковских продуктов, в первую очередь, кредитование</w:t>
            </w:r>
          </w:p>
        </w:tc>
        <w:tc>
          <w:tcPr>
            <w:tcW w:w="2693" w:type="dxa"/>
          </w:tcPr>
          <w:p w:rsidR="00E40DE9" w:rsidRPr="00802D35" w:rsidRDefault="00E40DE9" w:rsidP="00E40DE9">
            <w:pPr>
              <w:widowControl w:val="0"/>
              <w:jc w:val="both"/>
              <w:rPr>
                <w:rFonts w:ascii="Times New Roman" w:hAnsi="Times New Roman" w:cs="Times New Roman"/>
                <w:sz w:val="28"/>
                <w:szCs w:val="28"/>
              </w:rPr>
            </w:pPr>
            <w:r w:rsidRPr="00802D35">
              <w:rPr>
                <w:rFonts w:ascii="Times New Roman" w:hAnsi="Times New Roman" w:cs="Times New Roman"/>
                <w:sz w:val="28"/>
                <w:szCs w:val="28"/>
              </w:rPr>
              <w:t>Клиенты банка согласны принять новые цены, прибыльность сохраняется, коэффициент фондирования остается на том же уровне</w:t>
            </w:r>
          </w:p>
        </w:tc>
        <w:tc>
          <w:tcPr>
            <w:tcW w:w="4359" w:type="dxa"/>
          </w:tcPr>
          <w:p w:rsidR="00E40DE9" w:rsidRPr="00802D35" w:rsidRDefault="00E40DE9" w:rsidP="00E40DE9">
            <w:pPr>
              <w:widowControl w:val="0"/>
              <w:jc w:val="both"/>
              <w:rPr>
                <w:rFonts w:ascii="Times New Roman" w:hAnsi="Times New Roman" w:cs="Times New Roman"/>
                <w:sz w:val="28"/>
                <w:szCs w:val="28"/>
              </w:rPr>
            </w:pPr>
            <w:r w:rsidRPr="00802D35">
              <w:rPr>
                <w:rFonts w:ascii="Times New Roman" w:hAnsi="Times New Roman" w:cs="Times New Roman"/>
                <w:sz w:val="28"/>
                <w:szCs w:val="28"/>
              </w:rPr>
              <w:t>Такое возможно, если банк предлагает уникальные банковские продукты или одновременно с увеличением цены продуктов предлагает дополнительные возможности для клиентов, а также, если уровень развития экономики позволяет субъектам экономики увеличивать свои доходы</w:t>
            </w:r>
          </w:p>
        </w:tc>
      </w:tr>
      <w:tr w:rsidR="00E40DE9" w:rsidRPr="00802D35" w:rsidTr="00E40DE9">
        <w:tc>
          <w:tcPr>
            <w:tcW w:w="2802" w:type="dxa"/>
            <w:vMerge/>
          </w:tcPr>
          <w:p w:rsidR="00E40DE9" w:rsidRPr="00802D35" w:rsidRDefault="00E40DE9" w:rsidP="00E40DE9">
            <w:pPr>
              <w:widowControl w:val="0"/>
              <w:jc w:val="both"/>
              <w:rPr>
                <w:rFonts w:ascii="Times New Roman" w:hAnsi="Times New Roman" w:cs="Times New Roman"/>
                <w:sz w:val="28"/>
                <w:szCs w:val="28"/>
              </w:rPr>
            </w:pPr>
          </w:p>
        </w:tc>
        <w:tc>
          <w:tcPr>
            <w:tcW w:w="2693" w:type="dxa"/>
          </w:tcPr>
          <w:p w:rsidR="00E40DE9" w:rsidRPr="00802D35" w:rsidRDefault="00E40DE9" w:rsidP="00E40DE9">
            <w:pPr>
              <w:widowControl w:val="0"/>
              <w:jc w:val="both"/>
              <w:rPr>
                <w:rFonts w:ascii="Times New Roman" w:hAnsi="Times New Roman" w:cs="Times New Roman"/>
                <w:sz w:val="28"/>
                <w:szCs w:val="28"/>
              </w:rPr>
            </w:pPr>
            <w:r w:rsidRPr="00802D35">
              <w:rPr>
                <w:rFonts w:ascii="Times New Roman" w:hAnsi="Times New Roman" w:cs="Times New Roman"/>
                <w:sz w:val="28"/>
                <w:szCs w:val="28"/>
              </w:rPr>
              <w:t>Клиенты банка не согласны и предпочитают другой банк, прибыльность и коэффициент фондирования снижаются</w:t>
            </w:r>
          </w:p>
        </w:tc>
        <w:tc>
          <w:tcPr>
            <w:tcW w:w="4359" w:type="dxa"/>
          </w:tcPr>
          <w:p w:rsidR="00E40DE9" w:rsidRPr="00802D35" w:rsidRDefault="00E40DE9" w:rsidP="00E40DE9">
            <w:pPr>
              <w:widowControl w:val="0"/>
              <w:jc w:val="both"/>
              <w:rPr>
                <w:rFonts w:ascii="Times New Roman" w:hAnsi="Times New Roman" w:cs="Times New Roman"/>
                <w:sz w:val="28"/>
                <w:szCs w:val="28"/>
              </w:rPr>
            </w:pPr>
            <w:r w:rsidRPr="00802D35">
              <w:rPr>
                <w:rFonts w:ascii="Times New Roman" w:hAnsi="Times New Roman" w:cs="Times New Roman"/>
                <w:sz w:val="28"/>
                <w:szCs w:val="28"/>
              </w:rPr>
              <w:t>Наиболее вероятное развитие событий, необходим поиск новых более дешевых источников фондирования и более доходных вариантов размещения ресурсов</w:t>
            </w:r>
          </w:p>
        </w:tc>
      </w:tr>
      <w:tr w:rsidR="00E40DE9" w:rsidRPr="00802D35" w:rsidTr="00E40DE9">
        <w:tc>
          <w:tcPr>
            <w:tcW w:w="9854" w:type="dxa"/>
            <w:gridSpan w:val="3"/>
          </w:tcPr>
          <w:p w:rsidR="00E40DE9" w:rsidRPr="00802D35" w:rsidRDefault="00E40DE9" w:rsidP="00E40DE9">
            <w:pPr>
              <w:widowControl w:val="0"/>
              <w:jc w:val="both"/>
              <w:rPr>
                <w:rFonts w:ascii="Times New Roman" w:hAnsi="Times New Roman" w:cs="Times New Roman"/>
                <w:sz w:val="28"/>
                <w:szCs w:val="28"/>
              </w:rPr>
            </w:pPr>
            <w:r w:rsidRPr="00802D35">
              <w:rPr>
                <w:rFonts w:ascii="Times New Roman" w:hAnsi="Times New Roman" w:cs="Times New Roman"/>
                <w:sz w:val="28"/>
                <w:szCs w:val="28"/>
              </w:rPr>
              <w:t>Примечание - составлено автором</w:t>
            </w:r>
          </w:p>
        </w:tc>
      </w:tr>
    </w:tbl>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p>
    <w:p w:rsidR="00E40DE9" w:rsidRPr="00802D35" w:rsidRDefault="00E40DE9" w:rsidP="00E40DE9">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Как видно из таблицы 29 второй сценарий развития может стать причиной того, что субъекты экономики будут вынуждены отказаться от банковского кредитования. Это, в свою очередь может способствовать снижению потребления, инвестиций и общей экономической активности и, как следствие, снижению темпов развития экономики. Снижение экономической активности вызывает у заемщиков проблемы с выплатой существующих долгов и вновь способствует росту убытков банка. Прибыль также снижается, поскольку выплаты по активным операциям банка сокращаются. Капитал банка истощается, что создает риски для финансовой стабильности.</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Прежде чем осуществлять поиск фондирования банку следует провести оценку имеющегося фондирования. Для этого необходимо оценить плотность фондирования и конечно же качество фондирования. И вот теперь, имея четкое представление об имеющихся ресурсах и сроках, в течение которых банк может на них рассчитывать, зная риски фондирования и зону комфорта, банк может ставить цель и задачи: какие средства и в каком количестве приоритетно привлекать, исходя из текущей ситуации в фондировании в банке.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Теперь важное значение помимо рассмотренных выше аспектов, имеют следующие направления, требующие немаловажного внимания.</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Во-первых, поскольку создание новых инструментов фондирования, то есть разработка новых или совершенствование имеющихся продуктов банка, с помощью которых осуществляется привлечение ресурсов, является долгосрочной стратегией, следует избегать краткосрочных корректив. Например, предложение вознаграждения (процентных ставок) выше рыночных, действительно, может привлечь новых клиентов, но в краткосрочной перспективе. Однако, такая манипуляция не позволит обеспечить устойчивый рост вкладов, поскольку, клиенты, которых привлекают более высокие ставки, с большей вероятностью откажутся от вас, когда появится более высокая ставка. В конечном итоге лучше сосредоточиться на клиентах, которые ценят обслуживание выше процентных ставок.</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Во-вторых, несмотря на пандемию и рост предпочитаемости онлайн-банкинга, взрослое население и даже часть молодого, все же предпочитают посещать филиалы банка для получения соответствующих банковских услуг, а не использовать мобильный банкинг. Диверсификация клиентов должна стать обязательной стратегией банка при организации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В-третьих, гораздо важнее сосредоточиться на обслуживании. Чтобы привлекать и удерживать заинтересованных клиентов и увеличивать объем основных вкладов, банкам необходимо улучшать коммуникацию и постоянно предоставлять качественные, индивидуальные консультации и другие услуги. Не следует пренебрегать перекрестными продажами во время взаимодействия с клиентами, чтобы вызвать интерес к инструментам фондирования, даже если клиент обратился за другой услугой в банк. </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Возможности использования, в том числе комбинирования, имеющихся на финансовом рынке инструментов должны быть максимальными. Чем больше разнообразие инструментов фондирования применяет банк, тем больше </w:t>
      </w:r>
      <w:r w:rsidRPr="00802D35">
        <w:rPr>
          <w:rFonts w:ascii="Times New Roman" w:eastAsia="Times New Roman" w:hAnsi="Times New Roman" w:cs="Times New Roman"/>
          <w:sz w:val="28"/>
          <w:szCs w:val="28"/>
          <w:lang w:eastAsia="ru-RU"/>
        </w:rPr>
        <w:lastRenderedPageBreak/>
        <w:t>обеспечивается каналов поступления ресурсов в банк, что, в свою очередь повышает конкурентоустойчивость БВУ.</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Сбалансированная структура фондирования позволяет снизить стоимость фондирования за счет диверсификации источников и сроков, что также способствует росту конкурентоустойчивости банка.</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Если банк сможет обеспечить значение показателя нетто стабильного фондирования выше требуемого, то это также свидетельствует о том, что банк способен привлекать все новые инструменты фондирования для поступления ресурсов. Это, в свою очередь, свидетельствует о низкой уязвимости БВУ и его стрессоустойчивости.</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С целью обеспечения трех вышеуказанных пунктов банку необходимо осуществлять регулярный мониторинг рынка и структуры портфеля фондирования. Такая необходимость обуславливается тем, что БВУ требуется знать потребности клиентов, их предпочтения, условия рынка, условия конкурентов и т.п., чтобы держать процесс под контролем и своевременно среагировать на неблагоприятные изменения структуры портфеля и возможности его пополнения посредством применения новых инструментов фондирования.</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Постоянный поиск новых источников и инструментов фондирования, в свою очередь, повышает конкурентоустойчивость банка, поскольку позволяет предусмотреть возможные риски и произвести срочное реагирование на поступающие сигналы о негативных изменениях. Новые инструменты, позволяющие банку привлекать средства, обеспечивают позиции банка «на шаг вперед» своих конкурентов.</w:t>
      </w:r>
    </w:p>
    <w:p w:rsidR="00E40DE9" w:rsidRPr="00802D35" w:rsidRDefault="00E40DE9" w:rsidP="00E40DE9">
      <w:pPr>
        <w:widowControl w:val="0"/>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 xml:space="preserve">В результате, организация банком стабильного фондирования, превышающего значение требуемого уровня, обеспечивает бесперебойное функционирование и эффективность деятельности банка. Более того, разнообразие и соблюдение сбалансированности структуры фондирования обеспечивает устойчивость банков к кризисам и повышают их адаптивность к различным изменениям внешней среды. </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sz w:val="28"/>
          <w:szCs w:val="28"/>
          <w:lang w:eastAsia="ru-RU"/>
        </w:rPr>
        <w:t>Как говорилось ранее, структура фондирования должна быть сбалансированной. Следовательно, поступающие в банк ресурсы должны быть различных вариантов. Это становится возможным при использовании разнообразных инструментов фондирования и сбалансирования их сроков.</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конечном итоге применение статистического и эконометрического моделирования позволяет банку решить задачи оптимизации фондирования. Оптимизация невозможна обычным аналитическим способом. Банк всегда рискует потерять и не учесть какие-либо аспекты в сложной системе фондирования. Кроме того, громадные суммы, разнообразные сроки, направления, инструменты в виде банковских продуктов, - все это сложно учесть в комплексе, единым механизмом. Именно поэтому применение линейного программирования и теории игр и исследования операций позволяет решить проблему оптимизации фондирования.</w:t>
      </w:r>
    </w:p>
    <w:p w:rsidR="00E40DE9" w:rsidRPr="00802D35" w:rsidRDefault="00E40DE9" w:rsidP="00E40DE9">
      <w:pPr>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lastRenderedPageBreak/>
        <w:t xml:space="preserve">Таким образом, предложенные методики оценки фондирования и модели оптимизации фондирования направлены на то, что банк должен формировать стратегию фондирования, в рамках которых важное значение имеют приоритеты фондирования, оценка фондирования, мониторинг фондирования и оптимизация фондирования. По сути, эти составляющие являются элементами стратегии фондирования и имеют высокую значимость в эффективной реализации политики банка. Именно поэтому данное исследование было направлено на решение данных составляющих стратегии фондирования, что в совокупности способно обеспечить положительный эффект и даже настроить банки Казахстана на создание новых банковских продуктов, выступающих инструментами фондирования и способных привлекать большие объемы средств фондирования для банка из различных возможных источников фондирования. </w:t>
      </w:r>
      <w:r w:rsidRPr="00802D35">
        <w:rPr>
          <w:rFonts w:ascii="Times New Roman" w:hAnsi="Times New Roman" w:cs="Times New Roman"/>
          <w:sz w:val="28"/>
          <w:szCs w:val="28"/>
        </w:rPr>
        <w:br/>
      </w:r>
    </w:p>
    <w:p w:rsidR="00E40DE9" w:rsidRPr="00802D35" w:rsidRDefault="00E40DE9" w:rsidP="00E40DE9">
      <w:pPr>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Выводы по 3 разделу</w:t>
      </w:r>
    </w:p>
    <w:p w:rsidR="00E40DE9" w:rsidRPr="00802D35" w:rsidRDefault="00E40DE9" w:rsidP="00E40DE9">
      <w:pPr>
        <w:pStyle w:val="a3"/>
        <w:widowControl w:val="0"/>
        <w:numPr>
          <w:ilvl w:val="0"/>
          <w:numId w:val="1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02D35">
        <w:rPr>
          <w:rFonts w:ascii="Times New Roman" w:hAnsi="Times New Roman" w:cs="Times New Roman"/>
          <w:sz w:val="28"/>
          <w:szCs w:val="28"/>
        </w:rPr>
        <w:t>Современный банк, наученный финансовым кризисом и вспышкой пандемии, должен постоянно мониторить плотность фондирования и поддерживать сбалансированность портфеля, чтобы обеспечить конкурентоустойчивость в условиях постоянных изменений финансового рынка.</w:t>
      </w:r>
      <w:r w:rsidRPr="00802D35">
        <w:rPr>
          <w:rFonts w:ascii="Times New Roman" w:eastAsia="Times New Roman" w:hAnsi="Times New Roman" w:cs="Times New Roman"/>
          <w:sz w:val="28"/>
          <w:szCs w:val="28"/>
          <w:lang w:eastAsia="ru-RU"/>
        </w:rPr>
        <w:t xml:space="preserve"> Нами предлагается использовать индекс </w:t>
      </w:r>
      <w:r w:rsidRPr="00802D35">
        <w:rPr>
          <w:rFonts w:ascii="Times New Roman" w:hAnsi="Times New Roman" w:cs="Times New Roman"/>
          <w:sz w:val="28"/>
          <w:szCs w:val="28"/>
          <w:shd w:val="clear" w:color="auto" w:fill="FFFFFF"/>
        </w:rPr>
        <w:t>Херфиндаля-Хиршмана</w:t>
      </w:r>
      <w:r w:rsidRPr="00802D35">
        <w:rPr>
          <w:rFonts w:ascii="Times New Roman" w:eastAsia="Times New Roman" w:hAnsi="Times New Roman" w:cs="Times New Roman"/>
          <w:sz w:val="28"/>
          <w:szCs w:val="28"/>
          <w:lang w:eastAsia="ru-RU"/>
        </w:rPr>
        <w:t xml:space="preserve"> для оценки плотности фондирования, поскольку по сути, речь аналогично идет о диверсификации и множестве инструментов, валют, источников фондирования. При этом, классический индекс был нами модифицирован, исходя из особенностей фондирования деятельности банков. </w:t>
      </w:r>
    </w:p>
    <w:p w:rsidR="00E40DE9" w:rsidRPr="00802D35" w:rsidRDefault="00E40DE9" w:rsidP="00E40DE9">
      <w:pPr>
        <w:widowControl w:val="0"/>
        <w:tabs>
          <w:tab w:val="left" w:pos="993"/>
        </w:tabs>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Оценка плотности фондирования по трем банкам Казахстана АО АТФ</w:t>
      </w:r>
      <w:r w:rsidR="00E97FF6" w:rsidRPr="00802D35">
        <w:rPr>
          <w:rFonts w:ascii="Times New Roman" w:eastAsia="Times New Roman" w:hAnsi="Times New Roman" w:cs="Times New Roman"/>
          <w:sz w:val="28"/>
          <w:szCs w:val="28"/>
          <w:lang w:eastAsia="ru-RU"/>
        </w:rPr>
        <w:t xml:space="preserve"> </w:t>
      </w:r>
      <w:r w:rsidRPr="00802D35">
        <w:rPr>
          <w:rFonts w:ascii="Times New Roman" w:eastAsia="Times New Roman" w:hAnsi="Times New Roman" w:cs="Times New Roman"/>
          <w:sz w:val="28"/>
          <w:szCs w:val="28"/>
          <w:lang w:eastAsia="ru-RU"/>
        </w:rPr>
        <w:t xml:space="preserve">Банку, </w:t>
      </w:r>
      <w:r w:rsidRPr="00802D35">
        <w:rPr>
          <w:rStyle w:val="HTML"/>
          <w:rFonts w:ascii="Times New Roman" w:hAnsi="Times New Roman" w:cs="Times New Roman"/>
          <w:sz w:val="28"/>
          <w:szCs w:val="28"/>
          <w:shd w:val="clear" w:color="auto" w:fill="FFFFFF"/>
        </w:rPr>
        <w:t>АО Halyk Bank</w:t>
      </w:r>
      <w:r w:rsidRPr="00802D35">
        <w:rPr>
          <w:rFonts w:ascii="Times New Roman" w:eastAsia="Times New Roman" w:hAnsi="Times New Roman" w:cs="Times New Roman"/>
          <w:i/>
          <w:sz w:val="28"/>
          <w:szCs w:val="28"/>
          <w:lang w:eastAsia="ru-RU"/>
        </w:rPr>
        <w:t xml:space="preserve"> </w:t>
      </w:r>
      <w:r w:rsidRPr="00802D35">
        <w:rPr>
          <w:rFonts w:ascii="Times New Roman" w:eastAsia="Times New Roman" w:hAnsi="Times New Roman" w:cs="Times New Roman"/>
          <w:sz w:val="28"/>
          <w:szCs w:val="28"/>
          <w:lang w:eastAsia="ru-RU"/>
        </w:rPr>
        <w:t>и</w:t>
      </w:r>
      <w:r w:rsidRPr="00802D35">
        <w:rPr>
          <w:rFonts w:ascii="Times New Roman" w:eastAsia="Times New Roman" w:hAnsi="Times New Roman" w:cs="Times New Roman"/>
          <w:i/>
          <w:sz w:val="28"/>
          <w:szCs w:val="28"/>
          <w:lang w:eastAsia="ru-RU"/>
        </w:rPr>
        <w:t xml:space="preserve"> </w:t>
      </w:r>
      <w:r w:rsidRPr="00802D35">
        <w:rPr>
          <w:rStyle w:val="HTML"/>
          <w:rFonts w:ascii="Times New Roman" w:hAnsi="Times New Roman" w:cs="Times New Roman"/>
          <w:sz w:val="28"/>
          <w:szCs w:val="28"/>
          <w:shd w:val="clear" w:color="auto" w:fill="FFFFFF"/>
        </w:rPr>
        <w:t xml:space="preserve">АО </w:t>
      </w:r>
      <w:r w:rsidRPr="00802D35">
        <w:rPr>
          <w:rFonts w:ascii="Times New Roman" w:hAnsi="Times New Roman" w:cs="Times New Roman"/>
          <w:color w:val="000000"/>
          <w:sz w:val="28"/>
          <w:szCs w:val="28"/>
          <w:shd w:val="clear" w:color="auto" w:fill="FFFFFF"/>
        </w:rPr>
        <w:t>Kaspi bank</w:t>
      </w:r>
      <w:r w:rsidRPr="00802D35">
        <w:rPr>
          <w:rFonts w:ascii="Times New Roman" w:eastAsia="Times New Roman" w:hAnsi="Times New Roman" w:cs="Times New Roman"/>
          <w:sz w:val="28"/>
          <w:szCs w:val="28"/>
          <w:lang w:eastAsia="ru-RU"/>
        </w:rPr>
        <w:t xml:space="preserve"> позволила свидетельствовать о том, что при наличии высокой плотности фондирования банки испытывали сложности и имели повышенные риски. Применение предложенного нами индекса позволяет обосновать некоторые проблемы БВУ и отметить сигнальные точки, требующие внимания руководства банка.</w:t>
      </w:r>
    </w:p>
    <w:p w:rsidR="00E40DE9" w:rsidRPr="00802D35" w:rsidRDefault="00E40DE9" w:rsidP="00E40DE9">
      <w:pPr>
        <w:pStyle w:val="a3"/>
        <w:numPr>
          <w:ilvl w:val="0"/>
          <w:numId w:val="18"/>
        </w:numPr>
        <w:tabs>
          <w:tab w:val="left" w:pos="993"/>
        </w:tabs>
        <w:spacing w:after="0" w:line="240" w:lineRule="auto"/>
        <w:ind w:left="0" w:firstLine="567"/>
        <w:jc w:val="both"/>
        <w:rPr>
          <w:rFonts w:ascii="Times New Roman" w:hAnsi="Times New Roman"/>
          <w:bCs/>
          <w:sz w:val="28"/>
          <w:szCs w:val="28"/>
        </w:rPr>
      </w:pPr>
      <w:r w:rsidRPr="00802D35">
        <w:rPr>
          <w:rFonts w:ascii="Times New Roman" w:hAnsi="Times New Roman" w:cs="Times New Roman"/>
          <w:sz w:val="28"/>
          <w:szCs w:val="28"/>
        </w:rPr>
        <w:t xml:space="preserve">Внедрение коэффициента </w:t>
      </w:r>
      <w:r w:rsidRPr="00802D35">
        <w:rPr>
          <w:rFonts w:ascii="Times New Roman" w:hAnsi="Times New Roman" w:cs="Times New Roman"/>
          <w:sz w:val="28"/>
          <w:szCs w:val="28"/>
          <w:shd w:val="clear" w:color="auto" w:fill="FFFFFF"/>
        </w:rPr>
        <w:t>NSFR</w:t>
      </w:r>
      <w:r w:rsidRPr="00802D35">
        <w:rPr>
          <w:rFonts w:ascii="Times New Roman" w:hAnsi="Times New Roman" w:cs="Times New Roman"/>
          <w:sz w:val="28"/>
          <w:szCs w:val="28"/>
        </w:rPr>
        <w:t xml:space="preserve"> в базу нормативов БВУ Казахстана все же не полностью отражает потоки стабильного фондирования и даже несколько искажают реальность. В частности, остатки на счетах населения практически во всех странах мира рассматриваются в качестве стабильной долгосрочной базы фондирования. Учитывая, что в БВУ имеется неснижаемый остаток при изъятии средств досрочно, а вклады физических лиц подлежат обязательному страхованию, банки вполне могут использовать их в течение заданного периода времени, что также позволяет рассматривать их в качестве стабильной базы фондирования. Если рассмотреть таблицу по обязательствам </w:t>
      </w:r>
      <w:r w:rsidRPr="00802D35">
        <w:rPr>
          <w:rFonts w:ascii="Times New Roman" w:hAnsi="Times New Roman"/>
          <w:bCs/>
          <w:sz w:val="28"/>
          <w:szCs w:val="28"/>
        </w:rPr>
        <w:t xml:space="preserve">доступного стабильного фондирования согласно пруденциального регулирования НБРК, то можно отметить, что даже срочные вклады не учитываются по 100%, а остатки на счетах вообще не рассматриваются в качестве устойчивого фондирования. </w:t>
      </w:r>
    </w:p>
    <w:p w:rsidR="00E40DE9" w:rsidRPr="00802D35" w:rsidRDefault="00E40DE9" w:rsidP="00E40DE9">
      <w:pPr>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Таким образом, был предложен индекс качества фондирования, отражающий эффективность фондирования банка, который позволяет оценить </w:t>
      </w:r>
      <w:r w:rsidRPr="00802D35">
        <w:rPr>
          <w:rFonts w:ascii="Times New Roman" w:hAnsi="Times New Roman" w:cs="Times New Roman"/>
          <w:sz w:val="28"/>
          <w:szCs w:val="28"/>
        </w:rPr>
        <w:lastRenderedPageBreak/>
        <w:t xml:space="preserve">политику банка и выявить оперативные проблемные зоны, которым следует уделить особое внимание. Так, высокая привлекательность </w:t>
      </w:r>
      <w:r w:rsidRPr="00802D35">
        <w:rPr>
          <w:rStyle w:val="HTML"/>
          <w:rFonts w:ascii="Times New Roman" w:hAnsi="Times New Roman" w:cs="Times New Roman"/>
          <w:sz w:val="28"/>
          <w:szCs w:val="28"/>
          <w:shd w:val="clear" w:color="auto" w:fill="FFFFFF"/>
        </w:rPr>
        <w:t xml:space="preserve">АО </w:t>
      </w:r>
      <w:r w:rsidRPr="00802D35">
        <w:rPr>
          <w:rFonts w:ascii="Times New Roman" w:hAnsi="Times New Roman" w:cs="Times New Roman"/>
          <w:color w:val="000000"/>
          <w:sz w:val="28"/>
          <w:szCs w:val="28"/>
          <w:shd w:val="clear" w:color="auto" w:fill="FFFFFF"/>
        </w:rPr>
        <w:t>Kaspi bank со стороны населения создает порой ложное впечатление о том, что банк более, чем остальные фондируется средствами розничных клиентов. Однако, проведенный анализ показал, что это далеко было не так и лишь в настоящее время банк смог выпрямить эту ситуацию, отойдя от инструментов фондирования с более высокой стоимостью.</w:t>
      </w:r>
    </w:p>
    <w:p w:rsidR="00E40DE9" w:rsidRPr="00802D35" w:rsidRDefault="00E40DE9" w:rsidP="00E40DE9">
      <w:pPr>
        <w:pStyle w:val="a3"/>
        <w:numPr>
          <w:ilvl w:val="0"/>
          <w:numId w:val="18"/>
        </w:numPr>
        <w:tabs>
          <w:tab w:val="left" w:pos="993"/>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Как правило, выбирая источники фондирования, банки руководствуются их стоимостью. Возможность получения более высоких процентов за использование полученных ресурсов становится целью формирования стратегии банковского фондирования. При этом, возникает своего рода противоречие: вознаграждения, которые банк старается получить от совершения активных операций, он стремится максимизировать, а вознаграждения, которые выплачивает по привлекаемым ресурсам – минимизировать. Иными словами, стоимость активов банк выбирает наивысшую, а стоимость фондирования наименьшую. Именно наличие  такого противоречия в процессе фондирования позволяет применять комбинации методов линейного и динамического программирования в статистическом моделировании, чтобы оптимизировать данные процессы: критерии А.Вальда, Брауна-Робинсона, А.Гурвица, Т.Байеса, Л.Сэвиджа, а также модель Р.Беллмана.</w:t>
      </w:r>
    </w:p>
    <w:p w:rsidR="00E40DE9" w:rsidRPr="00802D35" w:rsidRDefault="00E40DE9" w:rsidP="00E40DE9">
      <w:pPr>
        <w:tabs>
          <w:tab w:val="left" w:pos="993"/>
        </w:tabs>
        <w:spacing w:after="0" w:line="240" w:lineRule="auto"/>
        <w:ind w:firstLine="567"/>
        <w:jc w:val="both"/>
        <w:rPr>
          <w:rFonts w:ascii="Times New Roman" w:eastAsia="Times New Roman" w:hAnsi="Times New Roman" w:cs="Times New Roman"/>
          <w:bCs/>
          <w:sz w:val="28"/>
          <w:szCs w:val="28"/>
          <w:shd w:val="clear" w:color="auto" w:fill="FFFFFF"/>
          <w:lang w:eastAsia="ru-RU"/>
        </w:rPr>
      </w:pPr>
      <w:r w:rsidRPr="00802D35">
        <w:rPr>
          <w:rFonts w:ascii="Times New Roman" w:eastAsia="Times New Roman" w:hAnsi="Times New Roman" w:cs="Times New Roman"/>
          <w:bCs/>
          <w:sz w:val="28"/>
          <w:szCs w:val="28"/>
          <w:shd w:val="clear" w:color="auto" w:fill="FFFFFF"/>
          <w:lang w:eastAsia="ru-RU"/>
        </w:rPr>
        <w:t>Основными преимуществами применения предлагаемых нами моделей являются упрощение решения задач распределения ресурсов фондирования; оперативность решений по распределению фондирования; учет ограниченности, срочности и непрерывности процесса фондирования и максимизация доходности от распределения фондирования. Моделирование значительно упрощает проблемы распределения фондирования как на текущем этапе поступления средств, так и при разработке политики получения доходов банка.</w:t>
      </w:r>
    </w:p>
    <w:p w:rsidR="00E40DE9" w:rsidRPr="00802D35" w:rsidRDefault="00E40DE9" w:rsidP="00E40DE9">
      <w:pPr>
        <w:widowControl w:val="0"/>
        <w:spacing w:after="0" w:line="240" w:lineRule="auto"/>
        <w:jc w:val="center"/>
        <w:rPr>
          <w:rFonts w:ascii="Times New Roman" w:hAnsi="Times New Roman"/>
          <w:b/>
          <w:sz w:val="28"/>
          <w:szCs w:val="28"/>
        </w:rPr>
      </w:pPr>
    </w:p>
    <w:p w:rsidR="00E40DE9" w:rsidRPr="00802D35" w:rsidRDefault="00E40DE9" w:rsidP="00E40DE9">
      <w:pPr>
        <w:widowControl w:val="0"/>
        <w:spacing w:after="0" w:line="240" w:lineRule="auto"/>
        <w:jc w:val="center"/>
        <w:rPr>
          <w:rFonts w:ascii="Times New Roman" w:hAnsi="Times New Roman"/>
          <w:b/>
          <w:sz w:val="28"/>
          <w:szCs w:val="28"/>
        </w:rPr>
      </w:pPr>
    </w:p>
    <w:p w:rsidR="00E40DE9" w:rsidRPr="00802D35" w:rsidRDefault="00E40DE9" w:rsidP="00E40DE9">
      <w:pPr>
        <w:widowControl w:val="0"/>
        <w:spacing w:after="0" w:line="240" w:lineRule="auto"/>
        <w:jc w:val="center"/>
        <w:rPr>
          <w:rFonts w:ascii="Times New Roman" w:hAnsi="Times New Roman"/>
          <w:b/>
          <w:sz w:val="28"/>
          <w:szCs w:val="28"/>
        </w:rPr>
      </w:pPr>
    </w:p>
    <w:p w:rsidR="00E40DE9" w:rsidRPr="00802D35" w:rsidRDefault="00E40DE9" w:rsidP="00E40DE9">
      <w:pPr>
        <w:widowControl w:val="0"/>
        <w:spacing w:after="0" w:line="240" w:lineRule="auto"/>
        <w:jc w:val="center"/>
        <w:rPr>
          <w:rFonts w:ascii="Times New Roman" w:hAnsi="Times New Roman"/>
          <w:b/>
          <w:sz w:val="28"/>
          <w:szCs w:val="28"/>
        </w:rPr>
      </w:pPr>
    </w:p>
    <w:p w:rsidR="00E40DE9" w:rsidRPr="00802D35" w:rsidRDefault="00E40DE9" w:rsidP="00E40DE9"/>
    <w:p w:rsidR="0047372A" w:rsidRPr="00802D35" w:rsidRDefault="0047372A" w:rsidP="00FE1D93">
      <w:pPr>
        <w:widowControl w:val="0"/>
        <w:spacing w:after="0" w:line="240" w:lineRule="auto"/>
        <w:jc w:val="center"/>
        <w:rPr>
          <w:rFonts w:ascii="Times New Roman" w:hAnsi="Times New Roman"/>
          <w:b/>
          <w:sz w:val="28"/>
          <w:szCs w:val="28"/>
        </w:rPr>
      </w:pPr>
    </w:p>
    <w:p w:rsidR="0047372A" w:rsidRPr="00802D35" w:rsidRDefault="0047372A" w:rsidP="00FE1D93">
      <w:pPr>
        <w:widowControl w:val="0"/>
        <w:spacing w:after="0" w:line="240" w:lineRule="auto"/>
        <w:jc w:val="center"/>
        <w:rPr>
          <w:rFonts w:ascii="Times New Roman" w:hAnsi="Times New Roman"/>
          <w:b/>
          <w:sz w:val="28"/>
          <w:szCs w:val="28"/>
        </w:rPr>
      </w:pPr>
    </w:p>
    <w:p w:rsidR="0047372A" w:rsidRPr="00802D35" w:rsidRDefault="0047372A" w:rsidP="00FE1D93">
      <w:pPr>
        <w:widowControl w:val="0"/>
        <w:spacing w:after="0" w:line="240" w:lineRule="auto"/>
        <w:jc w:val="center"/>
        <w:rPr>
          <w:rFonts w:ascii="Times New Roman" w:hAnsi="Times New Roman"/>
          <w:b/>
          <w:sz w:val="28"/>
          <w:szCs w:val="28"/>
        </w:rPr>
      </w:pPr>
    </w:p>
    <w:p w:rsidR="0047372A" w:rsidRPr="00802D35" w:rsidRDefault="0047372A" w:rsidP="00FE1D93">
      <w:pPr>
        <w:widowControl w:val="0"/>
        <w:spacing w:after="0" w:line="240" w:lineRule="auto"/>
        <w:jc w:val="center"/>
        <w:rPr>
          <w:rFonts w:ascii="Times New Roman" w:hAnsi="Times New Roman"/>
          <w:b/>
          <w:sz w:val="28"/>
          <w:szCs w:val="28"/>
        </w:rPr>
      </w:pPr>
    </w:p>
    <w:p w:rsidR="0047372A" w:rsidRPr="00802D35" w:rsidRDefault="0047372A" w:rsidP="00FE1D93">
      <w:pPr>
        <w:widowControl w:val="0"/>
        <w:spacing w:after="0" w:line="240" w:lineRule="auto"/>
        <w:jc w:val="center"/>
        <w:rPr>
          <w:rFonts w:ascii="Times New Roman" w:hAnsi="Times New Roman"/>
          <w:b/>
          <w:sz w:val="28"/>
          <w:szCs w:val="28"/>
        </w:rPr>
      </w:pPr>
    </w:p>
    <w:p w:rsidR="0047372A" w:rsidRPr="00802D35" w:rsidRDefault="0047372A" w:rsidP="00FE1D93">
      <w:pPr>
        <w:widowControl w:val="0"/>
        <w:spacing w:after="0" w:line="240" w:lineRule="auto"/>
        <w:jc w:val="center"/>
        <w:rPr>
          <w:rFonts w:ascii="Times New Roman" w:hAnsi="Times New Roman"/>
          <w:b/>
          <w:sz w:val="28"/>
          <w:szCs w:val="28"/>
        </w:rPr>
      </w:pPr>
    </w:p>
    <w:p w:rsidR="0047372A" w:rsidRPr="00802D35" w:rsidRDefault="0047372A" w:rsidP="00FE1D93">
      <w:pPr>
        <w:widowControl w:val="0"/>
        <w:spacing w:after="0" w:line="240" w:lineRule="auto"/>
        <w:jc w:val="center"/>
        <w:rPr>
          <w:rFonts w:ascii="Times New Roman" w:hAnsi="Times New Roman"/>
          <w:b/>
          <w:sz w:val="28"/>
          <w:szCs w:val="28"/>
        </w:rPr>
      </w:pPr>
    </w:p>
    <w:p w:rsidR="0047372A" w:rsidRPr="00802D35" w:rsidRDefault="0047372A" w:rsidP="00FE1D93">
      <w:pPr>
        <w:widowControl w:val="0"/>
        <w:spacing w:after="0" w:line="240" w:lineRule="auto"/>
        <w:jc w:val="center"/>
        <w:rPr>
          <w:rFonts w:ascii="Times New Roman" w:hAnsi="Times New Roman"/>
          <w:b/>
          <w:sz w:val="28"/>
          <w:szCs w:val="28"/>
        </w:rPr>
      </w:pPr>
    </w:p>
    <w:p w:rsidR="0047372A" w:rsidRPr="00802D35" w:rsidRDefault="0047372A" w:rsidP="00FE1D93">
      <w:pPr>
        <w:widowControl w:val="0"/>
        <w:spacing w:after="0" w:line="240" w:lineRule="auto"/>
        <w:jc w:val="center"/>
        <w:rPr>
          <w:rFonts w:ascii="Times New Roman" w:hAnsi="Times New Roman"/>
          <w:b/>
          <w:sz w:val="28"/>
          <w:szCs w:val="28"/>
        </w:rPr>
      </w:pPr>
    </w:p>
    <w:p w:rsidR="0047372A" w:rsidRPr="00802D35" w:rsidRDefault="0047372A" w:rsidP="00FE1D93">
      <w:pPr>
        <w:widowControl w:val="0"/>
        <w:spacing w:after="0" w:line="240" w:lineRule="auto"/>
        <w:jc w:val="center"/>
        <w:rPr>
          <w:rFonts w:ascii="Times New Roman" w:hAnsi="Times New Roman"/>
          <w:b/>
          <w:sz w:val="28"/>
          <w:szCs w:val="28"/>
        </w:rPr>
      </w:pPr>
    </w:p>
    <w:p w:rsidR="00FE1D93" w:rsidRPr="00802D35" w:rsidRDefault="00FE1D93" w:rsidP="00FE1D93">
      <w:pPr>
        <w:widowControl w:val="0"/>
        <w:spacing w:after="0" w:line="240" w:lineRule="auto"/>
        <w:jc w:val="center"/>
        <w:rPr>
          <w:rFonts w:ascii="Times New Roman" w:hAnsi="Times New Roman"/>
          <w:b/>
          <w:sz w:val="28"/>
          <w:szCs w:val="28"/>
        </w:rPr>
      </w:pPr>
      <w:r w:rsidRPr="00802D35">
        <w:rPr>
          <w:rFonts w:ascii="Times New Roman" w:hAnsi="Times New Roman"/>
          <w:b/>
          <w:sz w:val="28"/>
          <w:szCs w:val="28"/>
        </w:rPr>
        <w:lastRenderedPageBreak/>
        <w:t>ЗАКЛЮЧЕНИЕ</w:t>
      </w:r>
    </w:p>
    <w:p w:rsidR="00FE1D93" w:rsidRPr="00802D35" w:rsidRDefault="00FE1D93" w:rsidP="00FE1D93">
      <w:pPr>
        <w:widowControl w:val="0"/>
        <w:spacing w:after="0" w:line="240" w:lineRule="auto"/>
        <w:jc w:val="both"/>
        <w:rPr>
          <w:rFonts w:ascii="Times New Roman" w:hAnsi="Times New Roman"/>
          <w:sz w:val="28"/>
          <w:szCs w:val="28"/>
        </w:rPr>
      </w:pPr>
    </w:p>
    <w:p w:rsidR="00FE1D93" w:rsidRPr="00802D35" w:rsidRDefault="00FE1D93" w:rsidP="00FE1D93">
      <w:pPr>
        <w:widowControl w:val="0"/>
        <w:spacing w:after="0" w:line="240" w:lineRule="auto"/>
        <w:ind w:firstLine="567"/>
        <w:jc w:val="both"/>
        <w:rPr>
          <w:rFonts w:ascii="Times New Roman" w:hAnsi="Times New Roman"/>
          <w:sz w:val="28"/>
          <w:szCs w:val="28"/>
        </w:rPr>
      </w:pPr>
      <w:r w:rsidRPr="00802D35">
        <w:rPr>
          <w:rFonts w:ascii="Times New Roman" w:hAnsi="Times New Roman"/>
          <w:sz w:val="28"/>
          <w:szCs w:val="28"/>
        </w:rPr>
        <w:t xml:space="preserve">Усиление процессов </w:t>
      </w:r>
      <w:r w:rsidR="0020075C" w:rsidRPr="00802D35">
        <w:rPr>
          <w:rFonts w:ascii="Times New Roman" w:hAnsi="Times New Roman"/>
          <w:sz w:val="28"/>
          <w:szCs w:val="28"/>
        </w:rPr>
        <w:t xml:space="preserve">глобализации финансовых рынков еще больше повысили конкуренцию банков в сфере фондирования, что привело к объективной необходимости ведения регулярного мониторинга, активизации деятельности банков в отношении качества своего фондирования, а также </w:t>
      </w:r>
      <w:r w:rsidRPr="00802D35">
        <w:rPr>
          <w:rFonts w:ascii="Times New Roman" w:hAnsi="Times New Roman"/>
          <w:sz w:val="28"/>
          <w:szCs w:val="28"/>
        </w:rPr>
        <w:t xml:space="preserve"> </w:t>
      </w:r>
      <w:r w:rsidR="0020075C" w:rsidRPr="00802D35">
        <w:rPr>
          <w:rFonts w:ascii="Times New Roman" w:hAnsi="Times New Roman"/>
          <w:sz w:val="28"/>
          <w:szCs w:val="28"/>
        </w:rPr>
        <w:t xml:space="preserve">потребности в современных подходах к оптимизации фондирования. </w:t>
      </w:r>
      <w:r w:rsidRPr="00802D35">
        <w:rPr>
          <w:rFonts w:ascii="Times New Roman" w:hAnsi="Times New Roman"/>
          <w:sz w:val="28"/>
          <w:szCs w:val="28"/>
        </w:rPr>
        <w:t xml:space="preserve">Проведенное исследование </w:t>
      </w:r>
      <w:r w:rsidR="0020075C" w:rsidRPr="00802D35">
        <w:rPr>
          <w:rFonts w:ascii="Times New Roman" w:hAnsi="Times New Roman"/>
          <w:sz w:val="28"/>
          <w:szCs w:val="28"/>
        </w:rPr>
        <w:t xml:space="preserve">сущности и содержания фондирования банков, особенностей фондирования БВУ Казахстана и потребностей отечественных банков в совершенствовании данных процессов </w:t>
      </w:r>
      <w:r w:rsidRPr="00802D35">
        <w:rPr>
          <w:rFonts w:ascii="Times New Roman" w:hAnsi="Times New Roman"/>
          <w:sz w:val="28"/>
          <w:szCs w:val="28"/>
        </w:rPr>
        <w:t>позволяют сделать следующие выводы.</w:t>
      </w:r>
    </w:p>
    <w:p w:rsidR="00B8125A" w:rsidRPr="00802D35" w:rsidRDefault="00FE1D93" w:rsidP="00203A4B">
      <w:pPr>
        <w:pStyle w:val="a3"/>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cs="Times New Roman"/>
          <w:b/>
          <w:sz w:val="28"/>
          <w:szCs w:val="28"/>
        </w:rPr>
      </w:pPr>
      <w:r w:rsidRPr="00802D35">
        <w:rPr>
          <w:rFonts w:ascii="Times New Roman" w:hAnsi="Times New Roman"/>
          <w:b/>
          <w:sz w:val="28"/>
          <w:szCs w:val="28"/>
        </w:rPr>
        <w:t xml:space="preserve">Обобщение </w:t>
      </w:r>
      <w:r w:rsidR="00B8125A" w:rsidRPr="00802D35">
        <w:rPr>
          <w:rFonts w:ascii="Times New Roman" w:hAnsi="Times New Roman"/>
          <w:b/>
          <w:sz w:val="28"/>
          <w:szCs w:val="28"/>
        </w:rPr>
        <w:t xml:space="preserve">и систематизация </w:t>
      </w:r>
      <w:r w:rsidRPr="00802D35">
        <w:rPr>
          <w:rFonts w:ascii="Times New Roman" w:hAnsi="Times New Roman"/>
          <w:b/>
          <w:sz w:val="28"/>
          <w:szCs w:val="28"/>
        </w:rPr>
        <w:t xml:space="preserve">теоретических </w:t>
      </w:r>
      <w:r w:rsidR="00B8125A" w:rsidRPr="00802D35">
        <w:rPr>
          <w:rFonts w:ascii="Times New Roman" w:hAnsi="Times New Roman"/>
          <w:b/>
          <w:sz w:val="28"/>
          <w:szCs w:val="28"/>
        </w:rPr>
        <w:t>подходов</w:t>
      </w:r>
      <w:r w:rsidRPr="00802D35">
        <w:rPr>
          <w:rFonts w:ascii="Times New Roman" w:hAnsi="Times New Roman"/>
          <w:b/>
          <w:sz w:val="28"/>
          <w:szCs w:val="28"/>
        </w:rPr>
        <w:t xml:space="preserve"> зарубежных и </w:t>
      </w:r>
      <w:r w:rsidR="00B8125A" w:rsidRPr="00802D35">
        <w:rPr>
          <w:rFonts w:ascii="Times New Roman" w:hAnsi="Times New Roman"/>
          <w:b/>
          <w:sz w:val="28"/>
          <w:szCs w:val="28"/>
        </w:rPr>
        <w:t>казахстанских</w:t>
      </w:r>
      <w:r w:rsidRPr="00802D35">
        <w:rPr>
          <w:rFonts w:ascii="Times New Roman" w:hAnsi="Times New Roman"/>
          <w:b/>
          <w:sz w:val="28"/>
          <w:szCs w:val="28"/>
        </w:rPr>
        <w:t xml:space="preserve"> авторов </w:t>
      </w:r>
      <w:r w:rsidR="00B8125A" w:rsidRPr="00802D35">
        <w:rPr>
          <w:rFonts w:ascii="Times New Roman" w:hAnsi="Times New Roman"/>
          <w:b/>
          <w:sz w:val="28"/>
          <w:szCs w:val="28"/>
        </w:rPr>
        <w:t xml:space="preserve">к понятию, целям, значимости фондирования в деятельности банков второго уровня, позволившие представить авторское определение </w:t>
      </w:r>
      <w:r w:rsidR="00B8125A" w:rsidRPr="00802D35">
        <w:rPr>
          <w:rFonts w:ascii="Times New Roman" w:hAnsi="Times New Roman" w:cs="Times New Roman"/>
          <w:b/>
          <w:sz w:val="28"/>
          <w:szCs w:val="28"/>
        </w:rPr>
        <w:t>фондирования банков, предельной стоимости и запасов фондирования, инструментов и источников фондирования.</w:t>
      </w:r>
    </w:p>
    <w:p w:rsidR="00D10127" w:rsidRPr="00802D35" w:rsidRDefault="000F6BB7" w:rsidP="005402D8">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Несмотря на то, что в мировой и казахстанской экономической литературе достаточно большой объем работ посвящен вопросам фондирования деятельности банков, в настоящее время не представлено четких и устоявшихся определений самого понятия фондирования банковской деятельности. Более того, проведенный анализ позволил выявить, что большинство авторов проводят аналогию между понятиями финансирования и фондирования банков и понятиями источников и инструментов фондирования, несмотря на наличие существенных отличительных аспектов. В связи с этим, на основании обобщения и систематизации научных источников нами было определено понятие фондирования банковской деятельности как континуальный, целенаправленный и контролируемый процесс формирования фонда финансовых ресурсов с наименьшей стоимостью и трансформации их в средства финансирования доходных активных операций в пределах имеющихся ресурсов банка. </w:t>
      </w:r>
    </w:p>
    <w:p w:rsidR="000F6BB7" w:rsidRPr="00802D35" w:rsidRDefault="000F6BB7" w:rsidP="005402D8">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Исходя из содержания и особенностей процессов </w:t>
      </w:r>
      <w:r w:rsidR="00D10127" w:rsidRPr="00802D35">
        <w:rPr>
          <w:rFonts w:ascii="Times New Roman" w:hAnsi="Times New Roman" w:cs="Times New Roman"/>
          <w:sz w:val="28"/>
          <w:szCs w:val="28"/>
        </w:rPr>
        <w:t>финансирования и фондирования были определены четкие признаки, позволяющие выявить специфические черты, характерные фондированию, и отметить существенные различия между данными понятиями. В результате, в качестве основных принципов фондирования банков были определены: непрерывность поступления ресурсов, диверсификация структуры источников и инструментов фондирования, снижение стоимости фондирования, соответствие срочности пассивов и активов, соответствие нормативам регулирования.</w:t>
      </w:r>
    </w:p>
    <w:p w:rsidR="00D10127" w:rsidRPr="00802D35" w:rsidRDefault="00D10127" w:rsidP="005402D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Основываясь на особенностях и самой природы привлекаемых ресурсов и способов их предоставления, были проведены четкие различия между понятиями источников и инструментов фондирования, что позволило обосновать необходимость расширения именно инструментов фондирования деятельности банков.</w:t>
      </w:r>
      <w:r w:rsidR="005402D8" w:rsidRPr="00802D35">
        <w:rPr>
          <w:rFonts w:ascii="Times New Roman" w:hAnsi="Times New Roman" w:cs="Times New Roman"/>
          <w:sz w:val="28"/>
          <w:szCs w:val="28"/>
        </w:rPr>
        <w:t xml:space="preserve"> В частности, если источник фондирования предполагает, откуда берутся те или иные ресурсы для финансирования деятельности банков, </w:t>
      </w:r>
      <w:r w:rsidR="005402D8" w:rsidRPr="00802D35">
        <w:rPr>
          <w:rFonts w:ascii="Times New Roman" w:hAnsi="Times New Roman" w:cs="Times New Roman"/>
          <w:sz w:val="28"/>
          <w:szCs w:val="28"/>
        </w:rPr>
        <w:lastRenderedPageBreak/>
        <w:t>то, когда речь идет об инструментах фондирования, их суть заключается в способе и методе обеспечения деятельности банка соответствующими ресурсами. Таким образом, можно отметить, что банки постоянно находятся в поисках новых инструментов фондирования, с помощью которых, они смогли бы привлекать средства из различных источников фондирования.</w:t>
      </w:r>
    </w:p>
    <w:p w:rsidR="005402D8" w:rsidRPr="00802D35" w:rsidRDefault="005402D8" w:rsidP="005402D8">
      <w:pPr>
        <w:widowControl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Важно выделить составляющие стоимости фондирования, которые, к сожалению, в отечественной научной литературе не рассматриваются: предельная стоимость фондирования и стоимость запасов фондирования. Предельная стоимость фондирования, на наш взгляд, это стоимость дополнительной единицы фондирования и ее вклад в средневзвешенную стоимость фондирования банка в целом</w:t>
      </w:r>
      <w:r w:rsidRPr="00802D35">
        <w:rPr>
          <w:rFonts w:ascii="Times New Roman" w:hAnsi="Times New Roman" w:cs="Times New Roman"/>
          <w:i/>
          <w:sz w:val="28"/>
          <w:szCs w:val="28"/>
        </w:rPr>
        <w:t xml:space="preserve">. </w:t>
      </w:r>
      <w:r w:rsidRPr="00802D35">
        <w:rPr>
          <w:rFonts w:ascii="Times New Roman" w:hAnsi="Times New Roman" w:cs="Times New Roman"/>
          <w:sz w:val="28"/>
          <w:szCs w:val="28"/>
        </w:rPr>
        <w:t>Между поступлением ресурсов и их непосредственном размещении в активы в процессе фондирования возникает разрыв во времени, в течение которого образуются провизии, стоимость в текущий момент которых мы рассматриваем как стоимость запасов фондирования. Таким образом, с нашей точки зрения, стоимость запаса фондирования представляет собой цену привлеченных ресурсов банка, которые в течение определенного времени не были распределены в активы.</w:t>
      </w:r>
    </w:p>
    <w:p w:rsidR="00B8125A" w:rsidRPr="00802D35" w:rsidRDefault="004672E6" w:rsidP="00203A4B">
      <w:pPr>
        <w:pStyle w:val="a3"/>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cs="Times New Roman"/>
          <w:b/>
          <w:sz w:val="28"/>
          <w:szCs w:val="28"/>
        </w:rPr>
      </w:pPr>
      <w:r w:rsidRPr="00802D35">
        <w:rPr>
          <w:rFonts w:ascii="Times New Roman" w:hAnsi="Times New Roman" w:cs="Times New Roman"/>
          <w:b/>
          <w:sz w:val="28"/>
          <w:szCs w:val="28"/>
        </w:rPr>
        <w:t xml:space="preserve">Оценка влияния внешних и внутренних факторов окружения банков второго уровня Казахстана на детерминанты банковского фондирования и структуры фондирования деятельности банков на экономическое развитие страны, позволившие определить наиболее значимые аспекты организации фондирования в отечественных банках второго уровня. </w:t>
      </w:r>
    </w:p>
    <w:p w:rsidR="004672E6" w:rsidRPr="00802D35" w:rsidRDefault="005402D8" w:rsidP="001F130A">
      <w:pPr>
        <w:widowControl w:val="0"/>
        <w:tabs>
          <w:tab w:val="left" w:pos="993"/>
        </w:tabs>
        <w:autoSpaceDE w:val="0"/>
        <w:autoSpaceDN w:val="0"/>
        <w:adjustRightInd w:val="0"/>
        <w:spacing w:after="0" w:line="240" w:lineRule="auto"/>
        <w:ind w:firstLine="567"/>
        <w:jc w:val="both"/>
        <w:rPr>
          <w:rFonts w:ascii="Times New Roman" w:hAnsi="Times New Roman" w:cs="Times New Roman"/>
          <w:b/>
          <w:sz w:val="28"/>
          <w:szCs w:val="28"/>
        </w:rPr>
      </w:pPr>
      <w:r w:rsidRPr="00802D35">
        <w:rPr>
          <w:rFonts w:ascii="Times New Roman" w:hAnsi="Times New Roman" w:cs="Times New Roman"/>
          <w:sz w:val="28"/>
          <w:szCs w:val="28"/>
        </w:rPr>
        <w:t>Поскольку основными источниками фондирования становятся привлекаемые банком ресурсы, которые по своей природе являются ограниченными, то деятельность банков в пределах имеющихся в их распоряжении ресурсов создает реальную потребность в борьбе за эти средства. Иными словами, ограниченность ресурсов на рынке и потребность в организации непрерывности их поступления в банк с целью обеспечения бесперебойности деятельности банков создает актуальные предпосылки развития конкуренции на банковском рынке. Учитывая тот факт, что привлекаемые ресурсы выступают движущей силой, катализаторами роста прибыльности банка, то фондирование становится драйвером финансовой стабильности банка.</w:t>
      </w:r>
    </w:p>
    <w:p w:rsidR="004672E6" w:rsidRPr="00802D35" w:rsidRDefault="005402D8" w:rsidP="001F130A">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 xml:space="preserve">Расширяя понятия проанализированных научных источников, на наш взгляд, понятие «конкурентоустойчивость» включает в себя стабильность и гибкость банка по отношению к изменениям внешней и внутренней среды, адаптивность банка, персистентность и воспроизводимость качественных функций банка по удержанию конкурентных преимуществ вне зависимости от влияния экзогенных и эндогенных факторов. Иными словами конкурентоустойчивость банка следует рассматривать не только как способность работать и выживать в конкурентной среде, но и как способность предлагать такие продукты и услуги (или даже создавать на них спрос), которые нацелят банк на достижение эффективных финансовых результатов, </w:t>
      </w:r>
      <w:r w:rsidRPr="00802D35">
        <w:rPr>
          <w:rFonts w:ascii="Times New Roman" w:hAnsi="Times New Roman" w:cs="Times New Roman"/>
          <w:sz w:val="28"/>
          <w:szCs w:val="28"/>
        </w:rPr>
        <w:lastRenderedPageBreak/>
        <w:t>несмотря на трудности и ограничения, обусловленные характером изменчивости финансового рынка страны.</w:t>
      </w:r>
    </w:p>
    <w:p w:rsidR="005402D8" w:rsidRPr="00802D35" w:rsidRDefault="005402D8" w:rsidP="005402D8">
      <w:pPr>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В результате, анализ источников и инструментов фондирования казахстанских банков показал, что БВУ не заинтересованы в привлечении фондирования посредством эмиссии облигаций. Вместе с тем, у банков наблюдается зависимость от депозитного фондирования, причем в последнее время физических лиц. Повышение интереса населения в отношении фондового рынка должно переориентировать банки на увеличение оптового фондирования как на внутреннем, так и мировом финансовом рынке.</w:t>
      </w:r>
    </w:p>
    <w:p w:rsidR="005402D8" w:rsidRPr="00802D35" w:rsidRDefault="005402D8" w:rsidP="001F130A">
      <w:pPr>
        <w:widowControl w:val="0"/>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Проведенный анализ по полиномиальным, экспоненциальным и асимптотическим моделям, а также модели MANOVA, показывает наличие высокого влияния вкладов клиентов БВУ на ВВП страны. Регрессионные модели также отметили наличие влияния уставного и резервного капитала БВУ на ВВП, однако, с указанием возможных ошибок в значимости моделей. Аналогичным образом, оценка показала, что имеется определенная степень влияния собственных средств банков на экономический рост Казахстана, но при риске 14,9%. Исходя из этого, можно сказать, что все же значительное и непосредственное влияние на экономический рост страны оказывают такие источники фондирования деятельности банков как вклады клиентов. Собственные ресурсы имеют значение и влияние, но оно не ярко выражено и имеет определенные риски ошибок.</w:t>
      </w:r>
    </w:p>
    <w:p w:rsidR="005402D8" w:rsidRPr="00802D35" w:rsidRDefault="005402D8" w:rsidP="001F130A">
      <w:pPr>
        <w:tabs>
          <w:tab w:val="left" w:pos="993"/>
        </w:tabs>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 xml:space="preserve">Анализ влияния внешних и внутренних факторов на фондирование БВУ показал, что в большей степени внешняя зависимость наблюдается в отношении АО </w:t>
      </w:r>
      <w:r w:rsidRPr="00802D35">
        <w:rPr>
          <w:rStyle w:val="HTML"/>
          <w:rFonts w:ascii="Times New Roman" w:hAnsi="Times New Roman" w:cs="Times New Roman"/>
          <w:i w:val="0"/>
          <w:sz w:val="28"/>
          <w:szCs w:val="28"/>
          <w:shd w:val="clear" w:color="auto" w:fill="FFFFFF"/>
        </w:rPr>
        <w:t>Kaspi Bank</w:t>
      </w:r>
      <w:r w:rsidRPr="00802D35">
        <w:rPr>
          <w:rFonts w:ascii="Times New Roman" w:hAnsi="Times New Roman" w:cs="Times New Roman"/>
          <w:sz w:val="28"/>
          <w:szCs w:val="28"/>
          <w:shd w:val="clear" w:color="auto" w:fill="FFFFFF"/>
        </w:rPr>
        <w:t>, который проводит активную политику среди населения по привлечению вкладов. Наименее зависимым является АО АТФ</w:t>
      </w:r>
      <w:r w:rsidR="00E97FF6" w:rsidRPr="00802D35">
        <w:rPr>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 xml:space="preserve">Банк, который в настоящее время играет все меньшую роль в формировании экономического развития страны. </w:t>
      </w:r>
    </w:p>
    <w:p w:rsidR="005402D8" w:rsidRPr="00802D35" w:rsidRDefault="005402D8" w:rsidP="005402D8">
      <w:pPr>
        <w:tabs>
          <w:tab w:val="left" w:pos="993"/>
        </w:tabs>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Многие факторы, такие как внешние государственные займы, инфляция, безработица, показывают практически нулевую корреляцию для всех трех банков, как и банковская ликвидность и уровень межбанковского кредитования. АО АТФ</w:t>
      </w:r>
      <w:r w:rsidR="00E97FF6" w:rsidRPr="00802D35">
        <w:rPr>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 xml:space="preserve">Банк имеет средний уровень зависимости от объемов выпуска облигаций, что стало альтернативой банковским депозитам, особенно когда банк испытывал определенные трудности с привлечением средств. </w:t>
      </w:r>
    </w:p>
    <w:p w:rsidR="005402D8" w:rsidRPr="00802D35" w:rsidRDefault="005402D8" w:rsidP="001F130A">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802D35">
        <w:rPr>
          <w:rFonts w:ascii="Times New Roman" w:hAnsi="Times New Roman" w:cs="Times New Roman"/>
          <w:sz w:val="28"/>
          <w:szCs w:val="28"/>
          <w:shd w:val="clear" w:color="auto" w:fill="FFFFFF"/>
        </w:rPr>
        <w:t>Таким образом, проведенный анализ позволил подтвердить гипотезу о том, что ввиду высокой значимости банков второго уровня в экономическом развитии государства высока значимость влияния как факторов макроэкономики на фондирование деятельности банков, так и структуры фондирования БВУ на уровень развития экономики Казахстана. Вместе с тем, следует отметить, что оценка факторов, влияющих на фондирование банков должно проводиться каждым банком индивидуально. Такой подход позволит определенным образом оценить значимость банка в развитии экономики страны, а также выявить аспекты, требующие первоочередного внимания банков в отношении политики привлечения средств.</w:t>
      </w:r>
    </w:p>
    <w:p w:rsidR="00E97FF6" w:rsidRPr="00802D35" w:rsidRDefault="00E97FF6" w:rsidP="001F130A">
      <w:pPr>
        <w:widowControl w:val="0"/>
        <w:tabs>
          <w:tab w:val="left" w:pos="993"/>
        </w:tabs>
        <w:autoSpaceDE w:val="0"/>
        <w:autoSpaceDN w:val="0"/>
        <w:adjustRightInd w:val="0"/>
        <w:spacing w:after="0" w:line="240" w:lineRule="auto"/>
        <w:ind w:firstLine="567"/>
        <w:jc w:val="both"/>
        <w:rPr>
          <w:rFonts w:ascii="Times New Roman" w:hAnsi="Times New Roman" w:cs="Times New Roman"/>
          <w:b/>
          <w:sz w:val="28"/>
          <w:szCs w:val="28"/>
        </w:rPr>
      </w:pPr>
    </w:p>
    <w:p w:rsidR="004672E6" w:rsidRPr="00802D35" w:rsidRDefault="004672E6" w:rsidP="00203A4B">
      <w:pPr>
        <w:pStyle w:val="a3"/>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cs="Times New Roman"/>
          <w:b/>
          <w:sz w:val="28"/>
          <w:szCs w:val="28"/>
        </w:rPr>
      </w:pPr>
      <w:r w:rsidRPr="00802D35">
        <w:rPr>
          <w:rFonts w:ascii="Times New Roman" w:hAnsi="Times New Roman" w:cs="Times New Roman"/>
          <w:b/>
          <w:sz w:val="28"/>
          <w:szCs w:val="28"/>
        </w:rPr>
        <w:lastRenderedPageBreak/>
        <w:t xml:space="preserve">Формирование методики оценки плотности фондирования банков, основанной на модификации индекса </w:t>
      </w:r>
      <w:r w:rsidR="00E97FF6" w:rsidRPr="00802D35">
        <w:rPr>
          <w:rFonts w:ascii="Times New Roman" w:hAnsi="Times New Roman" w:cs="Times New Roman"/>
          <w:b/>
          <w:sz w:val="28"/>
          <w:szCs w:val="28"/>
          <w:shd w:val="clear" w:color="auto" w:fill="FFFFFF"/>
        </w:rPr>
        <w:t>Херфиндаля-</w:t>
      </w:r>
      <w:r w:rsidRPr="00802D35">
        <w:rPr>
          <w:rFonts w:ascii="Times New Roman" w:hAnsi="Times New Roman" w:cs="Times New Roman"/>
          <w:b/>
          <w:sz w:val="28"/>
          <w:szCs w:val="28"/>
          <w:shd w:val="clear" w:color="auto" w:fill="FFFFFF"/>
        </w:rPr>
        <w:t>Хиршмана и необходимости принятия в расчет динамики объемов фондирования и среднего значения концентрации фондирования по банковскому сектору в целом, что позволит отечественным банкам определять проблемные сигналы и упущения в организации фондирования своей деятельности.</w:t>
      </w:r>
    </w:p>
    <w:p w:rsidR="00566FE4" w:rsidRPr="00802D35" w:rsidRDefault="00566FE4" w:rsidP="00566FE4">
      <w:pPr>
        <w:widowControl w:val="0"/>
        <w:tabs>
          <w:tab w:val="left" w:pos="993"/>
        </w:tabs>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hAnsi="Times New Roman" w:cs="Times New Roman"/>
          <w:sz w:val="28"/>
          <w:szCs w:val="28"/>
        </w:rPr>
        <w:t>Современный банк, наученный финансовым кризисом и вспышкой пандемии, должен постоянно мониторить концентрацию фондирования и поддерживать сбалансированность портфеля, чтобы обеспечить конкурентоустойчивость в условиях постоянных изменений финансового рынка.</w:t>
      </w:r>
      <w:r w:rsidRPr="00802D35">
        <w:rPr>
          <w:rFonts w:ascii="Times New Roman" w:eastAsia="Times New Roman" w:hAnsi="Times New Roman" w:cs="Times New Roman"/>
          <w:sz w:val="28"/>
          <w:szCs w:val="28"/>
          <w:lang w:eastAsia="ru-RU"/>
        </w:rPr>
        <w:t xml:space="preserve"> Предложенная нами модификация индекса </w:t>
      </w:r>
      <w:r w:rsidRPr="00802D35">
        <w:rPr>
          <w:rFonts w:ascii="Times New Roman" w:hAnsi="Times New Roman" w:cs="Times New Roman"/>
          <w:sz w:val="28"/>
          <w:szCs w:val="28"/>
          <w:shd w:val="clear" w:color="auto" w:fill="FFFFFF"/>
        </w:rPr>
        <w:t>Херфиндаля-Хиршмана</w:t>
      </w:r>
      <w:r w:rsidRPr="00802D35">
        <w:rPr>
          <w:rFonts w:ascii="Times New Roman" w:eastAsia="Times New Roman" w:hAnsi="Times New Roman" w:cs="Times New Roman"/>
          <w:sz w:val="28"/>
          <w:szCs w:val="28"/>
          <w:lang w:eastAsia="ru-RU"/>
        </w:rPr>
        <w:t xml:space="preserve"> с учетом среднего значения плотности фондирования по банковскому сектору страны в целом и динамики объемов фондирования позволила проводить оценку сбалансированности портфелей фондирования банков второго уровня Казахстана, их структуры и, в конечном итоге, выявлять проблемы фондирования, требующие эффективных и своевременных управленческих решений.</w:t>
      </w:r>
    </w:p>
    <w:p w:rsidR="00566FE4" w:rsidRPr="00802D35" w:rsidRDefault="00566FE4" w:rsidP="00566FE4">
      <w:pPr>
        <w:widowControl w:val="0"/>
        <w:tabs>
          <w:tab w:val="left" w:pos="993"/>
        </w:tabs>
        <w:spacing w:after="0" w:line="240" w:lineRule="auto"/>
        <w:ind w:firstLine="567"/>
        <w:jc w:val="both"/>
        <w:rPr>
          <w:rFonts w:ascii="Times New Roman" w:eastAsia="Times New Roman" w:hAnsi="Times New Roman" w:cs="Times New Roman"/>
          <w:sz w:val="28"/>
          <w:szCs w:val="28"/>
          <w:lang w:eastAsia="ru-RU"/>
        </w:rPr>
      </w:pPr>
      <w:r w:rsidRPr="00802D35">
        <w:rPr>
          <w:rFonts w:ascii="Times New Roman" w:eastAsia="Times New Roman" w:hAnsi="Times New Roman" w:cs="Times New Roman"/>
          <w:sz w:val="28"/>
          <w:szCs w:val="28"/>
          <w:lang w:eastAsia="ru-RU"/>
        </w:rPr>
        <w:t>Оценка плотности фондирования по трем банкам Казахстана АО АТФ</w:t>
      </w:r>
      <w:r w:rsidR="00E97FF6" w:rsidRPr="00802D35">
        <w:rPr>
          <w:rFonts w:ascii="Times New Roman" w:eastAsia="Times New Roman" w:hAnsi="Times New Roman" w:cs="Times New Roman"/>
          <w:sz w:val="28"/>
          <w:szCs w:val="28"/>
          <w:lang w:eastAsia="ru-RU"/>
        </w:rPr>
        <w:t xml:space="preserve"> </w:t>
      </w:r>
      <w:r w:rsidRPr="00802D35">
        <w:rPr>
          <w:rFonts w:ascii="Times New Roman" w:eastAsia="Times New Roman" w:hAnsi="Times New Roman" w:cs="Times New Roman"/>
          <w:sz w:val="28"/>
          <w:szCs w:val="28"/>
          <w:lang w:eastAsia="ru-RU"/>
        </w:rPr>
        <w:t xml:space="preserve">Банку, </w:t>
      </w:r>
      <w:r w:rsidRPr="00802D35">
        <w:rPr>
          <w:rStyle w:val="HTML"/>
          <w:rFonts w:ascii="Times New Roman" w:hAnsi="Times New Roman" w:cs="Times New Roman"/>
          <w:i w:val="0"/>
          <w:sz w:val="28"/>
          <w:szCs w:val="28"/>
          <w:shd w:val="clear" w:color="auto" w:fill="FFFFFF"/>
        </w:rPr>
        <w:t>АО Halyk Bank</w:t>
      </w:r>
      <w:r w:rsidRPr="00802D35">
        <w:rPr>
          <w:rFonts w:ascii="Times New Roman" w:eastAsia="Times New Roman" w:hAnsi="Times New Roman" w:cs="Times New Roman"/>
          <w:i/>
          <w:sz w:val="28"/>
          <w:szCs w:val="28"/>
          <w:lang w:eastAsia="ru-RU"/>
        </w:rPr>
        <w:t xml:space="preserve"> </w:t>
      </w:r>
      <w:r w:rsidRPr="00802D35">
        <w:rPr>
          <w:rFonts w:ascii="Times New Roman" w:eastAsia="Times New Roman" w:hAnsi="Times New Roman" w:cs="Times New Roman"/>
          <w:sz w:val="28"/>
          <w:szCs w:val="28"/>
          <w:lang w:eastAsia="ru-RU"/>
        </w:rPr>
        <w:t>и</w:t>
      </w:r>
      <w:r w:rsidRPr="00802D35">
        <w:rPr>
          <w:rFonts w:ascii="Times New Roman" w:eastAsia="Times New Roman" w:hAnsi="Times New Roman" w:cs="Times New Roman"/>
          <w:i/>
          <w:sz w:val="28"/>
          <w:szCs w:val="28"/>
          <w:lang w:eastAsia="ru-RU"/>
        </w:rPr>
        <w:t xml:space="preserve"> </w:t>
      </w:r>
      <w:r w:rsidRPr="00802D35">
        <w:rPr>
          <w:rStyle w:val="HTML"/>
          <w:rFonts w:ascii="Times New Roman" w:hAnsi="Times New Roman" w:cs="Times New Roman"/>
          <w:i w:val="0"/>
          <w:sz w:val="28"/>
          <w:szCs w:val="28"/>
          <w:shd w:val="clear" w:color="auto" w:fill="FFFFFF"/>
        </w:rPr>
        <w:t xml:space="preserve">АО </w:t>
      </w:r>
      <w:r w:rsidRPr="00802D35">
        <w:rPr>
          <w:rFonts w:ascii="Times New Roman" w:hAnsi="Times New Roman" w:cs="Times New Roman"/>
          <w:color w:val="000000"/>
          <w:sz w:val="28"/>
          <w:szCs w:val="28"/>
          <w:shd w:val="clear" w:color="auto" w:fill="FFFFFF"/>
        </w:rPr>
        <w:t>Kaspi bank</w:t>
      </w:r>
      <w:r w:rsidRPr="00802D35">
        <w:rPr>
          <w:rFonts w:ascii="Times New Roman" w:eastAsia="Times New Roman" w:hAnsi="Times New Roman" w:cs="Times New Roman"/>
          <w:sz w:val="28"/>
          <w:szCs w:val="28"/>
          <w:lang w:eastAsia="ru-RU"/>
        </w:rPr>
        <w:t xml:space="preserve"> позволила свидетельствовать о том, что при наличии высокой плотности фондирования банки испытывали сложности и имели повышенные риски. При наличии положительной динамики объемов фондирования и снижения индекса плотности БВУ значительно улучшали показатели деятельности. При однонаправленном движении индекса плотности и объемов фондирования БВУ в лучшем случае оставались на тех же позициях, однако, в большинстве своем начинали испытывать трудности в недостатке ресурсов.</w:t>
      </w:r>
    </w:p>
    <w:p w:rsidR="004672E6" w:rsidRPr="00802D35" w:rsidRDefault="004672E6" w:rsidP="00203A4B">
      <w:pPr>
        <w:pStyle w:val="a3"/>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cs="Times New Roman"/>
          <w:b/>
          <w:sz w:val="28"/>
          <w:szCs w:val="28"/>
        </w:rPr>
      </w:pPr>
      <w:r w:rsidRPr="00802D35">
        <w:rPr>
          <w:rFonts w:ascii="Times New Roman" w:hAnsi="Times New Roman" w:cs="Times New Roman"/>
          <w:b/>
          <w:sz w:val="28"/>
          <w:szCs w:val="28"/>
        </w:rPr>
        <w:t xml:space="preserve">Предложение разработанной автором методики оценки качества фондирования, основанной на средневзвешенном индексе восьми показателей организации фондирования в банках, позволяющей провести анализ и оценить эффективность функционирования процесса фондирования </w:t>
      </w:r>
      <w:r w:rsidR="004124D4" w:rsidRPr="00802D35">
        <w:rPr>
          <w:rFonts w:ascii="Times New Roman" w:hAnsi="Times New Roman" w:cs="Times New Roman"/>
          <w:b/>
          <w:sz w:val="28"/>
          <w:szCs w:val="28"/>
        </w:rPr>
        <w:t>в казахстанских банках с целью выявления проблем.</w:t>
      </w:r>
    </w:p>
    <w:p w:rsidR="00566FE4" w:rsidRPr="00802D35" w:rsidRDefault="00566FE4" w:rsidP="006F7644">
      <w:pPr>
        <w:tabs>
          <w:tab w:val="left" w:pos="993"/>
        </w:tabs>
        <w:spacing w:after="0" w:line="240" w:lineRule="auto"/>
        <w:ind w:firstLine="567"/>
        <w:jc w:val="both"/>
        <w:rPr>
          <w:rFonts w:ascii="Times New Roman" w:hAnsi="Times New Roman"/>
          <w:bCs/>
          <w:sz w:val="28"/>
          <w:szCs w:val="28"/>
        </w:rPr>
      </w:pPr>
      <w:r w:rsidRPr="00802D35">
        <w:rPr>
          <w:rFonts w:ascii="Times New Roman" w:hAnsi="Times New Roman" w:cs="Times New Roman"/>
          <w:sz w:val="28"/>
          <w:szCs w:val="28"/>
        </w:rPr>
        <w:t xml:space="preserve">Внедрение коэффициента </w:t>
      </w:r>
      <w:r w:rsidRPr="00802D35">
        <w:rPr>
          <w:rFonts w:ascii="Times New Roman" w:hAnsi="Times New Roman" w:cs="Times New Roman"/>
          <w:sz w:val="28"/>
          <w:szCs w:val="28"/>
          <w:shd w:val="clear" w:color="auto" w:fill="FFFFFF"/>
        </w:rPr>
        <w:t>NSFR</w:t>
      </w:r>
      <w:r w:rsidRPr="00802D35">
        <w:rPr>
          <w:rFonts w:ascii="Times New Roman" w:hAnsi="Times New Roman" w:cs="Times New Roman"/>
          <w:sz w:val="28"/>
          <w:szCs w:val="28"/>
        </w:rPr>
        <w:t xml:space="preserve"> в базу нормативов БВУ Казахстана все же не полностью отражает потоки стабильного фондирования и даже несколько искажают реальность. В частности, остатки на счетах населения практически во всех странах мира рассматриваются в качестве стабильной долгосрочной базы фондирования. Учитывая, что в БВУ имеется неснижаемый остаток при изъятии средств досрочно, а вклады физических лиц подлежат обязательному страхованию, банки вполне могут использовать их в течение заданного периода времени, что также позволяет рассматривать их в качестве стабильной базы фондирования. Если рассмотреть таблицу по обязательствам </w:t>
      </w:r>
      <w:r w:rsidRPr="00802D35">
        <w:rPr>
          <w:rFonts w:ascii="Times New Roman" w:hAnsi="Times New Roman"/>
          <w:bCs/>
          <w:sz w:val="28"/>
          <w:szCs w:val="28"/>
        </w:rPr>
        <w:t xml:space="preserve">доступного стабильного фондирования согласно пруденциального регулирования НБРК, то можно отметить, что даже срочные вклады не учитываются по 100%, а остатки на счетах вообще не рассматриваются в качестве устойчивого фондирования. </w:t>
      </w:r>
    </w:p>
    <w:p w:rsidR="004124D4" w:rsidRPr="00802D35" w:rsidRDefault="00566FE4" w:rsidP="006F7644">
      <w:pPr>
        <w:pStyle w:val="a3"/>
        <w:spacing w:after="0" w:line="240" w:lineRule="auto"/>
        <w:ind w:left="0" w:firstLine="567"/>
        <w:contextualSpacing w:val="0"/>
        <w:jc w:val="both"/>
        <w:rPr>
          <w:rFonts w:ascii="Times New Roman" w:hAnsi="Times New Roman" w:cs="Times New Roman"/>
          <w:b/>
          <w:sz w:val="28"/>
          <w:szCs w:val="28"/>
        </w:rPr>
      </w:pPr>
      <w:r w:rsidRPr="00802D35">
        <w:rPr>
          <w:rFonts w:ascii="Times New Roman" w:hAnsi="Times New Roman" w:cs="Times New Roman"/>
          <w:sz w:val="28"/>
          <w:szCs w:val="28"/>
        </w:rPr>
        <w:lastRenderedPageBreak/>
        <w:t xml:space="preserve">Таким образом, был предложен индекс качества фондирования, отражающий эффективность фондирования банка, который позволяет оценить политику банка и выявить оперативные проблемные зоны, которым следует уделить особое внимание. Так, высокая привлекательность </w:t>
      </w:r>
      <w:r w:rsidRPr="00802D35">
        <w:rPr>
          <w:rStyle w:val="HTML"/>
          <w:rFonts w:ascii="Times New Roman" w:hAnsi="Times New Roman" w:cs="Times New Roman"/>
          <w:i w:val="0"/>
          <w:sz w:val="28"/>
          <w:szCs w:val="28"/>
          <w:shd w:val="clear" w:color="auto" w:fill="FFFFFF"/>
        </w:rPr>
        <w:t>АО</w:t>
      </w:r>
      <w:r w:rsidRPr="00802D35">
        <w:rPr>
          <w:rStyle w:val="HTML"/>
          <w:rFonts w:ascii="Times New Roman" w:hAnsi="Times New Roman" w:cs="Times New Roman"/>
          <w:sz w:val="28"/>
          <w:szCs w:val="28"/>
          <w:shd w:val="clear" w:color="auto" w:fill="FFFFFF"/>
        </w:rPr>
        <w:t xml:space="preserve"> </w:t>
      </w:r>
      <w:r w:rsidRPr="00802D35">
        <w:rPr>
          <w:rFonts w:ascii="Times New Roman" w:hAnsi="Times New Roman" w:cs="Times New Roman"/>
          <w:color w:val="000000"/>
          <w:sz w:val="28"/>
          <w:szCs w:val="28"/>
          <w:shd w:val="clear" w:color="auto" w:fill="FFFFFF"/>
        </w:rPr>
        <w:t>Kaspi bank со стороны населения создает порой ложное впечатление о том, что банк более, чем остальные фондируется средствами розничных клиентов. Однако, проведенный анализ показал, что это далеко было не так и лишь в настоящее время банк смог выпрямить эту ситуацию, отойдя от инструментов фондирования с более высокой стоимостью.</w:t>
      </w:r>
    </w:p>
    <w:p w:rsidR="004124D4" w:rsidRPr="00802D35" w:rsidRDefault="004124D4" w:rsidP="00203A4B">
      <w:pPr>
        <w:pStyle w:val="a3"/>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cs="Times New Roman"/>
          <w:b/>
          <w:sz w:val="28"/>
          <w:szCs w:val="28"/>
        </w:rPr>
      </w:pPr>
      <w:r w:rsidRPr="00802D35">
        <w:rPr>
          <w:rFonts w:ascii="Times New Roman" w:hAnsi="Times New Roman" w:cs="Times New Roman"/>
          <w:b/>
          <w:sz w:val="28"/>
          <w:szCs w:val="28"/>
        </w:rPr>
        <w:t>Моделирование процесса фондирования посредством применения методов линейного и динамического программирования, теории игр и исследования операций, позволяющее оптимизировать направление средств фондирования, поступающих как в текущий момент времени, так и в рамках политики фондирования деятельности банка, а также максимизировать финансовые результаты при возможно минимальной стоимости фондирования.</w:t>
      </w:r>
    </w:p>
    <w:p w:rsidR="00FC792F" w:rsidRPr="00802D35" w:rsidRDefault="00FC792F" w:rsidP="00FC792F">
      <w:pPr>
        <w:tabs>
          <w:tab w:val="left" w:pos="993"/>
        </w:tabs>
        <w:spacing w:after="0" w:line="240" w:lineRule="auto"/>
        <w:ind w:firstLine="567"/>
        <w:jc w:val="both"/>
        <w:rPr>
          <w:rFonts w:ascii="Times New Roman" w:hAnsi="Times New Roman" w:cs="Times New Roman"/>
          <w:sz w:val="28"/>
          <w:szCs w:val="28"/>
        </w:rPr>
      </w:pPr>
      <w:r w:rsidRPr="00802D35">
        <w:rPr>
          <w:rFonts w:ascii="Times New Roman" w:hAnsi="Times New Roman" w:cs="Times New Roman"/>
          <w:sz w:val="28"/>
          <w:szCs w:val="28"/>
        </w:rPr>
        <w:t>Как правило, выбирая источники фондирования, банки руководствуются их стоимостью. Возможность получения более высоких процентов за использование полученных ресурсов становится целью формирования стратегии банковского фондирования. При этом, возникает своего рода противоречие: вознаграждения, которые банк старается получить от совершения активных операций, он стремится максимизировать, а вознаграждения, которые выплачивает по привлекаемым ресурсам – минимизировать. Иными словами, стоимость активов банк выбирает наивысшую, а стоимость фондирования наименьшую. Именно наличие  такого противоречия в процессе фондирования позволяет применять комбинации методов линейного и динамического программирования в статистическом моделировании, чтобы оптимизировать данные процессы: критерии А.Вальда, Брауна-Робинсона, А.Гурвица, Т.Байеса, Л.Сэвиджа, а также модель Р.Беллмана.</w:t>
      </w:r>
    </w:p>
    <w:p w:rsidR="00B8125A" w:rsidRPr="00802D35" w:rsidRDefault="00FC792F" w:rsidP="00FC792F">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802D35">
        <w:rPr>
          <w:rFonts w:ascii="Times New Roman" w:eastAsia="Times New Roman" w:hAnsi="Times New Roman" w:cs="Times New Roman"/>
          <w:bCs/>
          <w:sz w:val="28"/>
          <w:szCs w:val="28"/>
          <w:shd w:val="clear" w:color="auto" w:fill="FFFFFF"/>
          <w:lang w:eastAsia="ru-RU"/>
        </w:rPr>
        <w:t>Основными преимуществами применения предлагаемых нами моделей являются упрощение решения задач распределения ресурсов фондирования; оперативность решений по распределению фондирования; учет ограниченности, срочности и непрерывности процесса фондирования и максимизация доходности от распределения фондирования. Моделирование значительно упрощает проблемы распределения фондирования как на текущем этапе поступления средств, так и при разработке политики получения доходов банка.</w:t>
      </w:r>
    </w:p>
    <w:p w:rsidR="00705DF2" w:rsidRPr="00802D35" w:rsidRDefault="00705DF2" w:rsidP="004124D4">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p>
    <w:p w:rsidR="00705DF2" w:rsidRPr="00802D35" w:rsidRDefault="00705DF2" w:rsidP="004124D4">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p>
    <w:p w:rsidR="00705DF2" w:rsidRPr="00802D35" w:rsidRDefault="00705DF2" w:rsidP="004124D4">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p>
    <w:p w:rsidR="00705DF2" w:rsidRPr="00802D35" w:rsidRDefault="00705DF2" w:rsidP="004124D4">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p>
    <w:p w:rsidR="00705DF2" w:rsidRPr="00802D35" w:rsidRDefault="00705DF2" w:rsidP="004124D4">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p>
    <w:p w:rsidR="00705DF2" w:rsidRPr="00802D35" w:rsidRDefault="00705DF2" w:rsidP="004124D4">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p>
    <w:p w:rsidR="00705DF2" w:rsidRPr="00802D35" w:rsidRDefault="00705DF2" w:rsidP="00705DF2">
      <w:pPr>
        <w:widowControl w:val="0"/>
        <w:spacing w:after="0" w:line="240" w:lineRule="auto"/>
        <w:jc w:val="center"/>
        <w:rPr>
          <w:rFonts w:ascii="Times New Roman" w:hAnsi="Times New Roman" w:cs="Times New Roman"/>
          <w:b/>
          <w:sz w:val="28"/>
          <w:szCs w:val="28"/>
        </w:rPr>
      </w:pPr>
      <w:r w:rsidRPr="00802D35">
        <w:rPr>
          <w:rFonts w:ascii="Times New Roman" w:hAnsi="Times New Roman" w:cs="Times New Roman"/>
          <w:b/>
          <w:sz w:val="28"/>
          <w:szCs w:val="28"/>
        </w:rPr>
        <w:lastRenderedPageBreak/>
        <w:t>СПИСОК ИСПОЛЬЗОВАННЫХ ИСТОЧНИКОВ</w:t>
      </w:r>
    </w:p>
    <w:p w:rsidR="00705DF2" w:rsidRPr="00802D35" w:rsidRDefault="00705DF2" w:rsidP="00705DF2">
      <w:pPr>
        <w:widowControl w:val="0"/>
        <w:spacing w:after="0" w:line="240" w:lineRule="auto"/>
        <w:jc w:val="center"/>
        <w:rPr>
          <w:rFonts w:ascii="Times New Roman" w:hAnsi="Times New Roman" w:cs="Times New Roman"/>
          <w:b/>
          <w:sz w:val="28"/>
          <w:szCs w:val="28"/>
        </w:rPr>
      </w:pPr>
    </w:p>
    <w:p w:rsidR="000B0564" w:rsidRPr="00802D35" w:rsidRDefault="000B0564" w:rsidP="000B0564">
      <w:pPr>
        <w:pStyle w:val="a3"/>
        <w:widowControl w:val="0"/>
        <w:numPr>
          <w:ilvl w:val="0"/>
          <w:numId w:val="2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bCs/>
          <w:spacing w:val="-6"/>
          <w:sz w:val="28"/>
          <w:szCs w:val="28"/>
          <w:shd w:val="clear" w:color="auto" w:fill="FFFFFF"/>
        </w:rPr>
        <w:t xml:space="preserve">Послание   Н.А.Назарбаева  «Стратегия «Казахстан – 2050»: Новый политический курс состоявшегося государства» // </w:t>
      </w:r>
      <w:hyperlink r:id="rId105" w:history="1">
        <w:r w:rsidRPr="00802D35">
          <w:rPr>
            <w:rStyle w:val="a6"/>
            <w:rFonts w:ascii="Times New Roman" w:hAnsi="Times New Roman" w:cs="Times New Roman"/>
            <w:sz w:val="28"/>
            <w:szCs w:val="28"/>
          </w:rPr>
          <w:t>https://www.akorda.kz/ru/official_documents/strategies_and_programs</w:t>
        </w:r>
      </w:hyperlink>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sz w:val="28"/>
          <w:szCs w:val="28"/>
        </w:rPr>
      </w:pPr>
      <w:r w:rsidRPr="00802D35">
        <w:rPr>
          <w:rFonts w:ascii="Times New Roman" w:hAnsi="Times New Roman" w:cs="Times New Roman"/>
          <w:sz w:val="28"/>
          <w:szCs w:val="28"/>
        </w:rPr>
        <w:t>Кубанычбекова У.К. Оценка влияния банковского сектора на экономический рост // Территория науки. 2016. №2. URL: https://cyberleninka.ru/article/n/otsenka-vliyaniya-bankovskogo-sektora-na-ekonomicheskiy-rost (дата обращения: 21.11.2020).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sz w:val="28"/>
          <w:szCs w:val="28"/>
          <w:lang w:val="en-US"/>
        </w:rPr>
      </w:pPr>
      <w:r w:rsidRPr="00802D35">
        <w:rPr>
          <w:rFonts w:ascii="Times New Roman" w:hAnsi="Times New Roman" w:cs="Times New Roman"/>
          <w:sz w:val="28"/>
          <w:szCs w:val="28"/>
          <w:lang w:val="en-US"/>
        </w:rPr>
        <w:t>Berger, A N and C H Bouwman</w:t>
      </w:r>
      <w:r w:rsidR="000A006A"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lang w:val="en-US"/>
        </w:rPr>
        <w:t>Bank liquidity creation</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w:t>
      </w:r>
      <w:r w:rsidRPr="00802D35">
        <w:rPr>
          <w:rStyle w:val="a5"/>
          <w:rFonts w:ascii="Times New Roman" w:hAnsi="Times New Roman" w:cs="Times New Roman"/>
          <w:i w:val="0"/>
          <w:sz w:val="28"/>
          <w:szCs w:val="28"/>
          <w:bdr w:val="none" w:sz="0" w:space="0" w:color="auto" w:frame="1"/>
          <w:lang w:val="en-US"/>
        </w:rPr>
        <w:t>Review of Financial Studies</w:t>
      </w:r>
      <w:r w:rsidR="000A006A" w:rsidRPr="00802D35">
        <w:rPr>
          <w:rFonts w:ascii="Times New Roman" w:hAnsi="Times New Roman" w:cs="Times New Roman"/>
          <w:sz w:val="28"/>
          <w:szCs w:val="28"/>
          <w:lang w:val="en-US"/>
        </w:rPr>
        <w:t>, 2009. - №</w:t>
      </w:r>
      <w:r w:rsidRPr="00802D35">
        <w:rPr>
          <w:rFonts w:ascii="Times New Roman" w:hAnsi="Times New Roman" w:cs="Times New Roman"/>
          <w:sz w:val="28"/>
          <w:szCs w:val="28"/>
          <w:lang w:val="en-US"/>
        </w:rPr>
        <w:t> 22(9)</w:t>
      </w:r>
      <w:r w:rsidR="000A006A" w:rsidRPr="00802D35">
        <w:rPr>
          <w:rFonts w:ascii="Times New Roman" w:hAnsi="Times New Roman" w:cs="Times New Roman"/>
          <w:sz w:val="28"/>
          <w:szCs w:val="28"/>
          <w:lang w:val="en-US"/>
        </w:rPr>
        <w:t xml:space="preserve">. – </w:t>
      </w:r>
      <w:r w:rsidR="000A006A" w:rsidRPr="00802D35">
        <w:rPr>
          <w:rFonts w:ascii="Times New Roman" w:hAnsi="Times New Roman" w:cs="Times New Roman"/>
          <w:sz w:val="28"/>
          <w:szCs w:val="28"/>
        </w:rPr>
        <w:t>рр</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3779–3837.</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iCs/>
          <w:sz w:val="28"/>
          <w:szCs w:val="28"/>
          <w:shd w:val="clear" w:color="auto" w:fill="FFFFFF"/>
        </w:rPr>
        <w:t>Гасанова М. М. Роль коммерческих банков в современной экономике и перспективы его развития // Научно-методический электронный журнал «Концепт»</w:t>
      </w:r>
      <w:r w:rsidR="000A006A" w:rsidRPr="00802D35">
        <w:rPr>
          <w:rFonts w:ascii="Times New Roman" w:hAnsi="Times New Roman" w:cs="Times New Roman"/>
          <w:iCs/>
          <w:sz w:val="28"/>
          <w:szCs w:val="28"/>
          <w:shd w:val="clear" w:color="auto" w:fill="FFFFFF"/>
        </w:rPr>
        <w:t xml:space="preserve">, </w:t>
      </w:r>
      <w:r w:rsidRPr="00802D35">
        <w:rPr>
          <w:rFonts w:ascii="Times New Roman" w:hAnsi="Times New Roman" w:cs="Times New Roman"/>
          <w:iCs/>
          <w:sz w:val="28"/>
          <w:szCs w:val="28"/>
          <w:shd w:val="clear" w:color="auto" w:fill="FFFFFF"/>
        </w:rPr>
        <w:t>2016. – Т. 2. – С. 131–135.</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Tenant, D., Kirton, C., and Abdulkadri, A. Modelling the effects of financial sector functions on economic growth in a developing country: a cointegration and error correction approach</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Journal of Developing Areas, </w:t>
      </w:r>
      <w:r w:rsidR="000A006A" w:rsidRPr="00802D35">
        <w:rPr>
          <w:rFonts w:ascii="Times New Roman" w:hAnsi="Times New Roman" w:cs="Times New Roman"/>
          <w:sz w:val="28"/>
          <w:szCs w:val="28"/>
          <w:lang w:val="en-US"/>
        </w:rPr>
        <w:t>2010. - №</w:t>
      </w:r>
      <w:r w:rsidRPr="00802D35">
        <w:rPr>
          <w:rFonts w:ascii="Times New Roman" w:hAnsi="Times New Roman" w:cs="Times New Roman"/>
          <w:sz w:val="28"/>
          <w:szCs w:val="28"/>
          <w:lang w:val="en-US"/>
        </w:rPr>
        <w:t>44(1)</w:t>
      </w:r>
      <w:r w:rsidR="000A006A" w:rsidRPr="00802D35">
        <w:rPr>
          <w:rFonts w:ascii="Times New Roman" w:hAnsi="Times New Roman" w:cs="Times New Roman"/>
          <w:sz w:val="28"/>
          <w:szCs w:val="28"/>
          <w:lang w:val="en-US"/>
        </w:rPr>
        <w:t xml:space="preserve">. – </w:t>
      </w:r>
      <w:r w:rsidR="000A006A" w:rsidRPr="00802D35">
        <w:rPr>
          <w:rFonts w:ascii="Times New Roman" w:hAnsi="Times New Roman" w:cs="Times New Roman"/>
          <w:sz w:val="28"/>
          <w:szCs w:val="28"/>
        </w:rPr>
        <w:t>рр</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183-204.</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 xml:space="preserve">Arcand, J L, E Berkes and U Panizza  Too much </w:t>
      </w:r>
      <w:r w:rsidRPr="00802D35">
        <w:rPr>
          <w:rFonts w:ascii="Times New Roman" w:hAnsi="Times New Roman" w:cs="Times New Roman"/>
          <w:sz w:val="28"/>
          <w:szCs w:val="28"/>
        </w:rPr>
        <w:t>ﬁ</w:t>
      </w:r>
      <w:r w:rsidRPr="00802D35">
        <w:rPr>
          <w:rFonts w:ascii="Times New Roman" w:hAnsi="Times New Roman" w:cs="Times New Roman"/>
          <w:sz w:val="28"/>
          <w:szCs w:val="28"/>
          <w:lang w:val="en-US"/>
        </w:rPr>
        <w:t>nance?</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w:t>
      </w:r>
      <w:r w:rsidRPr="00802D35">
        <w:rPr>
          <w:rStyle w:val="a5"/>
          <w:rFonts w:ascii="Times New Roman" w:hAnsi="Times New Roman" w:cs="Times New Roman"/>
          <w:i w:val="0"/>
          <w:sz w:val="28"/>
          <w:szCs w:val="28"/>
          <w:bdr w:val="none" w:sz="0" w:space="0" w:color="auto" w:frame="1"/>
          <w:lang w:val="en-US"/>
        </w:rPr>
        <w:t>Journal of Economic Growth</w:t>
      </w:r>
      <w:r w:rsidR="000A006A" w:rsidRPr="00802D35">
        <w:rPr>
          <w:rStyle w:val="a5"/>
          <w:rFonts w:ascii="Times New Roman" w:hAnsi="Times New Roman" w:cs="Times New Roman"/>
          <w:i w:val="0"/>
          <w:sz w:val="28"/>
          <w:szCs w:val="28"/>
          <w:bdr w:val="none" w:sz="0" w:space="0" w:color="auto" w:frame="1"/>
          <w:lang w:val="en-US"/>
        </w:rPr>
        <w:t xml:space="preserve">, </w:t>
      </w:r>
      <w:r w:rsidR="000A006A" w:rsidRPr="00802D35">
        <w:rPr>
          <w:rFonts w:ascii="Times New Roman" w:hAnsi="Times New Roman" w:cs="Times New Roman"/>
          <w:sz w:val="28"/>
          <w:szCs w:val="28"/>
          <w:lang w:val="en-US"/>
        </w:rPr>
        <w:t>2015. - №</w:t>
      </w:r>
      <w:r w:rsidRPr="00802D35">
        <w:rPr>
          <w:rFonts w:ascii="Times New Roman" w:hAnsi="Times New Roman" w:cs="Times New Roman"/>
          <w:sz w:val="28"/>
          <w:szCs w:val="28"/>
          <w:lang w:val="en-US"/>
        </w:rPr>
        <w:t> 20(2)</w:t>
      </w:r>
      <w:r w:rsidR="000A006A" w:rsidRPr="00802D35">
        <w:rPr>
          <w:rFonts w:ascii="Times New Roman" w:hAnsi="Times New Roman" w:cs="Times New Roman"/>
          <w:sz w:val="28"/>
          <w:szCs w:val="28"/>
          <w:lang w:val="en-US"/>
        </w:rPr>
        <w:t xml:space="preserve">. – </w:t>
      </w:r>
      <w:r w:rsidR="000A006A" w:rsidRPr="00802D35">
        <w:rPr>
          <w:rFonts w:ascii="Times New Roman" w:hAnsi="Times New Roman" w:cs="Times New Roman"/>
          <w:sz w:val="28"/>
          <w:szCs w:val="28"/>
        </w:rPr>
        <w:t>рр</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105–148.</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Petkovski, M., and Kjosevski, J., Does banking sector development promote economic growth? An empirical analysis for selected countries in Central and South Eastern Europe</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Economic Research, </w:t>
      </w:r>
      <w:r w:rsidR="000A006A" w:rsidRPr="00802D35">
        <w:rPr>
          <w:rFonts w:ascii="Times New Roman" w:hAnsi="Times New Roman" w:cs="Times New Roman"/>
          <w:sz w:val="28"/>
          <w:szCs w:val="28"/>
          <w:lang w:val="en-US"/>
        </w:rPr>
        <w:t>2014. - №</w:t>
      </w:r>
      <w:r w:rsidRPr="00802D35">
        <w:rPr>
          <w:rFonts w:ascii="Times New Roman" w:hAnsi="Times New Roman" w:cs="Times New Roman"/>
          <w:sz w:val="28"/>
          <w:szCs w:val="28"/>
          <w:lang w:val="en-US"/>
        </w:rPr>
        <w:t>27</w:t>
      </w:r>
      <w:r w:rsidR="000A006A" w:rsidRPr="00802D35">
        <w:rPr>
          <w:rFonts w:ascii="Times New Roman" w:hAnsi="Times New Roman" w:cs="Times New Roman"/>
          <w:sz w:val="28"/>
          <w:szCs w:val="28"/>
          <w:lang w:val="en-US"/>
        </w:rPr>
        <w:t xml:space="preserve">. – </w:t>
      </w:r>
      <w:r w:rsidR="000A006A" w:rsidRPr="00802D35">
        <w:rPr>
          <w:rFonts w:ascii="Times New Roman" w:hAnsi="Times New Roman" w:cs="Times New Roman"/>
          <w:sz w:val="28"/>
          <w:szCs w:val="28"/>
        </w:rPr>
        <w:t>рр</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55-66.</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lang w:val="en-US"/>
        </w:rPr>
        <w:t xml:space="preserve">Emily Beau </w:t>
      </w:r>
      <w:r w:rsidRPr="00802D35">
        <w:rPr>
          <w:rFonts w:ascii="Times New Roman" w:hAnsi="Times New Roman" w:cs="Times New Roman"/>
          <w:sz w:val="28"/>
          <w:szCs w:val="28"/>
        </w:rPr>
        <w:t>и</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др</w:t>
      </w:r>
      <w:r w:rsidRPr="00802D35">
        <w:rPr>
          <w:rFonts w:ascii="Times New Roman" w:hAnsi="Times New Roman" w:cs="Times New Roman"/>
          <w:sz w:val="28"/>
          <w:szCs w:val="28"/>
          <w:lang w:val="en-US"/>
        </w:rPr>
        <w:t xml:space="preserve">. Bank funding costs: what are they, what determines them and why do they matter?// </w:t>
      </w:r>
      <w:r w:rsidRPr="00802D35">
        <w:rPr>
          <w:rFonts w:ascii="Times New Roman" w:hAnsi="Times New Roman" w:cs="Times New Roman"/>
          <w:sz w:val="28"/>
          <w:szCs w:val="28"/>
        </w:rPr>
        <w:t>Quarterly Bulletin</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 xml:space="preserve"> 2014</w:t>
      </w:r>
      <w:r w:rsidR="000A006A" w:rsidRPr="00802D35">
        <w:rPr>
          <w:rFonts w:ascii="Times New Roman" w:hAnsi="Times New Roman" w:cs="Times New Roman"/>
          <w:sz w:val="28"/>
          <w:szCs w:val="28"/>
        </w:rPr>
        <w:t>. -</w:t>
      </w:r>
      <w:r w:rsidRPr="00802D35">
        <w:rPr>
          <w:rFonts w:ascii="Times New Roman" w:hAnsi="Times New Roman" w:cs="Times New Roman"/>
          <w:sz w:val="28"/>
          <w:szCs w:val="28"/>
        </w:rPr>
        <w:t xml:space="preserve"> Q4. – 15 с.</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 xml:space="preserve">Annaria Magdalena </w:t>
      </w:r>
      <w:r w:rsidRPr="00802D35">
        <w:rPr>
          <w:rFonts w:ascii="Times New Roman" w:hAnsi="Times New Roman" w:cs="Times New Roman"/>
          <w:sz w:val="28"/>
          <w:szCs w:val="28"/>
        </w:rPr>
        <w:t>и</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др</w:t>
      </w:r>
      <w:r w:rsidRPr="00802D35">
        <w:rPr>
          <w:rFonts w:ascii="Times New Roman" w:hAnsi="Times New Roman" w:cs="Times New Roman"/>
          <w:sz w:val="28"/>
          <w:szCs w:val="28"/>
          <w:lang w:val="en-US"/>
        </w:rPr>
        <w:t>. The effects of bank funds sources on bank profitability in Indonesia stock exchange // Jurnal Aplikasi Ekonomi, Akuntansi dan Bisnis</w:t>
      </w:r>
      <w:r w:rsidR="000A006A" w:rsidRPr="00802D35">
        <w:rPr>
          <w:rFonts w:ascii="Times New Roman" w:hAnsi="Times New Roman" w:cs="Times New Roman"/>
          <w:sz w:val="28"/>
          <w:szCs w:val="28"/>
          <w:lang w:val="en-US"/>
        </w:rPr>
        <w:t>, 2019. -</w:t>
      </w:r>
      <w:r w:rsidRPr="00802D35">
        <w:rPr>
          <w:rFonts w:ascii="Times New Roman" w:hAnsi="Times New Roman" w:cs="Times New Roman"/>
          <w:sz w:val="28"/>
          <w:szCs w:val="28"/>
          <w:lang w:val="en-US"/>
        </w:rPr>
        <w:t xml:space="preserve"> Vol. 1</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2</w:t>
      </w:r>
      <w:r w:rsidR="000A006A" w:rsidRPr="00802D35">
        <w:rPr>
          <w:rFonts w:ascii="Times New Roman" w:hAnsi="Times New Roman" w:cs="Times New Roman"/>
          <w:sz w:val="28"/>
          <w:szCs w:val="28"/>
          <w:lang w:val="en-US"/>
        </w:rPr>
        <w:t xml:space="preserve">. - </w:t>
      </w:r>
      <w:r w:rsidR="000A006A" w:rsidRPr="00802D35">
        <w:rPr>
          <w:rFonts w:ascii="Times New Roman" w:hAnsi="Times New Roman" w:cs="Times New Roman"/>
          <w:sz w:val="28"/>
          <w:szCs w:val="28"/>
        </w:rPr>
        <w:t>рр</w:t>
      </w:r>
      <w:r w:rsidRPr="00802D35">
        <w:rPr>
          <w:rFonts w:ascii="Times New Roman" w:hAnsi="Times New Roman" w:cs="Times New Roman"/>
          <w:sz w:val="28"/>
          <w:szCs w:val="28"/>
          <w:lang w:val="en-US"/>
        </w:rPr>
        <w:t>.90-98.</w:t>
      </w:r>
    </w:p>
    <w:p w:rsidR="00705DF2" w:rsidRPr="00802D35" w:rsidRDefault="00705DF2" w:rsidP="000A006A">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lang w:val="en-US"/>
        </w:rPr>
      </w:pPr>
      <w:r w:rsidRPr="00802D35">
        <w:rPr>
          <w:rFonts w:ascii="Times New Roman" w:hAnsi="Times New Roman" w:cs="Times New Roman"/>
          <w:sz w:val="28"/>
          <w:szCs w:val="28"/>
          <w:lang w:val="en-US"/>
        </w:rPr>
        <w:t xml:space="preserve">Abdlhakim Mahfud Sources and Uses of Funds in the Libyan Commercial Banks// eXclusive e-JOURNAL ISSN 1339-4509 </w:t>
      </w:r>
      <w:hyperlink r:id="rId106" w:history="1">
        <w:r w:rsidRPr="00802D35">
          <w:rPr>
            <w:rStyle w:val="a6"/>
            <w:rFonts w:ascii="Times New Roman" w:hAnsi="Times New Roman" w:cs="Times New Roman"/>
            <w:color w:val="auto"/>
            <w:sz w:val="28"/>
            <w:szCs w:val="28"/>
            <w:lang w:val="en-US"/>
          </w:rPr>
          <w:t>https://exclusiveejournal.sk/files/files/10/54/53/896653d1a6c844e4b16c221f7866f1ad/896653d1a6c844e4b16c221f7866f1ad.pdf</w:t>
        </w:r>
      </w:hyperlink>
      <w:r w:rsidR="00032905" w:rsidRPr="00802D35">
        <w:rPr>
          <w:rStyle w:val="a6"/>
          <w:rFonts w:ascii="Times New Roman" w:hAnsi="Times New Roman" w:cs="Times New Roman"/>
          <w:color w:val="auto"/>
          <w:sz w:val="28"/>
          <w:szCs w:val="28"/>
          <w:lang w:val="en-US"/>
        </w:rPr>
        <w:t xml:space="preserve"> </w:t>
      </w:r>
      <w:r w:rsidR="00032905" w:rsidRPr="00802D35">
        <w:rPr>
          <w:rFonts w:ascii="Times New Roman" w:hAnsi="Times New Roman" w:cs="Times New Roman"/>
          <w:sz w:val="28"/>
          <w:szCs w:val="28"/>
          <w:lang w:val="en-US"/>
        </w:rPr>
        <w:t>(</w:t>
      </w:r>
      <w:r w:rsidR="00032905" w:rsidRPr="00802D35">
        <w:rPr>
          <w:rFonts w:ascii="Times New Roman" w:hAnsi="Times New Roman" w:cs="Times New Roman"/>
          <w:sz w:val="28"/>
          <w:szCs w:val="28"/>
        </w:rPr>
        <w:t>дата</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обращения</w:t>
      </w:r>
      <w:r w:rsidR="00032905" w:rsidRPr="00802D35">
        <w:rPr>
          <w:rFonts w:ascii="Times New Roman" w:hAnsi="Times New Roman" w:cs="Times New Roman"/>
          <w:sz w:val="28"/>
          <w:szCs w:val="28"/>
          <w:lang w:val="en-US"/>
        </w:rPr>
        <w:t>: 25.08.2020).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 xml:space="preserve">Kamrul Hasan </w:t>
      </w:r>
      <w:r w:rsidRPr="00802D35">
        <w:rPr>
          <w:rFonts w:ascii="Times New Roman" w:hAnsi="Times New Roman" w:cs="Times New Roman"/>
          <w:sz w:val="28"/>
          <w:szCs w:val="28"/>
        </w:rPr>
        <w:t>и</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др</w:t>
      </w:r>
      <w:r w:rsidRPr="00802D35">
        <w:rPr>
          <w:rFonts w:ascii="Times New Roman" w:hAnsi="Times New Roman" w:cs="Times New Roman"/>
          <w:sz w:val="28"/>
          <w:szCs w:val="28"/>
          <w:lang w:val="en-US"/>
        </w:rPr>
        <w:t>. Impact of Fund Management on Banks liquidity, Profitability and Productivity -A Study on Some selected Private Commercial Banks in Bangladesh// International Academic Research Journal of Economics and Finance</w:t>
      </w:r>
      <w:r w:rsidR="000A006A" w:rsidRPr="00802D35">
        <w:rPr>
          <w:rFonts w:ascii="Times New Roman" w:hAnsi="Times New Roman" w:cs="Times New Roman"/>
          <w:sz w:val="28"/>
          <w:szCs w:val="28"/>
          <w:lang w:val="en-US"/>
        </w:rPr>
        <w:t>, 2016. -</w:t>
      </w:r>
      <w:r w:rsidRPr="00802D35">
        <w:rPr>
          <w:rFonts w:ascii="Times New Roman" w:hAnsi="Times New Roman" w:cs="Times New Roman"/>
          <w:sz w:val="28"/>
          <w:szCs w:val="28"/>
          <w:lang w:val="en-US"/>
        </w:rPr>
        <w:t xml:space="preserve"> Vol.</w:t>
      </w:r>
      <w:r w:rsidR="000A006A"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lang w:val="en-US"/>
        </w:rPr>
        <w:t>1, Issue 3</w:t>
      </w:r>
      <w:r w:rsidR="000A006A" w:rsidRPr="00802D35">
        <w:rPr>
          <w:rFonts w:ascii="Times New Roman" w:hAnsi="Times New Roman" w:cs="Times New Roman"/>
          <w:sz w:val="28"/>
          <w:szCs w:val="28"/>
          <w:lang w:val="en-US"/>
        </w:rPr>
        <w:t xml:space="preserve">. - </w:t>
      </w:r>
      <w:r w:rsidRPr="00802D35">
        <w:rPr>
          <w:rFonts w:ascii="Times New Roman" w:hAnsi="Times New Roman" w:cs="Times New Roman"/>
          <w:sz w:val="28"/>
          <w:szCs w:val="28"/>
          <w:lang w:val="en-US"/>
        </w:rPr>
        <w:t xml:space="preserve"> </w:t>
      </w:r>
      <w:r w:rsidR="000A006A" w:rsidRPr="00802D35">
        <w:rPr>
          <w:rFonts w:ascii="Times New Roman" w:hAnsi="Times New Roman" w:cs="Times New Roman"/>
          <w:sz w:val="28"/>
          <w:szCs w:val="28"/>
        </w:rPr>
        <w:t>рр</w:t>
      </w:r>
      <w:r w:rsidRPr="00802D35">
        <w:rPr>
          <w:rFonts w:ascii="Times New Roman" w:hAnsi="Times New Roman" w:cs="Times New Roman"/>
          <w:sz w:val="28"/>
          <w:szCs w:val="28"/>
          <w:lang w:val="en-US"/>
        </w:rPr>
        <w:t>.16-35.</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 xml:space="preserve">Abdel Wadoud Moustafa Moursi El-Seoudi </w:t>
      </w:r>
      <w:r w:rsidRPr="00802D35">
        <w:rPr>
          <w:rFonts w:ascii="Times New Roman" w:hAnsi="Times New Roman" w:cs="Times New Roman"/>
          <w:sz w:val="28"/>
          <w:szCs w:val="28"/>
        </w:rPr>
        <w:t>и</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др</w:t>
      </w:r>
      <w:r w:rsidRPr="00802D35">
        <w:rPr>
          <w:rFonts w:ascii="Times New Roman" w:hAnsi="Times New Roman" w:cs="Times New Roman"/>
          <w:sz w:val="28"/>
          <w:szCs w:val="28"/>
          <w:lang w:val="en-US"/>
        </w:rPr>
        <w:t xml:space="preserve">. Sources of funds and invested in Malaysian Islamic Banks// Advances in Natural and Applied Sciences, </w:t>
      </w:r>
      <w:r w:rsidR="000A006A" w:rsidRPr="00802D35">
        <w:rPr>
          <w:rFonts w:ascii="Times New Roman" w:hAnsi="Times New Roman" w:cs="Times New Roman"/>
          <w:sz w:val="28"/>
          <w:szCs w:val="28"/>
          <w:lang w:val="en-US"/>
        </w:rPr>
        <w:t xml:space="preserve"> 2012. - №</w:t>
      </w:r>
      <w:r w:rsidRPr="00802D35">
        <w:rPr>
          <w:rFonts w:ascii="Times New Roman" w:hAnsi="Times New Roman" w:cs="Times New Roman"/>
          <w:sz w:val="28"/>
          <w:szCs w:val="28"/>
          <w:lang w:val="en-US"/>
        </w:rPr>
        <w:t>6(7)</w:t>
      </w:r>
      <w:r w:rsidR="000A006A" w:rsidRPr="00802D35">
        <w:rPr>
          <w:rFonts w:ascii="Times New Roman" w:hAnsi="Times New Roman" w:cs="Times New Roman"/>
          <w:sz w:val="28"/>
          <w:szCs w:val="28"/>
          <w:lang w:val="en-US"/>
        </w:rPr>
        <w:t xml:space="preserve">. – </w:t>
      </w:r>
      <w:r w:rsidR="000A006A" w:rsidRPr="00802D35">
        <w:rPr>
          <w:rFonts w:ascii="Times New Roman" w:hAnsi="Times New Roman" w:cs="Times New Roman"/>
          <w:sz w:val="28"/>
          <w:szCs w:val="28"/>
        </w:rPr>
        <w:t>рр</w:t>
      </w:r>
      <w:r w:rsidR="000A006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1130-1135 ISSN 1995-0772.</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Пинягин Ю. Международное банковское финансирование: актуальное состояние и проблемы// Банковский вестник, Снежань 2015. – С.47-57.</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И.И.Можанова, О. А. Антонюк Совершенствование подходов к оценке финансовой устойчивости банка// Финансовый журнал / Financial journal </w:t>
      </w:r>
      <w:r w:rsidR="000A006A" w:rsidRPr="00802D35">
        <w:rPr>
          <w:rFonts w:ascii="Times New Roman" w:hAnsi="Times New Roman" w:cs="Times New Roman"/>
          <w:sz w:val="28"/>
          <w:szCs w:val="28"/>
        </w:rPr>
        <w:t xml:space="preserve">2014. - </w:t>
      </w:r>
      <w:r w:rsidRPr="00802D35">
        <w:rPr>
          <w:rFonts w:ascii="Times New Roman" w:hAnsi="Times New Roman" w:cs="Times New Roman"/>
          <w:sz w:val="28"/>
          <w:szCs w:val="28"/>
        </w:rPr>
        <w:t>№1– С.141-146.</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lastRenderedPageBreak/>
        <w:t>Суровнева К.А Анализ современных тенденций в структуре фондирования российской банковской системы// Известия СПбГЭУ</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 xml:space="preserve"> 2016. </w:t>
      </w:r>
      <w:r w:rsidR="000A006A" w:rsidRPr="00802D35">
        <w:rPr>
          <w:rFonts w:ascii="Times New Roman" w:hAnsi="Times New Roman" w:cs="Times New Roman"/>
          <w:sz w:val="28"/>
          <w:szCs w:val="28"/>
        </w:rPr>
        <w:t xml:space="preserve">- </w:t>
      </w:r>
      <w:r w:rsidRPr="00802D35">
        <w:rPr>
          <w:rFonts w:ascii="Times New Roman" w:hAnsi="Times New Roman" w:cs="Times New Roman"/>
          <w:sz w:val="28"/>
          <w:szCs w:val="28"/>
        </w:rPr>
        <w:t>№4 (100). – С.167-172.</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Давыдов М.Ш. Депозитная политика как базовый элемент фондирования коммерческого банка// Academy</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 xml:space="preserve"> 2018. </w:t>
      </w:r>
      <w:r w:rsidR="000A006A" w:rsidRPr="00802D35">
        <w:rPr>
          <w:rFonts w:ascii="Times New Roman" w:hAnsi="Times New Roman" w:cs="Times New Roman"/>
          <w:sz w:val="28"/>
          <w:szCs w:val="28"/>
        </w:rPr>
        <w:t xml:space="preserve">- </w:t>
      </w:r>
      <w:r w:rsidRPr="00802D35">
        <w:rPr>
          <w:rFonts w:ascii="Times New Roman" w:hAnsi="Times New Roman" w:cs="Times New Roman"/>
          <w:sz w:val="28"/>
          <w:szCs w:val="28"/>
        </w:rPr>
        <w:t>№10 (37). – С.25-31.</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Потомова С.А Перспективы секьюритизации как источника фондирования ипотечных кредитов в современных условиях // Россия: тенденции и перспективы развития</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 xml:space="preserve"> 2019. </w:t>
      </w:r>
      <w:r w:rsidR="000A006A" w:rsidRPr="00802D35">
        <w:rPr>
          <w:rFonts w:ascii="Times New Roman" w:hAnsi="Times New Roman" w:cs="Times New Roman"/>
          <w:sz w:val="28"/>
          <w:szCs w:val="28"/>
        </w:rPr>
        <w:t xml:space="preserve">- </w:t>
      </w:r>
      <w:r w:rsidRPr="00802D35">
        <w:rPr>
          <w:rFonts w:ascii="Times New Roman" w:hAnsi="Times New Roman" w:cs="Times New Roman"/>
          <w:sz w:val="28"/>
          <w:szCs w:val="28"/>
        </w:rPr>
        <w:t>№14-1.- С.374-377.</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А.В. Каштанов Фондирование как метод внутреннего (трансфертного) ценообразования в банковской деятельности// Экономические науки</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 xml:space="preserve"> 2011</w:t>
      </w:r>
      <w:r w:rsidR="000A006A" w:rsidRPr="00802D35">
        <w:rPr>
          <w:rFonts w:ascii="Times New Roman" w:hAnsi="Times New Roman" w:cs="Times New Roman"/>
          <w:sz w:val="28"/>
          <w:szCs w:val="28"/>
        </w:rPr>
        <w:t xml:space="preserve">. = </w:t>
      </w:r>
      <w:r w:rsidRPr="00802D35">
        <w:rPr>
          <w:rFonts w:ascii="Times New Roman" w:hAnsi="Times New Roman" w:cs="Times New Roman"/>
          <w:sz w:val="28"/>
          <w:szCs w:val="28"/>
        </w:rPr>
        <w:t xml:space="preserve"> </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5(78). – С.315-319.</w:t>
      </w:r>
    </w:p>
    <w:p w:rsidR="00705DF2" w:rsidRPr="00802D35" w:rsidRDefault="00705DF2" w:rsidP="000A006A">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rPr>
      </w:pPr>
      <w:r w:rsidRPr="00802D35">
        <w:rPr>
          <w:rFonts w:ascii="Times New Roman" w:hAnsi="Times New Roman" w:cs="Times New Roman"/>
          <w:sz w:val="28"/>
          <w:szCs w:val="28"/>
        </w:rPr>
        <w:t xml:space="preserve">Носова Т.П., Назаретян К.А., Кумпилов Н.Т. Влияние санкций на источники фондирования российских банков// Научный журнал КубГАУ, </w:t>
      </w:r>
      <w:r w:rsidR="000A006A" w:rsidRPr="00802D35">
        <w:rPr>
          <w:rFonts w:ascii="Times New Roman" w:hAnsi="Times New Roman" w:cs="Times New Roman"/>
          <w:sz w:val="28"/>
          <w:szCs w:val="28"/>
        </w:rPr>
        <w:t>2017.</w:t>
      </w:r>
      <w:r w:rsidR="00E97FF6" w:rsidRPr="00802D35">
        <w:rPr>
          <w:rFonts w:ascii="Times New Roman" w:hAnsi="Times New Roman" w:cs="Times New Roman"/>
          <w:sz w:val="28"/>
          <w:szCs w:val="28"/>
        </w:rPr>
        <w:t xml:space="preserve"> </w:t>
      </w:r>
      <w:r w:rsidR="000A006A" w:rsidRPr="00802D35">
        <w:rPr>
          <w:rFonts w:ascii="Times New Roman" w:hAnsi="Times New Roman" w:cs="Times New Roman"/>
          <w:sz w:val="28"/>
          <w:szCs w:val="28"/>
        </w:rPr>
        <w:t xml:space="preserve">- </w:t>
      </w:r>
      <w:r w:rsidRPr="00802D35">
        <w:rPr>
          <w:rFonts w:ascii="Times New Roman" w:hAnsi="Times New Roman" w:cs="Times New Roman"/>
          <w:sz w:val="28"/>
          <w:szCs w:val="28"/>
        </w:rPr>
        <w:t>№130(06) Doi: 10.21515/1990-4665-130-048</w:t>
      </w:r>
      <w:r w:rsidR="000A006A" w:rsidRPr="00802D35">
        <w:rPr>
          <w:rFonts w:ascii="Times New Roman" w:hAnsi="Times New Roman" w:cs="Times New Roman"/>
          <w:sz w:val="28"/>
          <w:szCs w:val="28"/>
        </w:rPr>
        <w:t xml:space="preserve"> </w:t>
      </w:r>
      <w:hyperlink r:id="rId107" w:history="1">
        <w:r w:rsidRPr="00802D35">
          <w:rPr>
            <w:rStyle w:val="a6"/>
            <w:rFonts w:ascii="Times New Roman" w:hAnsi="Times New Roman" w:cs="Times New Roman"/>
            <w:color w:val="auto"/>
            <w:sz w:val="28"/>
            <w:szCs w:val="28"/>
          </w:rPr>
          <w:t>http://ej.kubagro.ru/2017/06/pdf/48.pdf</w:t>
        </w:r>
      </w:hyperlink>
      <w:r w:rsidR="00032905" w:rsidRPr="00802D35">
        <w:rPr>
          <w:rStyle w:val="a6"/>
          <w:rFonts w:ascii="Times New Roman" w:hAnsi="Times New Roman" w:cs="Times New Roman"/>
          <w:color w:val="auto"/>
          <w:sz w:val="28"/>
          <w:szCs w:val="28"/>
        </w:rPr>
        <w:t xml:space="preserve"> </w:t>
      </w:r>
      <w:r w:rsidR="00032905" w:rsidRPr="00802D35">
        <w:rPr>
          <w:rFonts w:ascii="Times New Roman" w:hAnsi="Times New Roman" w:cs="Times New Roman"/>
          <w:sz w:val="28"/>
          <w:szCs w:val="28"/>
        </w:rPr>
        <w:t>(дата обращения: 05.09.2020).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Шляпин А.П. </w:t>
      </w:r>
      <w:r w:rsidRPr="00802D35">
        <w:rPr>
          <w:rFonts w:ascii="Times New Roman" w:hAnsi="Times New Roman" w:cs="Times New Roman"/>
          <w:bCs/>
          <w:sz w:val="28"/>
          <w:szCs w:val="28"/>
        </w:rPr>
        <w:t>Методы статистической оценки эффективности бизнес-подразделений банка в рамках концепции трансфертного ценообразования//</w:t>
      </w:r>
      <w:r w:rsidRPr="00802D35">
        <w:rPr>
          <w:rFonts w:ascii="Times New Roman" w:hAnsi="Times New Roman" w:cs="Times New Roman"/>
          <w:bCs/>
          <w:iCs/>
          <w:sz w:val="28"/>
          <w:szCs w:val="28"/>
        </w:rPr>
        <w:t xml:space="preserve"> Экономические науки</w:t>
      </w:r>
      <w:r w:rsidR="000A006A" w:rsidRPr="00802D35">
        <w:rPr>
          <w:rFonts w:ascii="Times New Roman" w:hAnsi="Times New Roman" w:cs="Times New Roman"/>
          <w:bCs/>
          <w:iCs/>
          <w:sz w:val="28"/>
          <w:szCs w:val="28"/>
        </w:rPr>
        <w:t>,</w:t>
      </w:r>
      <w:r w:rsidRPr="00802D35">
        <w:rPr>
          <w:rFonts w:ascii="Times New Roman" w:hAnsi="Times New Roman" w:cs="Times New Roman"/>
          <w:bCs/>
          <w:iCs/>
          <w:sz w:val="28"/>
          <w:szCs w:val="28"/>
        </w:rPr>
        <w:t xml:space="preserve"> </w:t>
      </w:r>
      <w:r w:rsidRPr="00802D35">
        <w:rPr>
          <w:rFonts w:ascii="Times New Roman" w:hAnsi="Times New Roman" w:cs="Times New Roman"/>
          <w:sz w:val="28"/>
          <w:szCs w:val="28"/>
        </w:rPr>
        <w:t>2013</w:t>
      </w:r>
      <w:r w:rsidR="000A006A" w:rsidRPr="00802D35">
        <w:rPr>
          <w:rFonts w:ascii="Times New Roman" w:hAnsi="Times New Roman" w:cs="Times New Roman"/>
          <w:sz w:val="28"/>
          <w:szCs w:val="28"/>
        </w:rPr>
        <w:t>. -</w:t>
      </w:r>
      <w:r w:rsidRPr="00802D35">
        <w:rPr>
          <w:rFonts w:ascii="Times New Roman" w:hAnsi="Times New Roman" w:cs="Times New Roman"/>
          <w:sz w:val="28"/>
          <w:szCs w:val="28"/>
        </w:rPr>
        <w:t xml:space="preserve"> </w:t>
      </w:r>
      <w:r w:rsidR="000A006A" w:rsidRPr="00802D35">
        <w:rPr>
          <w:rFonts w:ascii="Times New Roman" w:hAnsi="Times New Roman" w:cs="Times New Roman"/>
          <w:sz w:val="28"/>
          <w:szCs w:val="28"/>
        </w:rPr>
        <w:t>№</w:t>
      </w:r>
      <w:r w:rsidRPr="00802D35">
        <w:rPr>
          <w:rFonts w:ascii="Times New Roman" w:hAnsi="Times New Roman" w:cs="Times New Roman"/>
          <w:bCs/>
          <w:sz w:val="28"/>
          <w:szCs w:val="28"/>
        </w:rPr>
        <w:t>6(103). – С.110 – 116.</w:t>
      </w:r>
    </w:p>
    <w:p w:rsidR="00705DF2" w:rsidRPr="00802D35" w:rsidRDefault="00705DF2" w:rsidP="000A006A">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lang w:val="en-US"/>
        </w:rPr>
      </w:pPr>
      <w:r w:rsidRPr="00802D35">
        <w:rPr>
          <w:rStyle w:val="a5"/>
          <w:rFonts w:ascii="Times New Roman" w:hAnsi="Times New Roman" w:cs="Times New Roman"/>
          <w:i w:val="0"/>
          <w:sz w:val="28"/>
          <w:szCs w:val="28"/>
          <w:shd w:val="clear" w:color="auto" w:fill="FFFFFF"/>
          <w:lang w:val="en-US"/>
        </w:rPr>
        <w:t>Financial Glossary</w:t>
      </w:r>
      <w:r w:rsidRPr="00802D35">
        <w:rPr>
          <w:rFonts w:ascii="Times New Roman" w:hAnsi="Times New Roman" w:cs="Times New Roman"/>
          <w:sz w:val="28"/>
          <w:szCs w:val="28"/>
          <w:shd w:val="clear" w:color="auto" w:fill="FFFFFF"/>
          <w:lang w:val="en-US"/>
        </w:rPr>
        <w:t>. (2011). Retrieved November 26 2020 from </w:t>
      </w:r>
      <w:hyperlink r:id="rId108" w:history="1">
        <w:r w:rsidRPr="00802D35">
          <w:rPr>
            <w:rStyle w:val="a6"/>
            <w:rFonts w:ascii="Times New Roman" w:hAnsi="Times New Roman" w:cs="Times New Roman"/>
            <w:color w:val="auto"/>
            <w:sz w:val="28"/>
            <w:szCs w:val="28"/>
            <w:shd w:val="clear" w:color="auto" w:fill="FFFFFF"/>
            <w:lang w:val="en-US"/>
          </w:rPr>
          <w:t>https://financial-dictionary.thefreedictionary.com/funding</w:t>
        </w:r>
      </w:hyperlink>
      <w:r w:rsidR="00032905" w:rsidRPr="00802D35">
        <w:rPr>
          <w:rStyle w:val="a6"/>
          <w:rFonts w:ascii="Times New Roman" w:hAnsi="Times New Roman" w:cs="Times New Roman"/>
          <w:color w:val="auto"/>
          <w:sz w:val="28"/>
          <w:szCs w:val="28"/>
          <w:shd w:val="clear" w:color="auto" w:fill="FFFFFF"/>
          <w:lang w:val="en-US"/>
        </w:rPr>
        <w:t xml:space="preserve"> </w:t>
      </w:r>
      <w:r w:rsidR="00032905" w:rsidRPr="00802D35">
        <w:rPr>
          <w:rFonts w:ascii="Times New Roman" w:hAnsi="Times New Roman" w:cs="Times New Roman"/>
          <w:sz w:val="28"/>
          <w:szCs w:val="28"/>
          <w:lang w:val="en-US"/>
        </w:rPr>
        <w:t>(</w:t>
      </w:r>
      <w:r w:rsidR="00032905" w:rsidRPr="00802D35">
        <w:rPr>
          <w:rFonts w:ascii="Times New Roman" w:hAnsi="Times New Roman" w:cs="Times New Roman"/>
          <w:sz w:val="28"/>
          <w:szCs w:val="28"/>
        </w:rPr>
        <w:t>дата</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обращения</w:t>
      </w:r>
      <w:r w:rsidR="00032905" w:rsidRPr="00802D35">
        <w:rPr>
          <w:rFonts w:ascii="Times New Roman" w:hAnsi="Times New Roman" w:cs="Times New Roman"/>
          <w:sz w:val="28"/>
          <w:szCs w:val="28"/>
          <w:lang w:val="en-US"/>
        </w:rPr>
        <w:t>: 21.10.2020).</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rPr>
      </w:pPr>
      <w:r w:rsidRPr="00802D35">
        <w:rPr>
          <w:rFonts w:ascii="Times New Roman" w:hAnsi="Times New Roman" w:cs="Times New Roman"/>
          <w:sz w:val="28"/>
          <w:szCs w:val="28"/>
          <w:shd w:val="clear" w:color="auto" w:fill="FFFFFF"/>
          <w:lang w:val="en-US"/>
        </w:rPr>
        <w:t>Karchny Martin. </w:t>
      </w:r>
      <w:r w:rsidRPr="00802D35">
        <w:rPr>
          <w:rFonts w:ascii="Times New Roman" w:hAnsi="Times New Roman" w:cs="Times New Roman"/>
          <w:iCs/>
          <w:sz w:val="28"/>
          <w:szCs w:val="28"/>
          <w:shd w:val="clear" w:color="auto" w:fill="FFFFFF"/>
          <w:lang w:val="en-US"/>
        </w:rPr>
        <w:t>Innovation and Transformation</w:t>
      </w:r>
      <w:r w:rsidR="000A006A" w:rsidRPr="00802D35">
        <w:rPr>
          <w:rFonts w:ascii="Times New Roman" w:hAnsi="Times New Roman" w:cs="Times New Roman"/>
          <w:sz w:val="28"/>
          <w:szCs w:val="28"/>
          <w:shd w:val="clear" w:color="auto" w:fill="FFFFFF"/>
          <w:lang w:val="en-US"/>
        </w:rPr>
        <w:t>//</w:t>
      </w:r>
      <w:r w:rsidRPr="00802D35">
        <w:rPr>
          <w:rFonts w:ascii="Times New Roman" w:hAnsi="Times New Roman" w:cs="Times New Roman"/>
          <w:sz w:val="28"/>
          <w:szCs w:val="28"/>
          <w:shd w:val="clear" w:color="auto" w:fill="FFFFFF"/>
          <w:lang w:val="en-US"/>
        </w:rPr>
        <w:t xml:space="preserve"> Springer</w:t>
      </w:r>
      <w:r w:rsidR="000A006A" w:rsidRPr="00802D35">
        <w:rPr>
          <w:rFonts w:ascii="Times New Roman" w:hAnsi="Times New Roman" w:cs="Times New Roman"/>
          <w:sz w:val="28"/>
          <w:szCs w:val="28"/>
          <w:shd w:val="clear" w:color="auto" w:fill="FFFFFF"/>
          <w:lang w:val="en-US"/>
        </w:rPr>
        <w:t>, 2018.</w:t>
      </w:r>
      <w:r w:rsidRPr="00802D35">
        <w:rPr>
          <w:rFonts w:ascii="Times New Roman" w:hAnsi="Times New Roman" w:cs="Times New Roman"/>
          <w:sz w:val="28"/>
          <w:szCs w:val="28"/>
          <w:shd w:val="clear" w:color="auto" w:fill="FFFFFF"/>
          <w:lang w:val="en-US"/>
        </w:rPr>
        <w:t xml:space="preserve"> </w:t>
      </w:r>
      <w:r w:rsidRPr="00802D35">
        <w:rPr>
          <w:rFonts w:ascii="Times New Roman" w:hAnsi="Times New Roman" w:cs="Times New Roman"/>
          <w:sz w:val="28"/>
          <w:szCs w:val="28"/>
          <w:shd w:val="clear" w:color="auto" w:fill="FFFFFF"/>
        </w:rPr>
        <w:t>Verlag. </w:t>
      </w:r>
      <w:hyperlink r:id="rId109" w:tooltip="ISBN (identifier)" w:history="1">
        <w:r w:rsidRPr="00802D35">
          <w:rPr>
            <w:rStyle w:val="a6"/>
            <w:rFonts w:ascii="Times New Roman" w:hAnsi="Times New Roman" w:cs="Times New Roman"/>
            <w:color w:val="auto"/>
            <w:sz w:val="28"/>
            <w:szCs w:val="28"/>
            <w:shd w:val="clear" w:color="auto" w:fill="FFFFFF"/>
          </w:rPr>
          <w:t>ISBN</w:t>
        </w:r>
      </w:hyperlink>
      <w:r w:rsidRPr="00802D35">
        <w:rPr>
          <w:rFonts w:ascii="Times New Roman" w:hAnsi="Times New Roman" w:cs="Times New Roman"/>
          <w:sz w:val="28"/>
          <w:szCs w:val="28"/>
          <w:shd w:val="clear" w:color="auto" w:fill="FFFFFF"/>
        </w:rPr>
        <w:t> </w:t>
      </w:r>
      <w:hyperlink r:id="rId110" w:tooltip="Special:BookSources/978-3-319-78524-0" w:history="1">
        <w:r w:rsidRPr="00802D35">
          <w:rPr>
            <w:rStyle w:val="a6"/>
            <w:rFonts w:ascii="Times New Roman" w:hAnsi="Times New Roman" w:cs="Times New Roman"/>
            <w:color w:val="auto"/>
            <w:sz w:val="28"/>
            <w:szCs w:val="28"/>
            <w:shd w:val="clear" w:color="auto" w:fill="FFFFFF"/>
          </w:rPr>
          <w:t>978-3-319-78524-0</w:t>
        </w:r>
      </w:hyperlink>
      <w:r w:rsidR="00032905" w:rsidRPr="00802D35">
        <w:rPr>
          <w:rStyle w:val="a6"/>
          <w:rFonts w:ascii="Times New Roman" w:hAnsi="Times New Roman" w:cs="Times New Roman"/>
          <w:color w:val="auto"/>
          <w:sz w:val="28"/>
          <w:szCs w:val="28"/>
          <w:shd w:val="clear" w:color="auto" w:fill="FFFFFF"/>
        </w:rPr>
        <w:t xml:space="preserve"> </w:t>
      </w:r>
      <w:r w:rsidR="00032905" w:rsidRPr="00802D35">
        <w:rPr>
          <w:rFonts w:ascii="Times New Roman" w:hAnsi="Times New Roman" w:cs="Times New Roman"/>
          <w:sz w:val="28"/>
          <w:szCs w:val="28"/>
        </w:rPr>
        <w:t>(дата обращения: 21.10.2020).</w:t>
      </w:r>
    </w:p>
    <w:p w:rsidR="00032905" w:rsidRPr="00802D35" w:rsidRDefault="00FF4C7E"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rPr>
      </w:pPr>
      <w:hyperlink r:id="rId111" w:tooltip="Frederic Mishkin" w:history="1">
        <w:r w:rsidR="00705DF2" w:rsidRPr="00802D35">
          <w:rPr>
            <w:rStyle w:val="a6"/>
            <w:rFonts w:ascii="Times New Roman" w:hAnsi="Times New Roman" w:cs="Times New Roman"/>
            <w:color w:val="auto"/>
            <w:sz w:val="28"/>
            <w:szCs w:val="28"/>
            <w:shd w:val="clear" w:color="auto" w:fill="FFFFFF"/>
            <w:lang w:val="en-US"/>
          </w:rPr>
          <w:t>Mishkin, Frederic</w:t>
        </w:r>
      </w:hyperlink>
      <w:r w:rsidR="00705DF2" w:rsidRPr="00802D35">
        <w:rPr>
          <w:rFonts w:ascii="Times New Roman" w:hAnsi="Times New Roman" w:cs="Times New Roman"/>
          <w:sz w:val="28"/>
          <w:szCs w:val="28"/>
          <w:shd w:val="clear" w:color="auto" w:fill="FFFFFF"/>
          <w:lang w:val="en-US"/>
        </w:rPr>
        <w:t>  </w:t>
      </w:r>
      <w:r w:rsidR="00705DF2" w:rsidRPr="00802D35">
        <w:rPr>
          <w:rFonts w:ascii="Times New Roman" w:hAnsi="Times New Roman" w:cs="Times New Roman"/>
          <w:iCs/>
          <w:sz w:val="28"/>
          <w:szCs w:val="28"/>
          <w:shd w:val="clear" w:color="auto" w:fill="FFFFFF"/>
          <w:lang w:val="en-US"/>
        </w:rPr>
        <w:t>The Economics of Money, Banking and Financial Markets(Global, Tenth Edition)</w:t>
      </w:r>
      <w:r w:rsidR="00705DF2" w:rsidRPr="00802D35">
        <w:rPr>
          <w:rFonts w:ascii="Times New Roman" w:hAnsi="Times New Roman" w:cs="Times New Roman"/>
          <w:sz w:val="28"/>
          <w:szCs w:val="28"/>
          <w:shd w:val="clear" w:color="auto" w:fill="FFFFFF"/>
          <w:lang w:val="en-US"/>
        </w:rPr>
        <w:t xml:space="preserve">. </w:t>
      </w:r>
      <w:r w:rsidR="00705DF2" w:rsidRPr="00802D35">
        <w:rPr>
          <w:rFonts w:ascii="Times New Roman" w:hAnsi="Times New Roman" w:cs="Times New Roman"/>
          <w:sz w:val="28"/>
          <w:szCs w:val="28"/>
          <w:shd w:val="clear" w:color="auto" w:fill="FFFFFF"/>
        </w:rPr>
        <w:t>Pearson Education Limited</w:t>
      </w:r>
      <w:r w:rsidR="000A006A" w:rsidRPr="00802D35">
        <w:rPr>
          <w:rFonts w:ascii="Times New Roman" w:hAnsi="Times New Roman" w:cs="Times New Roman"/>
          <w:sz w:val="28"/>
          <w:szCs w:val="28"/>
          <w:shd w:val="clear" w:color="auto" w:fill="FFFFFF"/>
        </w:rPr>
        <w:t>, 2012.</w:t>
      </w:r>
      <w:r w:rsidR="00705DF2" w:rsidRPr="00802D35">
        <w:rPr>
          <w:rFonts w:ascii="Times New Roman" w:hAnsi="Times New Roman" w:cs="Times New Roman"/>
          <w:sz w:val="28"/>
          <w:szCs w:val="28"/>
          <w:shd w:val="clear" w:color="auto" w:fill="FFFFFF"/>
        </w:rPr>
        <w:t xml:space="preserve"> </w:t>
      </w:r>
      <w:r w:rsidR="000A006A" w:rsidRPr="00802D35">
        <w:rPr>
          <w:rFonts w:ascii="Times New Roman" w:hAnsi="Times New Roman" w:cs="Times New Roman"/>
          <w:sz w:val="28"/>
          <w:szCs w:val="28"/>
          <w:shd w:val="clear" w:color="auto" w:fill="FFFFFF"/>
        </w:rPr>
        <w:t xml:space="preserve">- </w:t>
      </w:r>
      <w:r w:rsidR="00705DF2" w:rsidRPr="00802D35">
        <w:rPr>
          <w:rFonts w:ascii="Times New Roman" w:hAnsi="Times New Roman" w:cs="Times New Roman"/>
          <w:sz w:val="28"/>
          <w:szCs w:val="28"/>
          <w:shd w:val="clear" w:color="auto" w:fill="FFFFFF"/>
        </w:rPr>
        <w:t>p. 68. </w:t>
      </w:r>
      <w:hyperlink r:id="rId112" w:tooltip="ISBN (identifier)" w:history="1">
        <w:r w:rsidR="00705DF2" w:rsidRPr="00802D35">
          <w:rPr>
            <w:rStyle w:val="a6"/>
            <w:rFonts w:ascii="Times New Roman" w:hAnsi="Times New Roman" w:cs="Times New Roman"/>
            <w:color w:val="auto"/>
            <w:sz w:val="28"/>
            <w:szCs w:val="28"/>
            <w:shd w:val="clear" w:color="auto" w:fill="FFFFFF"/>
          </w:rPr>
          <w:t>ISBN</w:t>
        </w:r>
      </w:hyperlink>
      <w:r w:rsidR="00705DF2" w:rsidRPr="00802D35">
        <w:rPr>
          <w:rFonts w:ascii="Times New Roman" w:hAnsi="Times New Roman" w:cs="Times New Roman"/>
          <w:sz w:val="28"/>
          <w:szCs w:val="28"/>
          <w:shd w:val="clear" w:color="auto" w:fill="FFFFFF"/>
        </w:rPr>
        <w:t> </w:t>
      </w:r>
      <w:hyperlink r:id="rId113" w:tooltip="Special:BookSources/978-0273765738" w:history="1">
        <w:r w:rsidR="00705DF2" w:rsidRPr="00802D35">
          <w:rPr>
            <w:rStyle w:val="a6"/>
            <w:rFonts w:ascii="Times New Roman" w:hAnsi="Times New Roman" w:cs="Times New Roman"/>
            <w:color w:val="auto"/>
            <w:sz w:val="28"/>
            <w:szCs w:val="28"/>
            <w:shd w:val="clear" w:color="auto" w:fill="FFFFFF"/>
          </w:rPr>
          <w:t>978-0273765738</w:t>
        </w:r>
      </w:hyperlink>
      <w:r w:rsidR="00032905" w:rsidRPr="00802D35">
        <w:rPr>
          <w:rStyle w:val="a6"/>
          <w:rFonts w:ascii="Times New Roman" w:hAnsi="Times New Roman" w:cs="Times New Roman"/>
          <w:color w:val="auto"/>
          <w:sz w:val="28"/>
          <w:szCs w:val="28"/>
          <w:shd w:val="clear" w:color="auto" w:fill="FFFFFF"/>
        </w:rPr>
        <w:t xml:space="preserve"> </w:t>
      </w:r>
      <w:r w:rsidR="00032905" w:rsidRPr="00802D35">
        <w:rPr>
          <w:rFonts w:ascii="Times New Roman" w:hAnsi="Times New Roman" w:cs="Times New Roman"/>
          <w:sz w:val="28"/>
          <w:szCs w:val="28"/>
        </w:rPr>
        <w:t>(дата обращения: 21.10.2020).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Жоламанова М.Т.Внутренние  источники фондирования  коммерческих банков  Казахстана// KazNU Bulletin. Economics series</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 xml:space="preserve"> </w:t>
      </w:r>
      <w:r w:rsidR="000A006A" w:rsidRPr="00802D35">
        <w:rPr>
          <w:rFonts w:ascii="Times New Roman" w:hAnsi="Times New Roman" w:cs="Times New Roman"/>
          <w:sz w:val="28"/>
          <w:szCs w:val="28"/>
        </w:rPr>
        <w:t>2015. - №</w:t>
      </w:r>
      <w:r w:rsidRPr="00802D35">
        <w:rPr>
          <w:rFonts w:ascii="Times New Roman" w:hAnsi="Times New Roman" w:cs="Times New Roman"/>
          <w:sz w:val="28"/>
          <w:szCs w:val="28"/>
        </w:rPr>
        <w:t>1 (107). – С.133-137.</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К.Ж. Садвокасова, Г.С. Кодашева Оценка финансовой устойчивости банков второго уровня Республики Казахстан в условиях роста неопределенности // Интеллект. Инновации. Инвестиции / Intelligence. Innovations. Investment</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 xml:space="preserve"> </w:t>
      </w:r>
      <w:r w:rsidR="000A006A" w:rsidRPr="00802D35">
        <w:rPr>
          <w:rFonts w:ascii="Times New Roman" w:hAnsi="Times New Roman" w:cs="Times New Roman"/>
          <w:sz w:val="28"/>
          <w:szCs w:val="28"/>
        </w:rPr>
        <w:t>2019. -</w:t>
      </w:r>
      <w:r w:rsidRPr="00802D35">
        <w:rPr>
          <w:rFonts w:ascii="Times New Roman" w:hAnsi="Times New Roman" w:cs="Times New Roman"/>
          <w:sz w:val="28"/>
          <w:szCs w:val="28"/>
        </w:rPr>
        <w:t xml:space="preserve"> № 1</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 xml:space="preserve"> – С.50-57.</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Кадырова А.Н., Хамитова Д.А. Банковский сертификат как потенциальный источник в условиях нехватки «длинных» ресурсов в банковской системе Республики Казахстан // Тенденции инновационных процессов в науке: сборник статей Международной научно- практической конференции (10 декабря 2015 г, г. Москва). - Москва: РИО ЕФИР, 2015. – С.62-64.</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shd w:val="clear" w:color="auto" w:fill="FFFFFF"/>
        </w:rPr>
        <w:t xml:space="preserve">Калкабаева, Г.М Приоритетные направления в обеспечении финансовой стабильности Казахстана [Текст] / Г.М. Калкабаева // Resonances science: Proceedings of articles II International scientific conference. </w:t>
      </w:r>
      <w:r w:rsidRPr="00802D35">
        <w:rPr>
          <w:rFonts w:ascii="Times New Roman" w:hAnsi="Times New Roman" w:cs="Times New Roman"/>
          <w:sz w:val="28"/>
          <w:szCs w:val="28"/>
          <w:shd w:val="clear" w:color="auto" w:fill="FFFFFF"/>
          <w:lang w:val="en-US"/>
        </w:rPr>
        <w:t xml:space="preserve">Czech Republic, Karlovy Vary - Russia, Moscow, August 29-30, 2017 </w:t>
      </w:r>
      <w:r w:rsidRPr="00802D35">
        <w:rPr>
          <w:rFonts w:ascii="Times New Roman" w:hAnsi="Times New Roman" w:cs="Times New Roman"/>
          <w:sz w:val="28"/>
          <w:szCs w:val="28"/>
          <w:lang w:val="en-US"/>
        </w:rPr>
        <w:t xml:space="preserve">/ Editors prof. V.A.Fatuev, E.N.Vasil'eva, Az.H.Kade, Ir.V. Baranova. – </w:t>
      </w:r>
      <w:r w:rsidRPr="00802D35">
        <w:rPr>
          <w:rFonts w:ascii="Times New Roman" w:hAnsi="Times New Roman" w:cs="Times New Roman"/>
          <w:sz w:val="28"/>
          <w:szCs w:val="28"/>
        </w:rPr>
        <w:t>С</w:t>
      </w:r>
      <w:r w:rsidRPr="00802D35">
        <w:rPr>
          <w:rFonts w:ascii="Times New Roman" w:hAnsi="Times New Roman" w:cs="Times New Roman"/>
          <w:sz w:val="28"/>
          <w:szCs w:val="28"/>
          <w:lang w:val="en-US"/>
        </w:rPr>
        <w:t>.67-74.</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lastRenderedPageBreak/>
        <w:t>Касымбекова Г.Р., Маркелова М.А., Джарикбаева Д.Т. Актуальная оценка собственного капитала банков второго уровня Казахстана с позиций различных критериев// Научный журнал «Вестник университета «Туран»</w:t>
      </w:r>
      <w:r w:rsidR="000A006A" w:rsidRPr="00802D35">
        <w:rPr>
          <w:rFonts w:ascii="Times New Roman" w:hAnsi="Times New Roman" w:cs="Times New Roman"/>
          <w:sz w:val="28"/>
          <w:szCs w:val="28"/>
        </w:rPr>
        <w:t>, 2019.</w:t>
      </w:r>
      <w:r w:rsidRPr="00802D35">
        <w:rPr>
          <w:rFonts w:ascii="Times New Roman" w:hAnsi="Times New Roman" w:cs="Times New Roman"/>
          <w:sz w:val="28"/>
          <w:szCs w:val="28"/>
        </w:rPr>
        <w:t xml:space="preserve"> </w:t>
      </w:r>
      <w:r w:rsidR="000A006A" w:rsidRPr="00802D35">
        <w:rPr>
          <w:rFonts w:ascii="Times New Roman" w:hAnsi="Times New Roman" w:cs="Times New Roman"/>
          <w:sz w:val="28"/>
          <w:szCs w:val="28"/>
        </w:rPr>
        <w:t xml:space="preserve">- </w:t>
      </w:r>
      <w:r w:rsidRPr="00802D35">
        <w:rPr>
          <w:rFonts w:ascii="Times New Roman" w:hAnsi="Times New Roman" w:cs="Times New Roman"/>
          <w:sz w:val="28"/>
          <w:szCs w:val="28"/>
        </w:rPr>
        <w:t>№ 4(84)</w:t>
      </w:r>
      <w:r w:rsidR="000A006A" w:rsidRPr="00802D35">
        <w:rPr>
          <w:rFonts w:ascii="Times New Roman" w:hAnsi="Times New Roman" w:cs="Times New Roman"/>
          <w:sz w:val="28"/>
          <w:szCs w:val="28"/>
        </w:rPr>
        <w:t>.</w:t>
      </w:r>
      <w:r w:rsidRPr="00802D35">
        <w:rPr>
          <w:rFonts w:ascii="Times New Roman" w:hAnsi="Times New Roman" w:cs="Times New Roman"/>
          <w:sz w:val="28"/>
          <w:szCs w:val="28"/>
        </w:rPr>
        <w:t xml:space="preserve"> – </w:t>
      </w:r>
      <w:r w:rsidR="000A006A" w:rsidRPr="00802D35">
        <w:rPr>
          <w:rFonts w:ascii="Times New Roman" w:hAnsi="Times New Roman" w:cs="Times New Roman"/>
          <w:sz w:val="28"/>
          <w:szCs w:val="28"/>
        </w:rPr>
        <w:t>С.</w:t>
      </w:r>
      <w:r w:rsidRPr="00802D35">
        <w:rPr>
          <w:rFonts w:ascii="Times New Roman" w:hAnsi="Times New Roman" w:cs="Times New Roman"/>
          <w:sz w:val="28"/>
          <w:szCs w:val="28"/>
        </w:rPr>
        <w:t>135-139.</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С.С. Ургушева, А.Ж. Сагидолдина Источники формирования ресурсной базы банков второго уровня Республики Казахстан // материалы Международной (заочной) научно-практической конференции. Актуальные вопросы науки и образования в XXI веке </w:t>
      </w:r>
      <w:hyperlink r:id="rId114" w:tooltip="Список публикаций этого издательства" w:history="1">
        <w:r w:rsidRPr="00802D35">
          <w:rPr>
            <w:rStyle w:val="a6"/>
            <w:rFonts w:ascii="Times New Roman" w:hAnsi="Times New Roman" w:cs="Times New Roman"/>
            <w:color w:val="auto"/>
            <w:sz w:val="28"/>
            <w:szCs w:val="28"/>
            <w:u w:val="none"/>
          </w:rPr>
          <w:t>Научно-издательский центр "Мир науки"</w:t>
        </w:r>
      </w:hyperlink>
      <w:r w:rsidRPr="00802D35">
        <w:rPr>
          <w:rFonts w:ascii="Times New Roman" w:hAnsi="Times New Roman" w:cs="Times New Roman"/>
          <w:sz w:val="28"/>
          <w:szCs w:val="28"/>
        </w:rPr>
        <w:t>2020 . – С.46-50.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Идирисова А.Т.Проблемы достаточности собственного капитала казахстанских банков // «Научно-практический электронный журнал Аллея Науки»</w:t>
      </w:r>
      <w:r w:rsidR="00062553" w:rsidRPr="00802D35">
        <w:rPr>
          <w:rFonts w:ascii="Times New Roman" w:hAnsi="Times New Roman" w:cs="Times New Roman"/>
          <w:sz w:val="28"/>
          <w:szCs w:val="28"/>
        </w:rPr>
        <w:t xml:space="preserve">, 2018. - </w:t>
      </w:r>
      <w:r w:rsidRPr="00802D35">
        <w:rPr>
          <w:rFonts w:ascii="Times New Roman" w:hAnsi="Times New Roman" w:cs="Times New Roman"/>
          <w:sz w:val="28"/>
          <w:szCs w:val="28"/>
        </w:rPr>
        <w:t xml:space="preserve"> №5(21)</w:t>
      </w:r>
      <w:r w:rsidR="00062553" w:rsidRPr="00802D35">
        <w:rPr>
          <w:rFonts w:ascii="Times New Roman" w:hAnsi="Times New Roman" w:cs="Times New Roman"/>
          <w:sz w:val="28"/>
          <w:szCs w:val="28"/>
        </w:rPr>
        <w:t xml:space="preserve">. </w:t>
      </w:r>
      <w:r w:rsidRPr="00802D35">
        <w:rPr>
          <w:rFonts w:ascii="Times New Roman" w:hAnsi="Times New Roman" w:cs="Times New Roman"/>
          <w:sz w:val="28"/>
          <w:szCs w:val="28"/>
        </w:rPr>
        <w:t>–</w:t>
      </w:r>
      <w:r w:rsidR="00062553" w:rsidRPr="00802D35">
        <w:rPr>
          <w:rFonts w:ascii="Times New Roman" w:hAnsi="Times New Roman" w:cs="Times New Roman"/>
          <w:sz w:val="28"/>
          <w:szCs w:val="28"/>
        </w:rPr>
        <w:t xml:space="preserve"> </w:t>
      </w:r>
      <w:r w:rsidRPr="00802D35">
        <w:rPr>
          <w:rFonts w:ascii="Times New Roman" w:hAnsi="Times New Roman" w:cs="Times New Roman"/>
          <w:sz w:val="28"/>
          <w:szCs w:val="28"/>
        </w:rPr>
        <w:t>С. 307-315.</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Султангалиева</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Л</w:t>
      </w:r>
      <w:r w:rsidRPr="00802D35">
        <w:rPr>
          <w:rFonts w:ascii="Times New Roman" w:hAnsi="Times New Roman" w:cs="Times New Roman"/>
          <w:sz w:val="28"/>
          <w:szCs w:val="28"/>
          <w:lang w:val="en-US"/>
        </w:rPr>
        <w:t>.</w:t>
      </w:r>
      <w:r w:rsidRPr="00802D35">
        <w:rPr>
          <w:rFonts w:ascii="Times New Roman" w:hAnsi="Times New Roman" w:cs="Times New Roman"/>
          <w:sz w:val="28"/>
          <w:szCs w:val="28"/>
        </w:rPr>
        <w:t>С</w:t>
      </w:r>
      <w:r w:rsidRPr="00802D35">
        <w:rPr>
          <w:rFonts w:ascii="Times New Roman" w:hAnsi="Times New Roman" w:cs="Times New Roman"/>
          <w:sz w:val="28"/>
          <w:szCs w:val="28"/>
          <w:lang w:val="en-US"/>
        </w:rPr>
        <w:t>.</w:t>
      </w:r>
      <w:r w:rsidRPr="00802D35">
        <w:rPr>
          <w:rFonts w:ascii="Times New Roman" w:hAnsi="Times New Roman" w:cs="Times New Roman"/>
          <w:sz w:val="28"/>
          <w:szCs w:val="28"/>
        </w:rPr>
        <w:t>Особенности</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развития</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депозитного</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рынка</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Казахстана</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на</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современном</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этапе</w:t>
      </w:r>
      <w:r w:rsidRPr="00802D35">
        <w:rPr>
          <w:rFonts w:ascii="Times New Roman" w:hAnsi="Times New Roman" w:cs="Times New Roman"/>
          <w:sz w:val="28"/>
          <w:szCs w:val="28"/>
          <w:lang w:val="en-US"/>
        </w:rPr>
        <w:t xml:space="preserve"> </w:t>
      </w:r>
      <w:r w:rsidRPr="00802D35">
        <w:rPr>
          <w:rFonts w:ascii="Times New Roman" w:hAnsi="Times New Roman" w:cs="Times New Roman"/>
          <w:bCs/>
          <w:sz w:val="28"/>
          <w:szCs w:val="28"/>
          <w:lang w:val="en-US"/>
        </w:rPr>
        <w:t xml:space="preserve">//Integration of the scientific community to the global challenges of our time </w:t>
      </w:r>
      <w:r w:rsidRPr="00802D35">
        <w:rPr>
          <w:rFonts w:ascii="Times New Roman" w:hAnsi="Times New Roman" w:cs="Times New Roman"/>
          <w:sz w:val="28"/>
          <w:szCs w:val="28"/>
          <w:lang w:val="en-US"/>
        </w:rPr>
        <w:t xml:space="preserve">Materials of the II international scientific-practical conference. </w:t>
      </w:r>
      <w:r w:rsidRPr="00802D35">
        <w:rPr>
          <w:rFonts w:ascii="Times New Roman" w:hAnsi="Times New Roman" w:cs="Times New Roman"/>
          <w:sz w:val="28"/>
          <w:szCs w:val="28"/>
        </w:rPr>
        <w:t>In 3 volumes</w:t>
      </w:r>
      <w:r w:rsidR="00062553" w:rsidRPr="00802D35">
        <w:rPr>
          <w:rFonts w:ascii="Times New Roman" w:hAnsi="Times New Roman" w:cs="Times New Roman"/>
          <w:sz w:val="28"/>
          <w:szCs w:val="28"/>
        </w:rPr>
        <w:t>,</w:t>
      </w:r>
      <w:r w:rsidRPr="00802D35">
        <w:rPr>
          <w:rFonts w:ascii="Times New Roman" w:hAnsi="Times New Roman" w:cs="Times New Roman"/>
          <w:sz w:val="28"/>
          <w:szCs w:val="28"/>
        </w:rPr>
        <w:t xml:space="preserve"> 2017. – С.126-132.</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Святов С.А.Банковская система Казахстана в новых экономических условиях: современные вызовы и приоритеты развития </w:t>
      </w:r>
      <w:r w:rsidRPr="00802D35">
        <w:rPr>
          <w:rFonts w:ascii="Times New Roman" w:hAnsi="Times New Roman" w:cs="Times New Roman"/>
          <w:bCs/>
          <w:sz w:val="28"/>
          <w:szCs w:val="28"/>
          <w:shd w:val="clear" w:color="auto" w:fill="F5F5F5"/>
        </w:rPr>
        <w:t>/</w:t>
      </w:r>
      <w:r w:rsidRPr="00802D35">
        <w:rPr>
          <w:rFonts w:ascii="Times New Roman" w:hAnsi="Times New Roman" w:cs="Times New Roman"/>
          <w:bCs/>
          <w:sz w:val="28"/>
          <w:szCs w:val="28"/>
        </w:rPr>
        <w:t>/</w:t>
      </w:r>
      <w:r w:rsidRPr="00802D35">
        <w:rPr>
          <w:rFonts w:ascii="Times New Roman" w:hAnsi="Times New Roman" w:cs="Times New Roman"/>
          <w:sz w:val="28"/>
          <w:szCs w:val="28"/>
        </w:rPr>
        <w:t xml:space="preserve"> Общественное объединение "Иссык-Кульский форум бухгалтеров и аудиторов стран Центральной Азии" (Бишкек), 2015. - №2(9). – С.362-367.</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lang w:val="en-US"/>
        </w:rPr>
      </w:pPr>
      <w:r w:rsidRPr="00802D35">
        <w:rPr>
          <w:rFonts w:ascii="Times New Roman" w:hAnsi="Times New Roman" w:cs="Times New Roman"/>
          <w:sz w:val="28"/>
          <w:szCs w:val="28"/>
          <w:shd w:val="clear" w:color="auto" w:fill="FFFFFF"/>
          <w:lang w:val="en-US"/>
        </w:rPr>
        <w:t xml:space="preserve">Hira Waqar, 2015 </w:t>
      </w:r>
      <w:hyperlink r:id="rId115" w:anchor="ixzz6fAmlmENX" w:history="1">
        <w:r w:rsidRPr="00802D35">
          <w:rPr>
            <w:rStyle w:val="a6"/>
            <w:rFonts w:ascii="Times New Roman" w:hAnsi="Times New Roman" w:cs="Times New Roman"/>
            <w:color w:val="auto"/>
            <w:sz w:val="28"/>
            <w:szCs w:val="28"/>
            <w:lang w:val="en-US"/>
          </w:rPr>
          <w:t xml:space="preserve">Difference between Funding and Financing </w:t>
        </w:r>
      </w:hyperlink>
      <w:hyperlink r:id="rId116" w:anchor="ixzz6fAmlmENX" w:history="1">
        <w:r w:rsidRPr="00802D35">
          <w:rPr>
            <w:rStyle w:val="a6"/>
            <w:rFonts w:ascii="Times New Roman" w:hAnsi="Times New Roman" w:cs="Times New Roman"/>
            <w:color w:val="auto"/>
            <w:sz w:val="28"/>
            <w:szCs w:val="28"/>
            <w:lang w:val="en-US"/>
          </w:rPr>
          <w:t>http://www.differencebetween.net/business/difference-between-funding-and-financing/#ixzz6fAmlmENX</w:t>
        </w:r>
      </w:hyperlink>
      <w:r w:rsidR="00032905" w:rsidRPr="00802D35">
        <w:rPr>
          <w:rStyle w:val="a6"/>
          <w:rFonts w:ascii="Times New Roman" w:hAnsi="Times New Roman" w:cs="Times New Roman"/>
          <w:color w:val="auto"/>
          <w:sz w:val="28"/>
          <w:szCs w:val="28"/>
          <w:lang w:val="en-US"/>
        </w:rPr>
        <w:t xml:space="preserve"> </w:t>
      </w:r>
      <w:r w:rsidR="00032905" w:rsidRPr="00802D35">
        <w:rPr>
          <w:rFonts w:ascii="Times New Roman" w:hAnsi="Times New Roman" w:cs="Times New Roman"/>
          <w:sz w:val="28"/>
          <w:szCs w:val="28"/>
          <w:lang w:val="en-US"/>
        </w:rPr>
        <w:t>(</w:t>
      </w:r>
      <w:r w:rsidR="00032905" w:rsidRPr="00802D35">
        <w:rPr>
          <w:rFonts w:ascii="Times New Roman" w:hAnsi="Times New Roman" w:cs="Times New Roman"/>
          <w:sz w:val="28"/>
          <w:szCs w:val="28"/>
        </w:rPr>
        <w:t>дата</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обращения</w:t>
      </w:r>
      <w:r w:rsidR="00032905" w:rsidRPr="00802D35">
        <w:rPr>
          <w:rFonts w:ascii="Times New Roman" w:hAnsi="Times New Roman" w:cs="Times New Roman"/>
          <w:sz w:val="28"/>
          <w:szCs w:val="28"/>
          <w:lang w:val="en-US"/>
        </w:rPr>
        <w:t>: 03.10.2020).</w:t>
      </w:r>
    </w:p>
    <w:p w:rsidR="00032905" w:rsidRPr="00802D35" w:rsidRDefault="00FF4C7E"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lang w:val="en-US"/>
        </w:rPr>
      </w:pPr>
      <w:hyperlink r:id="rId117" w:history="1">
        <w:r w:rsidR="00705DF2" w:rsidRPr="00802D35">
          <w:rPr>
            <w:rStyle w:val="a6"/>
            <w:rFonts w:ascii="Times New Roman" w:hAnsi="Times New Roman" w:cs="Times New Roman"/>
            <w:color w:val="auto"/>
            <w:sz w:val="28"/>
            <w:szCs w:val="28"/>
            <w:bdr w:val="none" w:sz="0" w:space="0" w:color="auto" w:frame="1"/>
            <w:lang w:val="en-US"/>
          </w:rPr>
          <w:t>Paul Davies</w:t>
        </w:r>
      </w:hyperlink>
      <w:r w:rsidR="00705DF2" w:rsidRPr="00802D35">
        <w:rPr>
          <w:rFonts w:ascii="Times New Roman" w:hAnsi="Times New Roman" w:cs="Times New Roman"/>
          <w:bCs/>
          <w:sz w:val="28"/>
          <w:szCs w:val="28"/>
          <w:lang w:val="en-US"/>
        </w:rPr>
        <w:t xml:space="preserve"> Funding or financing - a policy confusion </w:t>
      </w:r>
      <w:r w:rsidR="00705DF2" w:rsidRPr="00802D35">
        <w:rPr>
          <w:rFonts w:ascii="Times New Roman" w:hAnsi="Times New Roman" w:cs="Times New Roman"/>
          <w:sz w:val="28"/>
          <w:szCs w:val="28"/>
          <w:lang w:val="en-US"/>
        </w:rPr>
        <w:t xml:space="preserve">July 27, 2016 </w:t>
      </w:r>
      <w:hyperlink r:id="rId118" w:history="1">
        <w:r w:rsidR="00705DF2" w:rsidRPr="00802D35">
          <w:rPr>
            <w:rStyle w:val="a6"/>
            <w:rFonts w:ascii="Times New Roman" w:hAnsi="Times New Roman" w:cs="Times New Roman"/>
            <w:color w:val="auto"/>
            <w:sz w:val="28"/>
            <w:szCs w:val="28"/>
            <w:lang w:val="en-US"/>
          </w:rPr>
          <w:t>https://www.linkedin.com/pulse/funding-financing-policy-confusion-paul-davies</w:t>
        </w:r>
      </w:hyperlink>
      <w:r w:rsidR="00032905" w:rsidRPr="00802D35">
        <w:rPr>
          <w:rStyle w:val="a6"/>
          <w:rFonts w:ascii="Times New Roman" w:hAnsi="Times New Roman" w:cs="Times New Roman"/>
          <w:color w:val="auto"/>
          <w:sz w:val="28"/>
          <w:szCs w:val="28"/>
          <w:lang w:val="en-US"/>
        </w:rPr>
        <w:t xml:space="preserve"> </w:t>
      </w:r>
      <w:r w:rsidR="00032905" w:rsidRPr="00802D35">
        <w:rPr>
          <w:rFonts w:ascii="Times New Roman" w:hAnsi="Times New Roman" w:cs="Times New Roman"/>
          <w:sz w:val="28"/>
          <w:szCs w:val="28"/>
          <w:lang w:val="en-US"/>
        </w:rPr>
        <w:t>(</w:t>
      </w:r>
      <w:r w:rsidR="00032905" w:rsidRPr="00802D35">
        <w:rPr>
          <w:rFonts w:ascii="Times New Roman" w:hAnsi="Times New Roman" w:cs="Times New Roman"/>
          <w:sz w:val="28"/>
          <w:szCs w:val="28"/>
        </w:rPr>
        <w:t>дата</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обращения</w:t>
      </w:r>
      <w:r w:rsidR="00032905" w:rsidRPr="00802D35">
        <w:rPr>
          <w:rFonts w:ascii="Times New Roman" w:hAnsi="Times New Roman" w:cs="Times New Roman"/>
          <w:sz w:val="28"/>
          <w:szCs w:val="28"/>
          <w:lang w:val="en-US"/>
        </w:rPr>
        <w:t>: 11.07.2020).</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rPr>
      </w:pPr>
      <w:r w:rsidRPr="00802D35">
        <w:rPr>
          <w:rFonts w:ascii="Times New Roman" w:hAnsi="Times New Roman" w:cs="Times New Roman"/>
          <w:sz w:val="28"/>
          <w:szCs w:val="28"/>
          <w:lang w:val="en-US"/>
        </w:rPr>
        <w:t xml:space="preserve">Financing vs Funding - What's the difference? </w:t>
      </w:r>
      <w:hyperlink r:id="rId119" w:history="1">
        <w:r w:rsidRPr="00802D35">
          <w:rPr>
            <w:rStyle w:val="a6"/>
            <w:rFonts w:ascii="Times New Roman" w:hAnsi="Times New Roman" w:cs="Times New Roman"/>
            <w:color w:val="auto"/>
            <w:sz w:val="28"/>
            <w:szCs w:val="28"/>
          </w:rPr>
          <w:t>https://wikidiff.com/funding/financing</w:t>
        </w:r>
      </w:hyperlink>
      <w:r w:rsidR="00032905" w:rsidRPr="00802D35">
        <w:rPr>
          <w:rStyle w:val="a6"/>
          <w:rFonts w:ascii="Times New Roman" w:hAnsi="Times New Roman" w:cs="Times New Roman"/>
          <w:color w:val="auto"/>
          <w:sz w:val="28"/>
          <w:szCs w:val="28"/>
        </w:rPr>
        <w:t xml:space="preserve"> </w:t>
      </w:r>
      <w:r w:rsidR="00032905" w:rsidRPr="00802D35">
        <w:rPr>
          <w:rFonts w:ascii="Times New Roman" w:hAnsi="Times New Roman" w:cs="Times New Roman"/>
          <w:sz w:val="28"/>
          <w:szCs w:val="28"/>
        </w:rPr>
        <w:t>(дата обращения: 11.07.2020).</w:t>
      </w:r>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Style w:val="currentdocdiv"/>
          <w:rFonts w:ascii="Times New Roman" w:hAnsi="Times New Roman" w:cs="Times New Roman"/>
          <w:bCs/>
          <w:sz w:val="28"/>
          <w:szCs w:val="28"/>
        </w:rPr>
        <w:t>Закон Республики Казахстан от 31 августа 1995 года № 2444 «О банках и банковской деятельности в Республике Казахстан» (с изменениями и дополнениями по состоянию на 03.07.2020 г.)</w:t>
      </w:r>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Style w:val="currentdocdiv"/>
          <w:rFonts w:ascii="Times New Roman" w:hAnsi="Times New Roman" w:cs="Times New Roman"/>
          <w:bCs/>
          <w:sz w:val="28"/>
          <w:szCs w:val="28"/>
        </w:rPr>
        <w:t>Закон Республики Казахстан от 7 июля 2006 года № 169-III «Об обязательном гарантировании депозитов, размещенных в банках второго уровня Республики Казахстан» (с изменениями и дополнениями по состоянию на 01.01.2020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Постановление Правления Национального Банка Республики Казахстан от 13 сентября 2017 года № 170. Зарегистрировано в Министерстве юстиции Республики Казахстан 12 октября 2017 года № 15886. Об установлении нормативных значений и методик расчетов пруденциальных нормативов и иных обязательных к соблюдению норм и лимитов, размера капитала банка и Правил расчета и лимитов открытой валютной позиции (с изменениями и дополнениями от 30.10.2020 г.)</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rPr>
      </w:pPr>
      <w:r w:rsidRPr="00802D35">
        <w:rPr>
          <w:rFonts w:ascii="Times New Roman" w:hAnsi="Times New Roman" w:cs="Times New Roman"/>
          <w:sz w:val="28"/>
          <w:szCs w:val="28"/>
        </w:rPr>
        <w:lastRenderedPageBreak/>
        <w:t>Бельская О.Л. Проблемы управления конкурентоустойчивостью предприятия // Мировые цивилизации</w:t>
      </w:r>
      <w:r w:rsidR="00062553" w:rsidRPr="00802D35">
        <w:rPr>
          <w:rFonts w:ascii="Times New Roman" w:hAnsi="Times New Roman" w:cs="Times New Roman"/>
          <w:sz w:val="28"/>
          <w:szCs w:val="28"/>
        </w:rPr>
        <w:t xml:space="preserve">, 2017. - </w:t>
      </w:r>
      <w:r w:rsidRPr="00802D35">
        <w:rPr>
          <w:rFonts w:ascii="Times New Roman" w:hAnsi="Times New Roman" w:cs="Times New Roman"/>
          <w:sz w:val="28"/>
          <w:szCs w:val="28"/>
        </w:rPr>
        <w:t xml:space="preserve">Том 2, №3 </w:t>
      </w:r>
      <w:hyperlink r:id="rId120" w:history="1">
        <w:r w:rsidRPr="00802D35">
          <w:rPr>
            <w:rStyle w:val="a6"/>
            <w:rFonts w:ascii="Times New Roman" w:hAnsi="Times New Roman" w:cs="Times New Roman"/>
            <w:color w:val="auto"/>
            <w:sz w:val="28"/>
            <w:szCs w:val="28"/>
          </w:rPr>
          <w:t>https://wcj.world.ru/PDF/04MZ317.pdf</w:t>
        </w:r>
      </w:hyperlink>
      <w:r w:rsidR="00032905" w:rsidRPr="00802D35">
        <w:rPr>
          <w:rStyle w:val="a6"/>
          <w:rFonts w:ascii="Times New Roman" w:hAnsi="Times New Roman" w:cs="Times New Roman"/>
          <w:color w:val="auto"/>
          <w:sz w:val="28"/>
          <w:szCs w:val="28"/>
        </w:rPr>
        <w:t xml:space="preserve"> </w:t>
      </w:r>
      <w:r w:rsidR="00032905" w:rsidRPr="00802D35">
        <w:rPr>
          <w:rFonts w:ascii="Times New Roman" w:hAnsi="Times New Roman" w:cs="Times New Roman"/>
          <w:sz w:val="28"/>
          <w:szCs w:val="28"/>
        </w:rPr>
        <w:t>(дата обращения: 21.10.2020).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Тридед А. Н. Стратегия развития предприятия в условиях кризиса: Дисс. На соискание ученой степени докт. экон. наук: 25.02.2013. – М., 2017. – 323 с.</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Фасхиев Х. А. Как измерить конкурентоспособность предприятия? // Маркетинг в России и за рубежом. – 2016. – № 4 (36). – С. 53-69</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Акопян А.В., Суворов И.А. Сравнительный анализ понятий «конкурентоустойчивость» и «конкурентоспособность» организаций сферы услуг// Вестник университета</w:t>
      </w:r>
      <w:r w:rsidR="00062553" w:rsidRPr="00802D35">
        <w:rPr>
          <w:rFonts w:ascii="Times New Roman" w:hAnsi="Times New Roman" w:cs="Times New Roman"/>
          <w:sz w:val="28"/>
          <w:szCs w:val="28"/>
        </w:rPr>
        <w:t>, 2019.</w:t>
      </w:r>
      <w:r w:rsidRPr="00802D35">
        <w:rPr>
          <w:rFonts w:ascii="Times New Roman" w:hAnsi="Times New Roman" w:cs="Times New Roman"/>
          <w:sz w:val="28"/>
          <w:szCs w:val="28"/>
        </w:rPr>
        <w:t xml:space="preserve"> </w:t>
      </w:r>
      <w:r w:rsidR="00062553" w:rsidRPr="00802D35">
        <w:rPr>
          <w:rFonts w:ascii="Times New Roman" w:hAnsi="Times New Roman" w:cs="Times New Roman"/>
          <w:sz w:val="28"/>
          <w:szCs w:val="28"/>
        </w:rPr>
        <w:t xml:space="preserve">- </w:t>
      </w:r>
      <w:r w:rsidRPr="00802D35">
        <w:rPr>
          <w:rFonts w:ascii="Times New Roman" w:hAnsi="Times New Roman" w:cs="Times New Roman"/>
          <w:sz w:val="28"/>
          <w:szCs w:val="28"/>
        </w:rPr>
        <w:t>№ 4</w:t>
      </w:r>
      <w:r w:rsidR="00062553" w:rsidRPr="00802D35">
        <w:rPr>
          <w:rFonts w:ascii="Times New Roman" w:hAnsi="Times New Roman" w:cs="Times New Roman"/>
          <w:sz w:val="28"/>
          <w:szCs w:val="28"/>
        </w:rPr>
        <w:t>.</w:t>
      </w:r>
      <w:r w:rsidRPr="00802D35">
        <w:rPr>
          <w:rFonts w:ascii="Times New Roman" w:hAnsi="Times New Roman" w:cs="Times New Roman"/>
          <w:sz w:val="28"/>
          <w:szCs w:val="28"/>
        </w:rPr>
        <w:t xml:space="preserve"> – С.5–54.</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Керимкулова Д.Д. Доходность банковского сектора Республики Казахстан на современном этапе// Современные эк</w:t>
      </w:r>
      <w:r w:rsidR="00062553" w:rsidRPr="00802D35">
        <w:rPr>
          <w:rFonts w:ascii="Times New Roman" w:hAnsi="Times New Roman" w:cs="Times New Roman"/>
          <w:sz w:val="28"/>
          <w:szCs w:val="28"/>
        </w:rPr>
        <w:t>о</w:t>
      </w:r>
      <w:r w:rsidRPr="00802D35">
        <w:rPr>
          <w:rFonts w:ascii="Times New Roman" w:hAnsi="Times New Roman" w:cs="Times New Roman"/>
          <w:sz w:val="28"/>
          <w:szCs w:val="28"/>
        </w:rPr>
        <w:t>номика и управление: глобальные вызовы и перспективы: сборник статей и тезисов докладов XXI Международной научно-практической конференции (18 апреля 2017 г.) / Челябинский филиал Финуниверситета. – М.: Издательство «Перо», 2017. – 246 с. - С.35-40.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Илюнина Д.А., Луняков О.В. Сущность и роль депозитных ресурсов коммерческого банка // Финансы и кредит. – 2017. – Т. 23, № 32. – С. 1894 – 1910.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Стайкова И.И., Вожжов А.П. Формирование ресурсов банками Российской Федерации в кризисный период // Экономика и управление: теория и практика</w:t>
      </w:r>
      <w:r w:rsidR="00062553" w:rsidRPr="00802D35">
        <w:rPr>
          <w:rFonts w:ascii="Times New Roman" w:hAnsi="Times New Roman" w:cs="Times New Roman"/>
          <w:sz w:val="28"/>
          <w:szCs w:val="28"/>
        </w:rPr>
        <w:t xml:space="preserve">, </w:t>
      </w:r>
      <w:r w:rsidRPr="00802D35">
        <w:rPr>
          <w:rFonts w:ascii="Times New Roman" w:hAnsi="Times New Roman" w:cs="Times New Roman"/>
          <w:sz w:val="28"/>
          <w:szCs w:val="28"/>
        </w:rPr>
        <w:t xml:space="preserve">2016. </w:t>
      </w:r>
      <w:r w:rsidR="00062553" w:rsidRPr="00802D35">
        <w:rPr>
          <w:rFonts w:ascii="Times New Roman" w:hAnsi="Times New Roman" w:cs="Times New Roman"/>
          <w:sz w:val="28"/>
          <w:szCs w:val="28"/>
        </w:rPr>
        <w:t xml:space="preserve">- </w:t>
      </w:r>
      <w:r w:rsidRPr="00802D35">
        <w:rPr>
          <w:rFonts w:ascii="Times New Roman" w:hAnsi="Times New Roman" w:cs="Times New Roman"/>
          <w:sz w:val="28"/>
          <w:szCs w:val="28"/>
        </w:rPr>
        <w:t>Т. 2. № 2.</w:t>
      </w:r>
      <w:r w:rsidR="00062553" w:rsidRPr="00802D35">
        <w:rPr>
          <w:rFonts w:ascii="Times New Roman" w:hAnsi="Times New Roman" w:cs="Times New Roman"/>
          <w:sz w:val="28"/>
          <w:szCs w:val="28"/>
        </w:rPr>
        <w:t>-</w:t>
      </w:r>
      <w:r w:rsidRPr="00802D35">
        <w:rPr>
          <w:rFonts w:ascii="Times New Roman" w:hAnsi="Times New Roman" w:cs="Times New Roman"/>
          <w:sz w:val="28"/>
          <w:szCs w:val="28"/>
        </w:rPr>
        <w:t xml:space="preserve"> С. 61–70.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bCs/>
          <w:sz w:val="28"/>
          <w:szCs w:val="28"/>
          <w:lang w:val="en-US"/>
        </w:rPr>
        <w:t>Churm</w:t>
      </w:r>
      <w:r w:rsidR="00032905" w:rsidRPr="00802D35">
        <w:rPr>
          <w:rFonts w:ascii="Times New Roman" w:hAnsi="Times New Roman" w:cs="Times New Roman"/>
          <w:bCs/>
          <w:sz w:val="28"/>
          <w:szCs w:val="28"/>
          <w:lang w:val="en-US"/>
        </w:rPr>
        <w:t>.</w:t>
      </w:r>
      <w:r w:rsidRPr="00802D35">
        <w:rPr>
          <w:rFonts w:ascii="Times New Roman" w:hAnsi="Times New Roman" w:cs="Times New Roman"/>
          <w:bCs/>
          <w:sz w:val="28"/>
          <w:szCs w:val="28"/>
          <w:lang w:val="en-US"/>
        </w:rPr>
        <w:t xml:space="preserve"> R, Leake</w:t>
      </w:r>
      <w:r w:rsidR="00032905" w:rsidRPr="00802D35">
        <w:rPr>
          <w:rFonts w:ascii="Times New Roman" w:hAnsi="Times New Roman" w:cs="Times New Roman"/>
          <w:bCs/>
          <w:sz w:val="28"/>
          <w:szCs w:val="28"/>
          <w:lang w:val="en-US"/>
        </w:rPr>
        <w:t>.</w:t>
      </w:r>
      <w:r w:rsidRPr="00802D35">
        <w:rPr>
          <w:rFonts w:ascii="Times New Roman" w:hAnsi="Times New Roman" w:cs="Times New Roman"/>
          <w:bCs/>
          <w:sz w:val="28"/>
          <w:szCs w:val="28"/>
          <w:lang w:val="en-US"/>
        </w:rPr>
        <w:t xml:space="preserve"> J, Radia</w:t>
      </w:r>
      <w:r w:rsidR="00032905" w:rsidRPr="00802D35">
        <w:rPr>
          <w:rFonts w:ascii="Times New Roman" w:hAnsi="Times New Roman" w:cs="Times New Roman"/>
          <w:bCs/>
          <w:sz w:val="28"/>
          <w:szCs w:val="28"/>
          <w:lang w:val="en-US"/>
        </w:rPr>
        <w:t>.</w:t>
      </w:r>
      <w:r w:rsidRPr="00802D35">
        <w:rPr>
          <w:rFonts w:ascii="Times New Roman" w:hAnsi="Times New Roman" w:cs="Times New Roman"/>
          <w:bCs/>
          <w:sz w:val="28"/>
          <w:szCs w:val="28"/>
          <w:lang w:val="en-US"/>
        </w:rPr>
        <w:t xml:space="preserve"> A, Srinivasan</w:t>
      </w:r>
      <w:r w:rsidR="00032905" w:rsidRPr="00802D35">
        <w:rPr>
          <w:rFonts w:ascii="Times New Roman" w:hAnsi="Times New Roman" w:cs="Times New Roman"/>
          <w:bCs/>
          <w:sz w:val="28"/>
          <w:szCs w:val="28"/>
          <w:lang w:val="en-US"/>
        </w:rPr>
        <w:t>.</w:t>
      </w:r>
      <w:r w:rsidRPr="00802D35">
        <w:rPr>
          <w:rFonts w:ascii="Times New Roman" w:hAnsi="Times New Roman" w:cs="Times New Roman"/>
          <w:bCs/>
          <w:sz w:val="28"/>
          <w:szCs w:val="28"/>
          <w:lang w:val="en-US"/>
        </w:rPr>
        <w:t xml:space="preserve"> S and Whisker</w:t>
      </w:r>
      <w:r w:rsidR="00032905" w:rsidRPr="00802D35">
        <w:rPr>
          <w:rFonts w:ascii="Times New Roman" w:hAnsi="Times New Roman" w:cs="Times New Roman"/>
          <w:bCs/>
          <w:sz w:val="28"/>
          <w:szCs w:val="28"/>
          <w:lang w:val="en-US"/>
        </w:rPr>
        <w:t>.</w:t>
      </w:r>
      <w:r w:rsidRPr="00802D35">
        <w:rPr>
          <w:rFonts w:ascii="Times New Roman" w:hAnsi="Times New Roman" w:cs="Times New Roman"/>
          <w:bCs/>
          <w:sz w:val="28"/>
          <w:szCs w:val="28"/>
          <w:lang w:val="en-US"/>
        </w:rPr>
        <w:t xml:space="preserve"> R </w:t>
      </w:r>
      <w:r w:rsidRPr="00802D35">
        <w:rPr>
          <w:rFonts w:ascii="Times New Roman" w:hAnsi="Times New Roman" w:cs="Times New Roman"/>
          <w:sz w:val="28"/>
          <w:szCs w:val="28"/>
          <w:lang w:val="en-US"/>
        </w:rPr>
        <w:t xml:space="preserve"> The Funding for Lending Scheme</w:t>
      </w:r>
      <w:r w:rsidR="00032905"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w:t>
      </w:r>
      <w:r w:rsidRPr="00802D35">
        <w:rPr>
          <w:rFonts w:ascii="Times New Roman" w:hAnsi="Times New Roman" w:cs="Times New Roman"/>
          <w:iCs/>
          <w:sz w:val="28"/>
          <w:szCs w:val="28"/>
          <w:lang w:val="en-US"/>
        </w:rPr>
        <w:t>Bank of England Quarterly Bulletin</w:t>
      </w:r>
      <w:r w:rsidRPr="00802D35">
        <w:rPr>
          <w:rFonts w:ascii="Times New Roman" w:hAnsi="Times New Roman" w:cs="Times New Roman"/>
          <w:sz w:val="28"/>
          <w:szCs w:val="28"/>
          <w:lang w:val="en-US"/>
        </w:rPr>
        <w:t xml:space="preserve">, </w:t>
      </w:r>
      <w:r w:rsidR="00062553" w:rsidRPr="00802D35">
        <w:rPr>
          <w:rFonts w:ascii="Times New Roman" w:hAnsi="Times New Roman" w:cs="Times New Roman"/>
          <w:bCs/>
          <w:sz w:val="28"/>
          <w:szCs w:val="28"/>
          <w:lang w:val="en-US"/>
        </w:rPr>
        <w:t xml:space="preserve">2012. - </w:t>
      </w:r>
      <w:r w:rsidRPr="00802D35">
        <w:rPr>
          <w:rFonts w:ascii="Times New Roman" w:hAnsi="Times New Roman" w:cs="Times New Roman"/>
          <w:sz w:val="28"/>
          <w:szCs w:val="28"/>
          <w:lang w:val="en-US"/>
        </w:rPr>
        <w:t xml:space="preserve">Vol. 52, </w:t>
      </w:r>
      <w:r w:rsidR="00062553"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4</w:t>
      </w:r>
      <w:r w:rsidR="00062553" w:rsidRPr="00802D35">
        <w:rPr>
          <w:rFonts w:ascii="Times New Roman" w:hAnsi="Times New Roman" w:cs="Times New Roman"/>
          <w:sz w:val="28"/>
          <w:szCs w:val="28"/>
          <w:lang w:val="en-US"/>
        </w:rPr>
        <w:t>. -</w:t>
      </w:r>
      <w:r w:rsidRPr="00802D35">
        <w:rPr>
          <w:rFonts w:ascii="Times New Roman" w:hAnsi="Times New Roman" w:cs="Times New Roman"/>
          <w:sz w:val="28"/>
          <w:szCs w:val="28"/>
          <w:lang w:val="en-US"/>
        </w:rPr>
        <w:t xml:space="preserve"> pages 306–320.</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lang w:val="en-US"/>
        </w:rPr>
      </w:pPr>
      <w:r w:rsidRPr="00802D35">
        <w:rPr>
          <w:rFonts w:ascii="Times New Roman" w:hAnsi="Times New Roman" w:cs="Times New Roman"/>
          <w:sz w:val="28"/>
          <w:szCs w:val="28"/>
          <w:lang w:val="en-US"/>
        </w:rPr>
        <w:t>Basel III: A global regulatory framework for more resilient banks and banking systems/ Basel Committee on Banking Supervision December 2010 (rev June 2011) ISBN web: 92-9197-859-0</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дата</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обращения</w:t>
      </w:r>
      <w:r w:rsidR="00032905" w:rsidRPr="00802D35">
        <w:rPr>
          <w:rFonts w:ascii="Times New Roman" w:hAnsi="Times New Roman" w:cs="Times New Roman"/>
          <w:sz w:val="28"/>
          <w:szCs w:val="28"/>
          <w:lang w:val="en-US"/>
        </w:rPr>
        <w:t>: 20.09.2020).</w:t>
      </w:r>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Style w:val="currentdocdiv"/>
          <w:rFonts w:ascii="Times New Roman" w:hAnsi="Times New Roman" w:cs="Times New Roman"/>
          <w:bCs/>
          <w:sz w:val="28"/>
          <w:szCs w:val="28"/>
        </w:rPr>
        <w:t>Постановление Правления Национального Банка Республики Казахстан от 13 сентября 2017 года № 170 «Об установлении нормативных значений и методик расчетов пруденциальных нормативов и иных обязательных к соблюдению норм и лимитов, размера капитала банка и Правил расчета и лимитов открытой валютной позиции» (с изменениями и дополнениями по состоянию на 30.10.2020 г.)</w:t>
      </w:r>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Style w:val="currentdocdiv"/>
          <w:rFonts w:ascii="Times New Roman" w:hAnsi="Times New Roman" w:cs="Times New Roman"/>
          <w:sz w:val="28"/>
          <w:szCs w:val="28"/>
        </w:rPr>
        <w:t>Закон Республики Казахстан от 30 марта 1995 года № 2155 «О Национальном Банке Республики Казахстан» (с изменениями и дополнениями по состоянию на 02.01.2021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Правила о займах последней инстанции, предоставляемых Национальным Банком Республики Казахстан/ Утверждены совместным постановлением Правления Агентства Республики Казахстан по регулированию и развитию финансового рынка от 5 мая 2020 года № 56 и Правления Национального Банка Республики Казахстан от 5 мая 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lastRenderedPageBreak/>
        <w:t>Правила осуществления операций репо /Утверждены решением Биржевого совета АО «Казахстанская фондовая биржа» (протокол заседания от 29 февраля 2012 года № 4) с изменениями и дополнениями от 24 сентября 2019 года</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eastAsia="Times New Roman" w:hAnsi="Times New Roman" w:cs="Times New Roman"/>
          <w:sz w:val="28"/>
          <w:szCs w:val="28"/>
        </w:rPr>
        <w:t>Давыдов М.Ш. депозитная политика как базовый элемент фондирования коммерческого банка// Academy, 2018. - №10(37). - С.25-31.</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eastAsia="Times New Roman" w:hAnsi="Times New Roman" w:cs="Times New Roman"/>
          <w:sz w:val="28"/>
          <w:szCs w:val="28"/>
        </w:rPr>
        <w:t xml:space="preserve">Васильева А.С. Современное состояние рынка депозитов коммерческих банков / А.С. Васильева, Т.Р. Высоцкая // Международный научно-исследовательский журнал, 2017. </w:t>
      </w:r>
      <w:r w:rsidR="00062553" w:rsidRPr="00802D35">
        <w:rPr>
          <w:rFonts w:ascii="Times New Roman" w:eastAsia="Times New Roman" w:hAnsi="Times New Roman" w:cs="Times New Roman"/>
          <w:sz w:val="28"/>
          <w:szCs w:val="28"/>
        </w:rPr>
        <w:t xml:space="preserve">- </w:t>
      </w:r>
      <w:r w:rsidRPr="00802D35">
        <w:rPr>
          <w:rFonts w:ascii="Times New Roman" w:eastAsia="Times New Roman" w:hAnsi="Times New Roman" w:cs="Times New Roman"/>
          <w:sz w:val="28"/>
          <w:szCs w:val="28"/>
        </w:rPr>
        <w:t xml:space="preserve">№ 7–1. </w:t>
      </w:r>
      <w:r w:rsidR="00062553" w:rsidRPr="00802D35">
        <w:rPr>
          <w:rFonts w:ascii="Times New Roman" w:eastAsia="Times New Roman" w:hAnsi="Times New Roman" w:cs="Times New Roman"/>
          <w:sz w:val="28"/>
          <w:szCs w:val="28"/>
        </w:rPr>
        <w:t xml:space="preserve">- </w:t>
      </w:r>
      <w:r w:rsidRPr="00802D35">
        <w:rPr>
          <w:rFonts w:ascii="Times New Roman" w:eastAsia="Times New Roman" w:hAnsi="Times New Roman" w:cs="Times New Roman"/>
          <w:sz w:val="28"/>
          <w:szCs w:val="28"/>
        </w:rPr>
        <w:t>С. 6–9.</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eastAsia="Times New Roman" w:hAnsi="Times New Roman" w:cs="Times New Roman"/>
          <w:sz w:val="28"/>
          <w:szCs w:val="28"/>
          <w:lang w:val="en-US"/>
        </w:rPr>
        <w:t>Mordel, A. and N. Stephens. Residential Mortgage Securitization in Canada: A Review</w:t>
      </w:r>
      <w:r w:rsidR="00032905" w:rsidRPr="00802D35">
        <w:rPr>
          <w:rFonts w:ascii="Times New Roman" w:eastAsia="Times New Roman" w:hAnsi="Times New Roman" w:cs="Times New Roman"/>
          <w:sz w:val="28"/>
          <w:szCs w:val="28"/>
          <w:lang w:val="en-US"/>
        </w:rPr>
        <w:t>//</w:t>
      </w:r>
      <w:r w:rsidRPr="00802D35">
        <w:rPr>
          <w:rFonts w:ascii="Times New Roman" w:eastAsia="Times New Roman" w:hAnsi="Times New Roman" w:cs="Times New Roman"/>
          <w:sz w:val="28"/>
          <w:szCs w:val="28"/>
          <w:lang w:val="en-US"/>
        </w:rPr>
        <w:t xml:space="preserve"> Bank of Canada Financial System Review</w:t>
      </w:r>
      <w:r w:rsidR="00062553" w:rsidRPr="00802D35">
        <w:rPr>
          <w:rFonts w:ascii="Times New Roman" w:eastAsia="Times New Roman" w:hAnsi="Times New Roman" w:cs="Times New Roman"/>
          <w:sz w:val="28"/>
          <w:szCs w:val="28"/>
          <w:lang w:val="en-US"/>
        </w:rPr>
        <w:t xml:space="preserve">, 2015.- </w:t>
      </w:r>
      <w:r w:rsidRPr="00802D35">
        <w:rPr>
          <w:rFonts w:ascii="Times New Roman" w:eastAsia="Times New Roman" w:hAnsi="Times New Roman" w:cs="Times New Roman"/>
          <w:sz w:val="28"/>
          <w:szCs w:val="28"/>
          <w:lang w:val="en-US"/>
        </w:rPr>
        <w:t xml:space="preserve"> </w:t>
      </w:r>
      <w:r w:rsidR="00062553" w:rsidRPr="00802D35">
        <w:rPr>
          <w:rFonts w:ascii="Times New Roman" w:eastAsia="Times New Roman" w:hAnsi="Times New Roman" w:cs="Times New Roman"/>
          <w:sz w:val="28"/>
          <w:szCs w:val="28"/>
        </w:rPr>
        <w:t>рр.</w:t>
      </w:r>
      <w:r w:rsidRPr="00802D35">
        <w:rPr>
          <w:rFonts w:ascii="Times New Roman" w:eastAsia="Times New Roman" w:hAnsi="Times New Roman" w:cs="Times New Roman"/>
          <w:sz w:val="28"/>
          <w:szCs w:val="28"/>
        </w:rPr>
        <w:t>39–48.</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eastAsia="Times New Roman" w:hAnsi="Times New Roman" w:cs="Times New Roman"/>
          <w:sz w:val="28"/>
          <w:szCs w:val="28"/>
          <w:lang w:val="en-US"/>
        </w:rPr>
        <w:t xml:space="preserve">Matthieu Truno, Andriy Stolyarov, Danny Auger and Michel Assaf Wholesale Funding of the Big Six Canadian Banks// Bank of Canada Review, 2017. – №1. – </w:t>
      </w:r>
      <w:r w:rsidRPr="00802D35">
        <w:rPr>
          <w:rFonts w:ascii="Times New Roman" w:eastAsia="Times New Roman" w:hAnsi="Times New Roman" w:cs="Times New Roman"/>
          <w:sz w:val="28"/>
          <w:szCs w:val="28"/>
        </w:rPr>
        <w:t>рр</w:t>
      </w:r>
      <w:r w:rsidRPr="00802D35">
        <w:rPr>
          <w:rFonts w:ascii="Times New Roman" w:eastAsia="Times New Roman" w:hAnsi="Times New Roman" w:cs="Times New Roman"/>
          <w:sz w:val="28"/>
          <w:szCs w:val="28"/>
          <w:lang w:val="en-US"/>
        </w:rPr>
        <w:t>. 42-55.</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eastAsia="Times New Roman" w:hAnsi="Times New Roman" w:cs="Times New Roman"/>
          <w:sz w:val="28"/>
          <w:szCs w:val="28"/>
        </w:rPr>
        <w:t xml:space="preserve">Гаврилин А.В. Проблемы формирования ресурсной базы коммерческих банков в современных условиях / А.В. Гаврилин, Т.Ю. Тычкова // Современные тенденции развития науки и технологий, 2016. </w:t>
      </w:r>
      <w:r w:rsidR="00062553" w:rsidRPr="00802D35">
        <w:rPr>
          <w:rFonts w:ascii="Times New Roman" w:eastAsia="Times New Roman" w:hAnsi="Times New Roman" w:cs="Times New Roman"/>
          <w:sz w:val="28"/>
          <w:szCs w:val="28"/>
        </w:rPr>
        <w:t xml:space="preserve">- </w:t>
      </w:r>
      <w:r w:rsidRPr="00802D35">
        <w:rPr>
          <w:rFonts w:ascii="Times New Roman" w:eastAsia="Times New Roman" w:hAnsi="Times New Roman" w:cs="Times New Roman"/>
          <w:sz w:val="28"/>
          <w:szCs w:val="28"/>
        </w:rPr>
        <w:t xml:space="preserve">№ 10–9. </w:t>
      </w:r>
      <w:r w:rsidR="00062553" w:rsidRPr="00802D35">
        <w:rPr>
          <w:rFonts w:ascii="Times New Roman" w:eastAsia="Times New Roman" w:hAnsi="Times New Roman" w:cs="Times New Roman"/>
          <w:sz w:val="28"/>
          <w:szCs w:val="28"/>
        </w:rPr>
        <w:t xml:space="preserve">- </w:t>
      </w:r>
      <w:r w:rsidRPr="00802D35">
        <w:rPr>
          <w:rFonts w:ascii="Times New Roman" w:eastAsia="Times New Roman" w:hAnsi="Times New Roman" w:cs="Times New Roman"/>
          <w:sz w:val="28"/>
          <w:szCs w:val="28"/>
        </w:rPr>
        <w:t>С. 21–24.</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eastAsia="Times New Roman" w:hAnsi="Times New Roman" w:cs="Times New Roman"/>
          <w:sz w:val="28"/>
          <w:szCs w:val="28"/>
          <w:lang w:val="en-US"/>
        </w:rPr>
        <w:t xml:space="preserve">Merck Martel, M, A van Rixtel and E González Mota  “Business models of international banks in the wake of the 2007–2009 global financial crisis”, Banco de España Revista de Estabilidad Financiera, </w:t>
      </w:r>
      <w:r w:rsidR="00062553" w:rsidRPr="00802D35">
        <w:rPr>
          <w:rFonts w:ascii="Times New Roman" w:eastAsia="Times New Roman" w:hAnsi="Times New Roman" w:cs="Times New Roman"/>
          <w:sz w:val="28"/>
          <w:szCs w:val="28"/>
          <w:lang w:val="en-US"/>
        </w:rPr>
        <w:t>2012. - №</w:t>
      </w:r>
      <w:r w:rsidRPr="00802D35">
        <w:rPr>
          <w:rFonts w:ascii="Times New Roman" w:eastAsia="Times New Roman" w:hAnsi="Times New Roman" w:cs="Times New Roman"/>
          <w:sz w:val="28"/>
          <w:szCs w:val="28"/>
          <w:lang w:val="en-US"/>
        </w:rPr>
        <w:t xml:space="preserve"> 22</w:t>
      </w:r>
      <w:r w:rsidR="00062553" w:rsidRPr="00802D35">
        <w:rPr>
          <w:rFonts w:ascii="Times New Roman" w:eastAsia="Times New Roman" w:hAnsi="Times New Roman" w:cs="Times New Roman"/>
          <w:sz w:val="28"/>
          <w:szCs w:val="28"/>
          <w:lang w:val="en-US"/>
        </w:rPr>
        <w:t>. -</w:t>
      </w:r>
      <w:r w:rsidRPr="00802D35">
        <w:rPr>
          <w:rFonts w:ascii="Times New Roman" w:eastAsia="Times New Roman" w:hAnsi="Times New Roman" w:cs="Times New Roman"/>
          <w:sz w:val="28"/>
          <w:szCs w:val="28"/>
          <w:lang w:val="en-US"/>
        </w:rPr>
        <w:t xml:space="preserve"> pp 99–121.</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eastAsia="Times New Roman" w:hAnsi="Times New Roman" w:cs="Times New Roman"/>
          <w:sz w:val="28"/>
          <w:szCs w:val="28"/>
          <w:lang w:val="en-US"/>
        </w:rPr>
        <w:t xml:space="preserve">Fender, I and P McGuire: “European banks’ US dollar funding pressures”, BIS Quarterly Review, June, </w:t>
      </w:r>
      <w:r w:rsidR="00062553" w:rsidRPr="00802D35">
        <w:rPr>
          <w:rFonts w:ascii="Times New Roman" w:eastAsia="Times New Roman" w:hAnsi="Times New Roman" w:cs="Times New Roman"/>
          <w:sz w:val="28"/>
          <w:szCs w:val="28"/>
          <w:lang w:val="en-US"/>
        </w:rPr>
        <w:t xml:space="preserve">2010. - </w:t>
      </w:r>
      <w:r w:rsidRPr="00802D35">
        <w:rPr>
          <w:rFonts w:ascii="Times New Roman" w:eastAsia="Times New Roman" w:hAnsi="Times New Roman" w:cs="Times New Roman"/>
          <w:sz w:val="28"/>
          <w:szCs w:val="28"/>
          <w:lang w:val="en-US"/>
        </w:rPr>
        <w:t>pp 57–64.</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Текущее состояние банковского сектора Республики Казахстан по состоянию на 01.01.2015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Текущее состояние банковского сектора Республики Казахстан по состоянию на 01.01.2016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Текущее состояние банковского сектора Республики Казахстан по состоянию на 01.01.2017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Текущее состояние банковского сектора Республики Казахстан по состоянию на 01.01.2018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Текущее состояние банковского сектора Республики Казахстан по состоянию на 01.01.2019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Текущее состояние банковского сектора Республики Казахстан по состоянию на 01.01.2020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Текущее состояние банковского сектора Республики Казахстан по состоянию на 01.01.2021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bCs/>
          <w:sz w:val="28"/>
          <w:szCs w:val="28"/>
        </w:rPr>
        <w:t>Бакашбаев А.Ж., Гумар Н.А. Ресурсы банков: сущность и значение// VII международная научно-практическая конференция МЦНС «НАУКА И ПРОСВЕЩЕНИЕ». – С.119-121.</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Сведения о структуре вкладов 2017 г. </w:t>
      </w:r>
      <w:hyperlink r:id="rId121" w:history="1">
        <w:r w:rsidRPr="00802D35">
          <w:rPr>
            <w:rStyle w:val="a6"/>
            <w:rFonts w:ascii="Times New Roman" w:hAnsi="Times New Roman" w:cs="Times New Roman"/>
            <w:color w:val="auto"/>
            <w:sz w:val="28"/>
            <w:szCs w:val="28"/>
          </w:rPr>
          <w:t>https://nationalbank.kz/ru/news/svedeniya-o-strukture-vkladov/rubrics/1592</w:t>
        </w:r>
      </w:hyperlink>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Сведения о структуре вкладов 2018 г. </w:t>
      </w:r>
      <w:hyperlink r:id="rId122" w:history="1">
        <w:r w:rsidRPr="00802D35">
          <w:rPr>
            <w:rStyle w:val="a6"/>
            <w:rFonts w:ascii="Times New Roman" w:hAnsi="Times New Roman" w:cs="Times New Roman"/>
            <w:color w:val="auto"/>
            <w:sz w:val="28"/>
            <w:szCs w:val="28"/>
          </w:rPr>
          <w:t>https://nationalbank.kz/ru/news/svedeniya-o-strukture-vkladov/rubrics/1592</w:t>
        </w:r>
      </w:hyperlink>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lastRenderedPageBreak/>
        <w:t xml:space="preserve">Сведения о структуре вкладов 2019 г. </w:t>
      </w:r>
      <w:hyperlink r:id="rId123" w:history="1">
        <w:r w:rsidRPr="00802D35">
          <w:rPr>
            <w:rStyle w:val="a6"/>
            <w:rFonts w:ascii="Times New Roman" w:hAnsi="Times New Roman" w:cs="Times New Roman"/>
            <w:color w:val="auto"/>
            <w:sz w:val="28"/>
            <w:szCs w:val="28"/>
          </w:rPr>
          <w:t>https://nationalbank.kz/ru/news/svedeniya-o-strukture-vkladov/rubrics/1592</w:t>
        </w:r>
      </w:hyperlink>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Сведения о структуре вкладов 2020 г. </w:t>
      </w:r>
      <w:hyperlink r:id="rId124" w:history="1">
        <w:r w:rsidRPr="00802D35">
          <w:rPr>
            <w:rStyle w:val="a6"/>
            <w:rFonts w:ascii="Times New Roman" w:hAnsi="Times New Roman" w:cs="Times New Roman"/>
            <w:color w:val="auto"/>
            <w:sz w:val="28"/>
            <w:szCs w:val="28"/>
          </w:rPr>
          <w:t>https://nationalbank.kz/ru/news/svedeniya-o-strukture-vkladov/rubrics/1592</w:t>
        </w:r>
      </w:hyperlink>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Сведения о выполнении пруденциальных нормативов 2017 г. </w:t>
      </w:r>
      <w:hyperlink r:id="rId125" w:history="1">
        <w:r w:rsidRPr="00802D35">
          <w:rPr>
            <w:rStyle w:val="a6"/>
            <w:rFonts w:ascii="Times New Roman" w:hAnsi="Times New Roman" w:cs="Times New Roman"/>
            <w:color w:val="auto"/>
            <w:sz w:val="28"/>
            <w:szCs w:val="28"/>
          </w:rPr>
          <w:t>https://nationalbank.kz/ru/news/svedeniya-o-vypolnenii-normativov/rubrics/1586</w:t>
        </w:r>
      </w:hyperlink>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Fonts w:ascii="Times New Roman" w:hAnsi="Times New Roman" w:cs="Times New Roman"/>
          <w:sz w:val="28"/>
          <w:szCs w:val="28"/>
        </w:rPr>
        <w:t>Сведения о выполнении пруденциальных нормативов 2018 г. https://nationalbank.kz/ru/news/svedeniya-o-vypolnenii-normativov/rubrics/1586</w:t>
      </w:r>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Fonts w:ascii="Times New Roman" w:hAnsi="Times New Roman" w:cs="Times New Roman"/>
          <w:sz w:val="28"/>
          <w:szCs w:val="28"/>
        </w:rPr>
        <w:t>Сведения о выполнении пруденциальных нормативов 2019 г. https://nationalbank.kz/ru/news/svedeniya-o-vypolnenii-normativov/rubrics/1586</w:t>
      </w:r>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Fonts w:ascii="Times New Roman" w:hAnsi="Times New Roman" w:cs="Times New Roman"/>
          <w:sz w:val="28"/>
          <w:szCs w:val="28"/>
        </w:rPr>
        <w:t>Сведения о выполнении пруденциальных нормативов 2020 г. https://nationalbank.kz/ru/news/svedeniya-o-vypolnenii-normativov/rubrics/1586</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bCs/>
          <w:sz w:val="28"/>
          <w:szCs w:val="28"/>
          <w:lang w:val="en-US"/>
        </w:rPr>
        <w:t>A. Zh. Bakashbayev, N. A. Gumar Analysis of sources of funding banks of the second level world experience and Kazakhstan practice//News of the National academy of sciences of the Republic of Kazakhstan/ series of social and human sciences</w:t>
      </w:r>
      <w:r w:rsidR="00062553" w:rsidRPr="00802D35">
        <w:rPr>
          <w:rFonts w:ascii="Times New Roman" w:hAnsi="Times New Roman" w:cs="Times New Roman"/>
          <w:bCs/>
          <w:sz w:val="28"/>
          <w:szCs w:val="28"/>
          <w:lang w:val="en-US"/>
        </w:rPr>
        <w:t xml:space="preserve">, </w:t>
      </w:r>
      <w:r w:rsidR="00062553" w:rsidRPr="00802D35">
        <w:rPr>
          <w:rFonts w:ascii="Times New Roman" w:hAnsi="Times New Roman" w:cs="Times New Roman"/>
          <w:sz w:val="28"/>
          <w:szCs w:val="28"/>
          <w:lang w:val="en-US"/>
        </w:rPr>
        <w:t>2019. -</w:t>
      </w:r>
      <w:r w:rsidRPr="00802D35">
        <w:rPr>
          <w:rFonts w:ascii="Times New Roman" w:hAnsi="Times New Roman" w:cs="Times New Roman"/>
          <w:bCs/>
          <w:sz w:val="28"/>
          <w:szCs w:val="28"/>
          <w:lang w:val="en-US"/>
        </w:rPr>
        <w:t xml:space="preserve"> </w:t>
      </w:r>
      <w:r w:rsidRPr="00802D35">
        <w:rPr>
          <w:rFonts w:ascii="Times New Roman" w:hAnsi="Times New Roman" w:cs="Times New Roman"/>
          <w:sz w:val="28"/>
          <w:szCs w:val="28"/>
          <w:lang w:val="en-US"/>
        </w:rPr>
        <w:t>Volume 3, Number 325</w:t>
      </w:r>
      <w:r w:rsidR="00062553" w:rsidRPr="00802D35">
        <w:rPr>
          <w:rFonts w:ascii="Times New Roman" w:hAnsi="Times New Roman" w:cs="Times New Roman"/>
          <w:sz w:val="28"/>
          <w:szCs w:val="28"/>
          <w:lang w:val="en-US"/>
        </w:rPr>
        <w:t>. -</w:t>
      </w:r>
      <w:r w:rsidRPr="00802D35">
        <w:rPr>
          <w:rFonts w:ascii="Times New Roman" w:hAnsi="Times New Roman" w:cs="Times New Roman"/>
          <w:sz w:val="28"/>
          <w:szCs w:val="28"/>
          <w:lang w:val="en-US"/>
        </w:rPr>
        <w:t xml:space="preserve">  </w:t>
      </w:r>
      <w:r w:rsidR="00062553" w:rsidRPr="00802D35">
        <w:rPr>
          <w:rFonts w:ascii="Times New Roman" w:hAnsi="Times New Roman" w:cs="Times New Roman"/>
          <w:sz w:val="28"/>
          <w:szCs w:val="28"/>
        </w:rPr>
        <w:t>рр</w:t>
      </w:r>
      <w:r w:rsidR="00062553"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lang w:val="en-US"/>
        </w:rPr>
        <w:t xml:space="preserve">221 – 229 ISSN 2224-5294 </w:t>
      </w:r>
      <w:hyperlink r:id="rId126" w:history="1">
        <w:r w:rsidRPr="00802D35">
          <w:rPr>
            <w:rStyle w:val="a6"/>
            <w:rFonts w:ascii="Times New Roman" w:hAnsi="Times New Roman" w:cs="Times New Roman"/>
            <w:color w:val="auto"/>
            <w:sz w:val="28"/>
            <w:szCs w:val="28"/>
            <w:lang w:val="en-US"/>
          </w:rPr>
          <w:t>https://doi.org/10.32014/2019.2224-5294.116</w:t>
        </w:r>
      </w:hyperlink>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bCs/>
          <w:sz w:val="28"/>
          <w:szCs w:val="28"/>
        </w:rPr>
        <w:t>Бакашбаев</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А</w:t>
      </w:r>
      <w:r w:rsidRPr="00802D35">
        <w:rPr>
          <w:rFonts w:ascii="Times New Roman" w:hAnsi="Times New Roman" w:cs="Times New Roman"/>
          <w:bCs/>
          <w:sz w:val="28"/>
          <w:szCs w:val="28"/>
          <w:lang w:val="en-US"/>
        </w:rPr>
        <w:t>.</w:t>
      </w:r>
      <w:r w:rsidRPr="00802D35">
        <w:rPr>
          <w:rFonts w:ascii="Times New Roman" w:hAnsi="Times New Roman" w:cs="Times New Roman"/>
          <w:bCs/>
          <w:sz w:val="28"/>
          <w:szCs w:val="28"/>
        </w:rPr>
        <w:t>Ж</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Нургалиева</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А</w:t>
      </w:r>
      <w:r w:rsidRPr="00802D35">
        <w:rPr>
          <w:rFonts w:ascii="Times New Roman" w:hAnsi="Times New Roman" w:cs="Times New Roman"/>
          <w:bCs/>
          <w:sz w:val="28"/>
          <w:szCs w:val="28"/>
          <w:lang w:val="en-US"/>
        </w:rPr>
        <w:t>.</w:t>
      </w:r>
      <w:r w:rsidRPr="00802D35">
        <w:rPr>
          <w:rFonts w:ascii="Times New Roman" w:hAnsi="Times New Roman" w:cs="Times New Roman"/>
          <w:bCs/>
          <w:sz w:val="28"/>
          <w:szCs w:val="28"/>
        </w:rPr>
        <w:t>М</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Факторы</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влияющие</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на</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объемы</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банковского</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фондирования</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в</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период</w:t>
      </w:r>
      <w:r w:rsidRPr="00802D35">
        <w:rPr>
          <w:rFonts w:ascii="Times New Roman" w:hAnsi="Times New Roman" w:cs="Times New Roman"/>
          <w:bCs/>
          <w:sz w:val="28"/>
          <w:szCs w:val="28"/>
          <w:lang w:val="en-US"/>
        </w:rPr>
        <w:t xml:space="preserve"> </w:t>
      </w:r>
      <w:r w:rsidRPr="00802D35">
        <w:rPr>
          <w:rFonts w:ascii="Times New Roman" w:hAnsi="Times New Roman" w:cs="Times New Roman"/>
          <w:bCs/>
          <w:sz w:val="28"/>
          <w:szCs w:val="28"/>
        </w:rPr>
        <w:t>кризиса</w:t>
      </w:r>
      <w:r w:rsidRPr="00802D35">
        <w:rPr>
          <w:rFonts w:ascii="Times New Roman" w:hAnsi="Times New Roman" w:cs="Times New Roman"/>
          <w:bCs/>
          <w:sz w:val="28"/>
          <w:szCs w:val="28"/>
          <w:lang w:val="en-US"/>
        </w:rPr>
        <w:t>//</w:t>
      </w:r>
      <w:r w:rsidRPr="00802D35">
        <w:rPr>
          <w:rFonts w:ascii="Times New Roman" w:hAnsi="Times New Roman" w:cs="Times New Roman"/>
          <w:iCs/>
          <w:sz w:val="28"/>
          <w:szCs w:val="28"/>
          <w:lang w:val="en-US"/>
        </w:rPr>
        <w:t xml:space="preserve"> Dynamics of the development of world science. Abstracts of the 8th International scientific and practical conference. Perfect Publishing. </w:t>
      </w:r>
      <w:r w:rsidRPr="00802D35">
        <w:rPr>
          <w:rFonts w:ascii="Times New Roman" w:hAnsi="Times New Roman" w:cs="Times New Roman"/>
          <w:iCs/>
          <w:sz w:val="28"/>
          <w:szCs w:val="28"/>
        </w:rPr>
        <w:t xml:space="preserve">Vancouver, Canada. 2020. </w:t>
      </w:r>
      <w:r w:rsidR="00062553" w:rsidRPr="00802D35">
        <w:rPr>
          <w:rFonts w:ascii="Times New Roman" w:hAnsi="Times New Roman" w:cs="Times New Roman"/>
          <w:iCs/>
          <w:sz w:val="28"/>
          <w:szCs w:val="28"/>
        </w:rPr>
        <w:t xml:space="preserve">- </w:t>
      </w:r>
      <w:r w:rsidRPr="00802D35">
        <w:rPr>
          <w:rFonts w:ascii="Times New Roman" w:hAnsi="Times New Roman" w:cs="Times New Roman"/>
          <w:iCs/>
          <w:sz w:val="28"/>
          <w:szCs w:val="28"/>
        </w:rPr>
        <w:t xml:space="preserve">Pp. 275-282. URL: </w:t>
      </w:r>
      <w:hyperlink r:id="rId127" w:history="1">
        <w:r w:rsidRPr="00802D35">
          <w:rPr>
            <w:rStyle w:val="a6"/>
            <w:rFonts w:ascii="Times New Roman" w:hAnsi="Times New Roman" w:cs="Times New Roman"/>
            <w:iCs/>
            <w:color w:val="auto"/>
            <w:sz w:val="28"/>
            <w:szCs w:val="28"/>
          </w:rPr>
          <w:t>http://sci-conf.com.ua</w:t>
        </w:r>
      </w:hyperlink>
      <w:r w:rsidRPr="00802D35">
        <w:rPr>
          <w:rFonts w:ascii="Times New Roman" w:hAnsi="Times New Roman" w:cs="Times New Roman"/>
          <w:iCs/>
          <w:sz w:val="28"/>
          <w:szCs w:val="28"/>
        </w:rPr>
        <w:t>.</w:t>
      </w:r>
      <w:r w:rsidR="00032905" w:rsidRPr="00802D35">
        <w:rPr>
          <w:rFonts w:ascii="Times New Roman" w:hAnsi="Times New Roman" w:cs="Times New Roman"/>
          <w:iCs/>
          <w:sz w:val="28"/>
          <w:szCs w:val="28"/>
        </w:rPr>
        <w:t xml:space="preserve"> </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Постановление Правления НБРК от 31.12.19 г. № 267 "О внесении изменений и дополнений в некоторые постановления Правления Национального Банка Республики Казахстан по вопросам ведения бухгалтерского учета"</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Ставки вознаграждения банков по привлеченным депозитам (по срокам и видам валют) 2017 г. </w:t>
      </w:r>
      <w:hyperlink r:id="rId128" w:history="1">
        <w:r w:rsidRPr="00802D35">
          <w:rPr>
            <w:rStyle w:val="a6"/>
            <w:rFonts w:ascii="Times New Roman" w:hAnsi="Times New Roman" w:cs="Times New Roman"/>
            <w:color w:val="auto"/>
            <w:sz w:val="28"/>
            <w:szCs w:val="28"/>
          </w:rPr>
          <w:t>https://nationalbank.kz/ru/interestratesofbanksonat/stavki-voznagrazhdeniya-bankov-po-privlechennym-depozitampo-srokam-i-vidam-valyut</w:t>
        </w:r>
      </w:hyperlink>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Fonts w:ascii="Times New Roman" w:hAnsi="Times New Roman" w:cs="Times New Roman"/>
          <w:sz w:val="28"/>
          <w:szCs w:val="28"/>
        </w:rPr>
        <w:t>Ставки вознаграждения банков по привлеченным депозитам (по срокам и видам валют) 2018 г. https://nationalbank.kz/ru/interestratesofbanksonat/stavki-voznagrazhdeniya-bankov-po-privlechennym-depozitampo-srokam-i-vidam-valyut</w:t>
      </w:r>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Fonts w:ascii="Times New Roman" w:hAnsi="Times New Roman" w:cs="Times New Roman"/>
          <w:sz w:val="28"/>
          <w:szCs w:val="28"/>
        </w:rPr>
        <w:t>Ставки вознаграждения банков по привлеченным депозитам (по срокам и видам валют) 2019 г. https://nationalbank.kz/ru/interestratesofbanksonat/stavki-voznagrazhdeniya-bankov-po-privlechennym-depozitampo-srokam-i-vidam-valyut</w:t>
      </w:r>
    </w:p>
    <w:p w:rsidR="00705DF2" w:rsidRPr="00802D35" w:rsidRDefault="00705DF2" w:rsidP="000A006A">
      <w:pPr>
        <w:pStyle w:val="a3"/>
        <w:numPr>
          <w:ilvl w:val="0"/>
          <w:numId w:val="20"/>
        </w:numPr>
        <w:tabs>
          <w:tab w:val="left" w:pos="1134"/>
        </w:tabs>
        <w:spacing w:after="0" w:line="240" w:lineRule="auto"/>
        <w:ind w:left="0" w:firstLine="567"/>
        <w:jc w:val="both"/>
        <w:rPr>
          <w:rStyle w:val="currentdocdiv"/>
          <w:rFonts w:ascii="Times New Roman" w:hAnsi="Times New Roman" w:cs="Times New Roman"/>
          <w:iCs/>
          <w:sz w:val="28"/>
          <w:szCs w:val="28"/>
          <w:shd w:val="clear" w:color="auto" w:fill="FFFFFF"/>
        </w:rPr>
      </w:pPr>
      <w:r w:rsidRPr="00802D35">
        <w:rPr>
          <w:rFonts w:ascii="Times New Roman" w:hAnsi="Times New Roman" w:cs="Times New Roman"/>
          <w:sz w:val="28"/>
          <w:szCs w:val="28"/>
        </w:rPr>
        <w:t>Ставки вознаграждения банков по привлеченным депозитам (по срокам и видам валют) 2020 г. https://nationalbank.kz/ru/interestratesofbanksonat/stavki-voznagrazhdeniya-bankov-po-privlechennym-depozitampo-srokam-i-vidam-valyut</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lang w:val="en-US"/>
        </w:rPr>
      </w:pPr>
      <w:r w:rsidRPr="00802D35">
        <w:rPr>
          <w:rFonts w:ascii="Times New Roman" w:hAnsi="Times New Roman" w:cs="Times New Roman"/>
          <w:sz w:val="28"/>
          <w:szCs w:val="28"/>
          <w:lang w:val="en-US"/>
        </w:rPr>
        <w:t xml:space="preserve">Yohann De Castro, Fabrice Gamboa, Didier Henrion, Roxana Hess and Jean-Bernard Lasserre Approximate Optimal Designs for Multivariate Polynomial </w:t>
      </w:r>
      <w:r w:rsidRPr="00802D35">
        <w:rPr>
          <w:rFonts w:ascii="Times New Roman" w:hAnsi="Times New Roman" w:cs="Times New Roman"/>
          <w:sz w:val="28"/>
          <w:szCs w:val="28"/>
          <w:lang w:val="en-US"/>
        </w:rPr>
        <w:lastRenderedPageBreak/>
        <w:t xml:space="preserve">Regression 2017. - </w:t>
      </w:r>
      <w:hyperlink r:id="rId129" w:history="1">
        <w:r w:rsidRPr="00802D35">
          <w:rPr>
            <w:rStyle w:val="a6"/>
            <w:rFonts w:ascii="Times New Roman" w:hAnsi="Times New Roman" w:cs="Times New Roman"/>
            <w:color w:val="auto"/>
            <w:sz w:val="28"/>
            <w:szCs w:val="28"/>
            <w:lang w:val="en-US"/>
          </w:rPr>
          <w:t>https://arxiv.org/pdf/1706.04059.pdf</w:t>
        </w:r>
      </w:hyperlink>
      <w:r w:rsidR="00032905" w:rsidRPr="00802D35">
        <w:rPr>
          <w:rStyle w:val="a6"/>
          <w:rFonts w:ascii="Times New Roman" w:hAnsi="Times New Roman" w:cs="Times New Roman"/>
          <w:color w:val="auto"/>
          <w:sz w:val="28"/>
          <w:szCs w:val="28"/>
          <w:lang w:val="en-US"/>
        </w:rPr>
        <w:t xml:space="preserve"> </w:t>
      </w:r>
      <w:r w:rsidR="00032905" w:rsidRPr="00802D35">
        <w:rPr>
          <w:rFonts w:ascii="Times New Roman" w:hAnsi="Times New Roman" w:cs="Times New Roman"/>
          <w:sz w:val="28"/>
          <w:szCs w:val="28"/>
          <w:lang w:val="en-US"/>
        </w:rPr>
        <w:t>(</w:t>
      </w:r>
      <w:r w:rsidR="00032905" w:rsidRPr="00802D35">
        <w:rPr>
          <w:rFonts w:ascii="Times New Roman" w:hAnsi="Times New Roman" w:cs="Times New Roman"/>
          <w:sz w:val="28"/>
          <w:szCs w:val="28"/>
        </w:rPr>
        <w:t>дата</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обращения</w:t>
      </w:r>
      <w:r w:rsidR="00032905" w:rsidRPr="00802D35">
        <w:rPr>
          <w:rFonts w:ascii="Times New Roman" w:hAnsi="Times New Roman" w:cs="Times New Roman"/>
          <w:sz w:val="28"/>
          <w:szCs w:val="28"/>
          <w:lang w:val="en-US"/>
        </w:rPr>
        <w:t>: 13.09.2020).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Эконометрика: учебное пособие для студентов, обучающихся по направлениям подготовки укрупненной группы специальностей «Экономика и управление» / [авт.-сост. М.Г. Тиндова, О.С. Кузнецова]. – Саратов: CСЭИ РЭУ им. Г.В. Плеханова, 2015. – 108 с.</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Emmanuel Caron. Asymptotic distribution of least square estimators for linear models with dependent errors. Statistics, Taylor &amp; Francis: STM, Behavioural Science and Public Health Titles, 2019</w:t>
      </w:r>
      <w:r w:rsidR="00062553" w:rsidRPr="00802D35">
        <w:rPr>
          <w:rFonts w:ascii="Times New Roman" w:hAnsi="Times New Roman" w:cs="Times New Roman"/>
          <w:sz w:val="28"/>
          <w:szCs w:val="28"/>
          <w:lang w:val="en-US"/>
        </w:rPr>
        <w:t>. - №</w:t>
      </w:r>
      <w:r w:rsidRPr="00802D35">
        <w:rPr>
          <w:rFonts w:ascii="Times New Roman" w:hAnsi="Times New Roman" w:cs="Times New Roman"/>
          <w:sz w:val="28"/>
          <w:szCs w:val="28"/>
          <w:lang w:val="en-US"/>
        </w:rPr>
        <w:t xml:space="preserve"> 53 (4)</w:t>
      </w:r>
      <w:r w:rsidR="00062553" w:rsidRPr="00802D35">
        <w:rPr>
          <w:rFonts w:ascii="Times New Roman" w:hAnsi="Times New Roman" w:cs="Times New Roman"/>
          <w:sz w:val="28"/>
          <w:szCs w:val="28"/>
          <w:lang w:val="en-US"/>
        </w:rPr>
        <w:t xml:space="preserve">. - </w:t>
      </w:r>
      <w:r w:rsidRPr="00802D35">
        <w:rPr>
          <w:rFonts w:ascii="Times New Roman" w:hAnsi="Times New Roman" w:cs="Times New Roman"/>
          <w:sz w:val="28"/>
          <w:szCs w:val="28"/>
          <w:lang w:val="en-US"/>
        </w:rPr>
        <w:t>pp.885-902.</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Н. А. Ященко Эконометрический анализ депопуляции населения России// Вестник Алтайской академии экономики и права, 2020. – №8. – С.124-129.</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Бабешко Л.О., Бич М.Г., Орлова И.В. Эконометрика и эконометрическое моделирование: учебник. М.: Вузовский учебник: ИНФРА-М, 2017.</w:t>
      </w:r>
      <w:r w:rsidR="00062553" w:rsidRPr="00802D35">
        <w:rPr>
          <w:rFonts w:ascii="Times New Roman" w:hAnsi="Times New Roman" w:cs="Times New Roman"/>
          <w:sz w:val="28"/>
          <w:szCs w:val="28"/>
        </w:rPr>
        <w:t>-</w:t>
      </w:r>
      <w:r w:rsidRPr="00802D35">
        <w:rPr>
          <w:rFonts w:ascii="Times New Roman" w:hAnsi="Times New Roman" w:cs="Times New Roman"/>
          <w:sz w:val="28"/>
          <w:szCs w:val="28"/>
        </w:rPr>
        <w:t xml:space="preserve"> 400 с.</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Todorov, V. and Filzmoser, P. Robust statistic for the one-way MANOVA</w:t>
      </w:r>
      <w:r w:rsidR="00062553"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Computational Statistics and Data Analysis, </w:t>
      </w:r>
      <w:r w:rsidR="00062553" w:rsidRPr="00802D35">
        <w:rPr>
          <w:rFonts w:ascii="Times New Roman" w:hAnsi="Times New Roman" w:cs="Times New Roman"/>
          <w:sz w:val="28"/>
          <w:szCs w:val="28"/>
          <w:lang w:val="en-US"/>
        </w:rPr>
        <w:t>2010. - №</w:t>
      </w:r>
      <w:r w:rsidRPr="00802D35">
        <w:rPr>
          <w:rFonts w:ascii="Times New Roman" w:hAnsi="Times New Roman" w:cs="Times New Roman"/>
          <w:sz w:val="28"/>
          <w:szCs w:val="28"/>
          <w:lang w:val="en-US"/>
        </w:rPr>
        <w:t>54</w:t>
      </w:r>
      <w:r w:rsidR="00062553" w:rsidRPr="00802D35">
        <w:rPr>
          <w:rFonts w:ascii="Times New Roman" w:hAnsi="Times New Roman" w:cs="Times New Roman"/>
          <w:sz w:val="28"/>
          <w:szCs w:val="28"/>
          <w:lang w:val="en-US"/>
        </w:rPr>
        <w:t xml:space="preserve">. – </w:t>
      </w:r>
      <w:r w:rsidR="00062553" w:rsidRPr="00802D35">
        <w:rPr>
          <w:rFonts w:ascii="Times New Roman" w:hAnsi="Times New Roman" w:cs="Times New Roman"/>
          <w:sz w:val="28"/>
          <w:szCs w:val="28"/>
        </w:rPr>
        <w:t>рр</w:t>
      </w:r>
      <w:r w:rsidR="00062553"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37–48.</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lang w:val="en-US"/>
        </w:rPr>
      </w:pPr>
      <w:r w:rsidRPr="00802D35">
        <w:rPr>
          <w:rFonts w:ascii="Times New Roman" w:hAnsi="Times New Roman" w:cs="Times New Roman"/>
          <w:sz w:val="28"/>
          <w:szCs w:val="28"/>
          <w:lang w:val="en-US"/>
        </w:rPr>
        <w:t xml:space="preserve">Aaron French, Marcelo Macedo, John Poulsen, Tyler Waterson and Angela Yu Multivariate Analysis of Variance (MANOVA) </w:t>
      </w:r>
      <w:hyperlink r:id="rId130" w:history="1">
        <w:r w:rsidRPr="00802D35">
          <w:rPr>
            <w:rStyle w:val="a6"/>
            <w:rFonts w:ascii="Times New Roman" w:hAnsi="Times New Roman" w:cs="Times New Roman"/>
            <w:color w:val="auto"/>
            <w:sz w:val="28"/>
            <w:szCs w:val="28"/>
            <w:lang w:val="en-US"/>
          </w:rPr>
          <w:t>http://online.sfsu.edu/efc/classes/biol710/manova/MANOVAnewest.pdf</w:t>
        </w:r>
      </w:hyperlink>
      <w:r w:rsidR="00032905" w:rsidRPr="00802D35">
        <w:rPr>
          <w:rStyle w:val="a6"/>
          <w:rFonts w:ascii="Times New Roman" w:hAnsi="Times New Roman" w:cs="Times New Roman"/>
          <w:color w:val="auto"/>
          <w:sz w:val="28"/>
          <w:szCs w:val="28"/>
          <w:lang w:val="en-US"/>
        </w:rPr>
        <w:t xml:space="preserve"> </w:t>
      </w:r>
      <w:r w:rsidR="00032905" w:rsidRPr="00802D35">
        <w:rPr>
          <w:rFonts w:ascii="Times New Roman" w:hAnsi="Times New Roman" w:cs="Times New Roman"/>
          <w:sz w:val="28"/>
          <w:szCs w:val="28"/>
          <w:lang w:val="en-US"/>
        </w:rPr>
        <w:t>(</w:t>
      </w:r>
      <w:r w:rsidR="00032905" w:rsidRPr="00802D35">
        <w:rPr>
          <w:rFonts w:ascii="Times New Roman" w:hAnsi="Times New Roman" w:cs="Times New Roman"/>
          <w:sz w:val="28"/>
          <w:szCs w:val="28"/>
        </w:rPr>
        <w:t>дата</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обращения</w:t>
      </w:r>
      <w:r w:rsidR="00032905" w:rsidRPr="00802D35">
        <w:rPr>
          <w:rFonts w:ascii="Times New Roman" w:hAnsi="Times New Roman" w:cs="Times New Roman"/>
          <w:sz w:val="28"/>
          <w:szCs w:val="28"/>
          <w:lang w:val="en-US"/>
        </w:rPr>
        <w:t>: 21.10.2020).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bCs/>
          <w:sz w:val="28"/>
          <w:szCs w:val="28"/>
          <w:shd w:val="clear" w:color="auto" w:fill="FFFFFF"/>
        </w:rPr>
        <w:t xml:space="preserve">Бобков Н. Н. </w:t>
      </w:r>
      <w:r w:rsidRPr="00802D35">
        <w:rPr>
          <w:rFonts w:ascii="Times New Roman" w:hAnsi="Times New Roman" w:cs="Times New Roman"/>
          <w:sz w:val="28"/>
          <w:szCs w:val="28"/>
        </w:rPr>
        <w:t>Курс математического анализа для студентов экономических специальностей: учебник для студентов экономических специальностей / Н. Н. Бобков; Гос. ун–т Высш. шк. экономики. – Москва: Макс Пресс, 2007. – 622 с. ISBN 978–5–7598–0515–1</w:t>
      </w:r>
    </w:p>
    <w:p w:rsidR="00705DF2" w:rsidRPr="00802D35" w:rsidRDefault="00705DF2" w:rsidP="000A006A">
      <w:pPr>
        <w:pStyle w:val="a3"/>
        <w:numPr>
          <w:ilvl w:val="0"/>
          <w:numId w:val="20"/>
        </w:numPr>
        <w:tabs>
          <w:tab w:val="left" w:pos="1134"/>
        </w:tabs>
        <w:spacing w:after="0" w:line="240" w:lineRule="auto"/>
        <w:ind w:left="0" w:firstLine="567"/>
        <w:jc w:val="both"/>
        <w:rPr>
          <w:rStyle w:val="HTML0"/>
          <w:rFonts w:ascii="Times New Roman" w:hAnsi="Times New Roman" w:cs="Times New Roman"/>
          <w:i w:val="0"/>
          <w:sz w:val="28"/>
          <w:szCs w:val="28"/>
          <w:shd w:val="clear" w:color="auto" w:fill="FFFFFF"/>
          <w:lang w:val="en-US"/>
        </w:rPr>
      </w:pPr>
      <w:r w:rsidRPr="00802D35">
        <w:rPr>
          <w:rStyle w:val="HTML0"/>
          <w:rFonts w:ascii="Times New Roman" w:hAnsi="Times New Roman" w:cs="Times New Roman"/>
          <w:i w:val="0"/>
          <w:sz w:val="28"/>
          <w:szCs w:val="28"/>
          <w:lang w:val="en-US"/>
        </w:rPr>
        <w:t>Frane, Andrew  Power and Type I Error Control for Univariate Comparisons in Multivariate Two-Group Designs</w:t>
      </w:r>
      <w:r w:rsidR="00062553" w:rsidRPr="00802D35">
        <w:rPr>
          <w:rStyle w:val="HTML0"/>
          <w:rFonts w:ascii="Times New Roman" w:hAnsi="Times New Roman" w:cs="Times New Roman"/>
          <w:i w:val="0"/>
          <w:sz w:val="28"/>
          <w:szCs w:val="28"/>
          <w:lang w:val="en-US"/>
        </w:rPr>
        <w:t>//</w:t>
      </w:r>
      <w:r w:rsidRPr="00802D35">
        <w:rPr>
          <w:rStyle w:val="HTML0"/>
          <w:rFonts w:ascii="Times New Roman" w:hAnsi="Times New Roman" w:cs="Times New Roman"/>
          <w:i w:val="0"/>
          <w:sz w:val="28"/>
          <w:szCs w:val="28"/>
          <w:lang w:val="en-US"/>
        </w:rPr>
        <w:t> Multivariate Behavioral Research</w:t>
      </w:r>
      <w:r w:rsidR="00062553" w:rsidRPr="00802D35">
        <w:rPr>
          <w:rStyle w:val="HTML0"/>
          <w:rFonts w:ascii="Times New Roman" w:hAnsi="Times New Roman" w:cs="Times New Roman"/>
          <w:i w:val="0"/>
          <w:sz w:val="28"/>
          <w:szCs w:val="28"/>
          <w:lang w:val="en-US"/>
        </w:rPr>
        <w:t>, 2015.</w:t>
      </w:r>
      <w:r w:rsidRPr="00802D35">
        <w:rPr>
          <w:rStyle w:val="HTML0"/>
          <w:rFonts w:ascii="Times New Roman" w:hAnsi="Times New Roman" w:cs="Times New Roman"/>
          <w:i w:val="0"/>
          <w:sz w:val="28"/>
          <w:szCs w:val="28"/>
          <w:lang w:val="en-US"/>
        </w:rPr>
        <w:t> </w:t>
      </w:r>
      <w:r w:rsidR="00062553" w:rsidRPr="00802D35">
        <w:rPr>
          <w:rStyle w:val="HTML0"/>
          <w:rFonts w:ascii="Times New Roman" w:hAnsi="Times New Roman" w:cs="Times New Roman"/>
          <w:i w:val="0"/>
          <w:sz w:val="28"/>
          <w:szCs w:val="28"/>
          <w:lang w:val="en-US"/>
        </w:rPr>
        <w:t>- №</w:t>
      </w:r>
      <w:r w:rsidRPr="00802D35">
        <w:rPr>
          <w:rStyle w:val="HTML0"/>
          <w:rFonts w:ascii="Times New Roman" w:hAnsi="Times New Roman" w:cs="Times New Roman"/>
          <w:bCs/>
          <w:i w:val="0"/>
          <w:sz w:val="28"/>
          <w:szCs w:val="28"/>
          <w:lang w:val="en-US"/>
        </w:rPr>
        <w:t>50</w:t>
      </w:r>
      <w:r w:rsidRPr="00802D35">
        <w:rPr>
          <w:rStyle w:val="HTML0"/>
          <w:rFonts w:ascii="Times New Roman" w:hAnsi="Times New Roman" w:cs="Times New Roman"/>
          <w:i w:val="0"/>
          <w:sz w:val="28"/>
          <w:szCs w:val="28"/>
          <w:lang w:val="en-US"/>
        </w:rPr>
        <w:t> (2)</w:t>
      </w:r>
      <w:r w:rsidR="00062553" w:rsidRPr="00802D35">
        <w:rPr>
          <w:rStyle w:val="HTML0"/>
          <w:rFonts w:ascii="Times New Roman" w:hAnsi="Times New Roman" w:cs="Times New Roman"/>
          <w:i w:val="0"/>
          <w:sz w:val="28"/>
          <w:szCs w:val="28"/>
          <w:lang w:val="en-US"/>
        </w:rPr>
        <w:t xml:space="preserve">. – </w:t>
      </w:r>
      <w:r w:rsidR="00062553" w:rsidRPr="00802D35">
        <w:rPr>
          <w:rStyle w:val="HTML0"/>
          <w:rFonts w:ascii="Times New Roman" w:hAnsi="Times New Roman" w:cs="Times New Roman"/>
          <w:i w:val="0"/>
          <w:sz w:val="28"/>
          <w:szCs w:val="28"/>
        </w:rPr>
        <w:t>рр</w:t>
      </w:r>
      <w:r w:rsidR="00062553" w:rsidRPr="00802D35">
        <w:rPr>
          <w:rStyle w:val="HTML0"/>
          <w:rFonts w:ascii="Times New Roman" w:hAnsi="Times New Roman" w:cs="Times New Roman"/>
          <w:i w:val="0"/>
          <w:sz w:val="28"/>
          <w:szCs w:val="28"/>
          <w:lang w:val="en-US"/>
        </w:rPr>
        <w:t>.</w:t>
      </w:r>
      <w:r w:rsidRPr="00802D35">
        <w:rPr>
          <w:rStyle w:val="HTML0"/>
          <w:rFonts w:ascii="Times New Roman" w:hAnsi="Times New Roman" w:cs="Times New Roman"/>
          <w:i w:val="0"/>
          <w:sz w:val="28"/>
          <w:szCs w:val="28"/>
          <w:lang w:val="en-US"/>
        </w:rPr>
        <w:t xml:space="preserve"> 233–247.</w:t>
      </w:r>
    </w:p>
    <w:p w:rsidR="00705DF2" w:rsidRPr="00802D35" w:rsidRDefault="00705DF2" w:rsidP="000A006A">
      <w:pPr>
        <w:pStyle w:val="a3"/>
        <w:numPr>
          <w:ilvl w:val="0"/>
          <w:numId w:val="20"/>
        </w:numPr>
        <w:tabs>
          <w:tab w:val="left" w:pos="1134"/>
        </w:tabs>
        <w:spacing w:after="0" w:line="240" w:lineRule="auto"/>
        <w:ind w:left="0" w:firstLine="567"/>
        <w:jc w:val="both"/>
        <w:rPr>
          <w:rStyle w:val="HTML0"/>
          <w:rFonts w:ascii="Times New Roman" w:hAnsi="Times New Roman" w:cs="Times New Roman"/>
          <w:i w:val="0"/>
          <w:sz w:val="28"/>
          <w:szCs w:val="28"/>
          <w:shd w:val="clear" w:color="auto" w:fill="FFFFFF"/>
          <w:lang w:val="en-US"/>
        </w:rPr>
      </w:pPr>
      <w:r w:rsidRPr="00802D35">
        <w:rPr>
          <w:rStyle w:val="HTML0"/>
          <w:rFonts w:ascii="Times New Roman" w:hAnsi="Times New Roman" w:cs="Times New Roman"/>
          <w:i w:val="0"/>
          <w:sz w:val="28"/>
          <w:szCs w:val="28"/>
          <w:lang w:val="en-US"/>
        </w:rPr>
        <w:t>Chiani, M. Distribution of the largest root of a matrix for Roy's test in multivariate analysis of variance</w:t>
      </w:r>
      <w:r w:rsidR="00062553" w:rsidRPr="00802D35">
        <w:rPr>
          <w:rStyle w:val="HTML0"/>
          <w:rFonts w:ascii="Times New Roman" w:hAnsi="Times New Roman" w:cs="Times New Roman"/>
          <w:i w:val="0"/>
          <w:sz w:val="28"/>
          <w:szCs w:val="28"/>
          <w:lang w:val="en-US"/>
        </w:rPr>
        <w:t>//</w:t>
      </w:r>
      <w:r w:rsidRPr="00802D35">
        <w:rPr>
          <w:rStyle w:val="HTML0"/>
          <w:rFonts w:ascii="Times New Roman" w:hAnsi="Times New Roman" w:cs="Times New Roman"/>
          <w:i w:val="0"/>
          <w:sz w:val="28"/>
          <w:szCs w:val="28"/>
          <w:lang w:val="en-US"/>
        </w:rPr>
        <w:t> </w:t>
      </w:r>
      <w:hyperlink r:id="rId131" w:tooltip="Journal of Multivariate Analysis" w:history="1">
        <w:r w:rsidRPr="00802D35">
          <w:rPr>
            <w:rStyle w:val="a6"/>
            <w:rFonts w:ascii="Times New Roman" w:hAnsi="Times New Roman" w:cs="Times New Roman"/>
            <w:color w:val="auto"/>
            <w:sz w:val="28"/>
            <w:szCs w:val="28"/>
            <w:u w:val="none"/>
            <w:lang w:val="en-US"/>
          </w:rPr>
          <w:t>Journal of Multivariate Analysis</w:t>
        </w:r>
      </w:hyperlink>
      <w:r w:rsidRPr="00802D35">
        <w:rPr>
          <w:rStyle w:val="HTML0"/>
          <w:rFonts w:ascii="Times New Roman" w:hAnsi="Times New Roman" w:cs="Times New Roman"/>
          <w:i w:val="0"/>
          <w:sz w:val="28"/>
          <w:szCs w:val="28"/>
          <w:lang w:val="en-US"/>
        </w:rPr>
        <w:t>, </w:t>
      </w:r>
      <w:r w:rsidR="00062553" w:rsidRPr="00802D35">
        <w:rPr>
          <w:rStyle w:val="HTML0"/>
          <w:rFonts w:ascii="Times New Roman" w:hAnsi="Times New Roman" w:cs="Times New Roman"/>
          <w:i w:val="0"/>
          <w:sz w:val="28"/>
          <w:szCs w:val="28"/>
          <w:lang w:val="en-US"/>
        </w:rPr>
        <w:t>2016. - №</w:t>
      </w:r>
      <w:r w:rsidRPr="00802D35">
        <w:rPr>
          <w:rStyle w:val="HTML0"/>
          <w:rFonts w:ascii="Times New Roman" w:hAnsi="Times New Roman" w:cs="Times New Roman"/>
          <w:bCs/>
          <w:i w:val="0"/>
          <w:sz w:val="28"/>
          <w:szCs w:val="28"/>
          <w:lang w:val="en-US"/>
        </w:rPr>
        <w:t>143</w:t>
      </w:r>
      <w:r w:rsidR="00062553" w:rsidRPr="00802D35">
        <w:rPr>
          <w:rStyle w:val="HTML0"/>
          <w:rFonts w:ascii="Times New Roman" w:hAnsi="Times New Roman" w:cs="Times New Roman"/>
          <w:i w:val="0"/>
          <w:sz w:val="28"/>
          <w:szCs w:val="28"/>
          <w:lang w:val="en-US"/>
        </w:rPr>
        <w:t>. –</w:t>
      </w:r>
      <w:r w:rsidRPr="00802D35">
        <w:rPr>
          <w:rStyle w:val="HTML0"/>
          <w:rFonts w:ascii="Times New Roman" w:hAnsi="Times New Roman" w:cs="Times New Roman"/>
          <w:i w:val="0"/>
          <w:sz w:val="28"/>
          <w:szCs w:val="28"/>
          <w:lang w:val="en-US"/>
        </w:rPr>
        <w:t xml:space="preserve"> </w:t>
      </w:r>
      <w:r w:rsidR="00062553" w:rsidRPr="00802D35">
        <w:rPr>
          <w:rStyle w:val="HTML0"/>
          <w:rFonts w:ascii="Times New Roman" w:hAnsi="Times New Roman" w:cs="Times New Roman"/>
          <w:i w:val="0"/>
          <w:sz w:val="28"/>
          <w:szCs w:val="28"/>
        </w:rPr>
        <w:t>рр</w:t>
      </w:r>
      <w:r w:rsidR="00062553" w:rsidRPr="00802D35">
        <w:rPr>
          <w:rStyle w:val="HTML0"/>
          <w:rFonts w:ascii="Times New Roman" w:hAnsi="Times New Roman" w:cs="Times New Roman"/>
          <w:i w:val="0"/>
          <w:sz w:val="28"/>
          <w:szCs w:val="28"/>
          <w:lang w:val="en-US"/>
        </w:rPr>
        <w:t>.</w:t>
      </w:r>
      <w:r w:rsidRPr="00802D35">
        <w:rPr>
          <w:rStyle w:val="HTML0"/>
          <w:rFonts w:ascii="Times New Roman" w:hAnsi="Times New Roman" w:cs="Times New Roman"/>
          <w:i w:val="0"/>
          <w:sz w:val="28"/>
          <w:szCs w:val="28"/>
          <w:lang w:val="en-US"/>
        </w:rPr>
        <w:t>467–471.</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T. Górecki and L. Smaga, Multivariate analysis of variance for functional data</w:t>
      </w:r>
      <w:r w:rsidR="00062553"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w:t>
      </w:r>
      <w:r w:rsidRPr="00802D35">
        <w:rPr>
          <w:rFonts w:ascii="Times New Roman" w:hAnsi="Times New Roman" w:cs="Times New Roman"/>
          <w:iCs/>
          <w:sz w:val="28"/>
          <w:szCs w:val="28"/>
          <w:lang w:val="en-US"/>
        </w:rPr>
        <w:t>Journal of Applied Statistics</w:t>
      </w:r>
      <w:r w:rsidRPr="00802D35">
        <w:rPr>
          <w:rFonts w:ascii="Times New Roman" w:hAnsi="Times New Roman" w:cs="Times New Roman"/>
          <w:sz w:val="28"/>
          <w:szCs w:val="28"/>
          <w:lang w:val="en-US"/>
        </w:rPr>
        <w:t xml:space="preserve">, </w:t>
      </w:r>
      <w:r w:rsidR="00062553" w:rsidRPr="00802D35">
        <w:rPr>
          <w:rFonts w:ascii="Times New Roman" w:hAnsi="Times New Roman" w:cs="Times New Roman"/>
          <w:sz w:val="28"/>
          <w:szCs w:val="28"/>
          <w:lang w:val="en-US"/>
        </w:rPr>
        <w:t xml:space="preserve">2017. - </w:t>
      </w:r>
      <w:r w:rsidRPr="00802D35">
        <w:rPr>
          <w:rFonts w:ascii="Times New Roman" w:hAnsi="Times New Roman" w:cs="Times New Roman"/>
          <w:sz w:val="28"/>
          <w:szCs w:val="28"/>
          <w:lang w:val="en-US"/>
        </w:rPr>
        <w:t xml:space="preserve">vol. 44, </w:t>
      </w:r>
      <w:r w:rsidR="00062553"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12</w:t>
      </w:r>
      <w:r w:rsidR="00062553" w:rsidRPr="00802D35">
        <w:rPr>
          <w:rFonts w:ascii="Times New Roman" w:hAnsi="Times New Roman" w:cs="Times New Roman"/>
          <w:sz w:val="28"/>
          <w:szCs w:val="28"/>
          <w:lang w:val="en-US"/>
        </w:rPr>
        <w:t>. -</w:t>
      </w:r>
      <w:r w:rsidRPr="00802D35">
        <w:rPr>
          <w:rFonts w:ascii="Times New Roman" w:hAnsi="Times New Roman" w:cs="Times New Roman"/>
          <w:sz w:val="28"/>
          <w:szCs w:val="28"/>
          <w:lang w:val="en-US"/>
        </w:rPr>
        <w:t xml:space="preserve"> pp. 2172–2189</w:t>
      </w:r>
      <w:r w:rsidR="00062553"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B. L. Adeleke, W. B. Yahya, and A. Usman, A comparison of some test statistics for multivariate analysis of variance model with non-normal responses</w:t>
      </w:r>
      <w:r w:rsidR="00062553"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w:t>
      </w:r>
      <w:r w:rsidRPr="00802D35">
        <w:rPr>
          <w:rFonts w:ascii="Times New Roman" w:hAnsi="Times New Roman" w:cs="Times New Roman"/>
          <w:iCs/>
          <w:sz w:val="28"/>
          <w:szCs w:val="28"/>
          <w:lang w:val="en-US"/>
        </w:rPr>
        <w:t>Journal of Natural Sciences Research</w:t>
      </w:r>
      <w:r w:rsidRPr="00802D35">
        <w:rPr>
          <w:rFonts w:ascii="Times New Roman" w:hAnsi="Times New Roman" w:cs="Times New Roman"/>
          <w:sz w:val="28"/>
          <w:szCs w:val="28"/>
          <w:lang w:val="en-US"/>
        </w:rPr>
        <w:t xml:space="preserve">, </w:t>
      </w:r>
      <w:r w:rsidR="00062553" w:rsidRPr="00802D35">
        <w:rPr>
          <w:rFonts w:ascii="Times New Roman" w:hAnsi="Times New Roman" w:cs="Times New Roman"/>
          <w:sz w:val="28"/>
          <w:szCs w:val="28"/>
          <w:lang w:val="en-US"/>
        </w:rPr>
        <w:t xml:space="preserve">2015. - </w:t>
      </w:r>
      <w:r w:rsidRPr="00802D35">
        <w:rPr>
          <w:rFonts w:ascii="Times New Roman" w:hAnsi="Times New Roman" w:cs="Times New Roman"/>
          <w:sz w:val="28"/>
          <w:szCs w:val="28"/>
          <w:lang w:val="en-US"/>
        </w:rPr>
        <w:t xml:space="preserve">vol. 5, </w:t>
      </w:r>
      <w:r w:rsidR="00062553"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15</w:t>
      </w:r>
      <w:r w:rsidR="00062553" w:rsidRPr="00802D35">
        <w:rPr>
          <w:rFonts w:ascii="Times New Roman" w:hAnsi="Times New Roman" w:cs="Times New Roman"/>
          <w:sz w:val="28"/>
          <w:szCs w:val="28"/>
          <w:lang w:val="en-US"/>
        </w:rPr>
        <w:t>. -</w:t>
      </w:r>
      <w:r w:rsidRPr="00802D35">
        <w:rPr>
          <w:rFonts w:ascii="Times New Roman" w:hAnsi="Times New Roman" w:cs="Times New Roman"/>
          <w:sz w:val="28"/>
          <w:szCs w:val="28"/>
          <w:lang w:val="en-US"/>
        </w:rPr>
        <w:t xml:space="preserve"> pp. 1–9</w:t>
      </w:r>
      <w:r w:rsidR="00062553"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lang w:val="en-US"/>
        </w:rPr>
      </w:pPr>
      <w:r w:rsidRPr="00802D35">
        <w:rPr>
          <w:rFonts w:ascii="Times New Roman" w:hAnsi="Times New Roman" w:cs="Times New Roman"/>
          <w:sz w:val="28"/>
          <w:szCs w:val="28"/>
          <w:lang w:val="en-US"/>
        </w:rPr>
        <w:t xml:space="preserve">Can Ates, Ozlem Kaymaz, H. Emre Kale, Mustafa Agah Tekindal Comparison of Test Statistics of Nonnormal and Unbalanced Samples for Multivariate Analysis of Variance in terms of Type-I Error Rates //Computational and Mathematical Methods in Medicine Volume 2019, Article ID 2173638, 8 pages </w:t>
      </w:r>
      <w:hyperlink r:id="rId132" w:history="1">
        <w:r w:rsidRPr="00802D35">
          <w:rPr>
            <w:rStyle w:val="a6"/>
            <w:rFonts w:ascii="Times New Roman" w:hAnsi="Times New Roman" w:cs="Times New Roman"/>
            <w:color w:val="auto"/>
            <w:sz w:val="28"/>
            <w:szCs w:val="28"/>
            <w:lang w:val="en-US"/>
          </w:rPr>
          <w:t>https://doi.org/10.1155/2019/2173638</w:t>
        </w:r>
      </w:hyperlink>
      <w:r w:rsidR="00032905" w:rsidRPr="00802D35">
        <w:rPr>
          <w:rStyle w:val="a6"/>
          <w:rFonts w:ascii="Times New Roman" w:hAnsi="Times New Roman" w:cs="Times New Roman"/>
          <w:color w:val="auto"/>
          <w:sz w:val="28"/>
          <w:szCs w:val="28"/>
          <w:lang w:val="en-US"/>
        </w:rPr>
        <w:t xml:space="preserve"> </w:t>
      </w:r>
      <w:r w:rsidR="00032905" w:rsidRPr="00802D35">
        <w:rPr>
          <w:rFonts w:ascii="Times New Roman" w:hAnsi="Times New Roman" w:cs="Times New Roman"/>
          <w:sz w:val="28"/>
          <w:szCs w:val="28"/>
          <w:lang w:val="en-US"/>
        </w:rPr>
        <w:t>(</w:t>
      </w:r>
      <w:r w:rsidR="00032905" w:rsidRPr="00802D35">
        <w:rPr>
          <w:rFonts w:ascii="Times New Roman" w:hAnsi="Times New Roman" w:cs="Times New Roman"/>
          <w:sz w:val="28"/>
          <w:szCs w:val="28"/>
        </w:rPr>
        <w:t>дата</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обращения</w:t>
      </w:r>
      <w:r w:rsidR="00032905" w:rsidRPr="00802D35">
        <w:rPr>
          <w:rFonts w:ascii="Times New Roman" w:hAnsi="Times New Roman" w:cs="Times New Roman"/>
          <w:sz w:val="28"/>
          <w:szCs w:val="28"/>
          <w:lang w:val="en-US"/>
        </w:rPr>
        <w:t>: 11.10.2020).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Д.А. Петрусевич Анализ математических моделей, используемых для прогнозирования эконометрических временных рядов// Российский технологический журнал</w:t>
      </w:r>
      <w:r w:rsidR="00062553" w:rsidRPr="00802D35">
        <w:rPr>
          <w:rFonts w:ascii="Times New Roman" w:hAnsi="Times New Roman" w:cs="Times New Roman"/>
          <w:sz w:val="28"/>
          <w:szCs w:val="28"/>
        </w:rPr>
        <w:t>,</w:t>
      </w:r>
      <w:r w:rsidRPr="00802D35">
        <w:rPr>
          <w:rFonts w:ascii="Times New Roman" w:hAnsi="Times New Roman" w:cs="Times New Roman"/>
          <w:sz w:val="28"/>
          <w:szCs w:val="28"/>
        </w:rPr>
        <w:t xml:space="preserve"> 2019</w:t>
      </w:r>
      <w:r w:rsidR="00062553" w:rsidRPr="00802D35">
        <w:rPr>
          <w:rFonts w:ascii="Times New Roman" w:hAnsi="Times New Roman" w:cs="Times New Roman"/>
          <w:sz w:val="28"/>
          <w:szCs w:val="28"/>
        </w:rPr>
        <w:t>. -</w:t>
      </w:r>
      <w:r w:rsidRPr="00802D35">
        <w:rPr>
          <w:rFonts w:ascii="Times New Roman" w:hAnsi="Times New Roman" w:cs="Times New Roman"/>
          <w:sz w:val="28"/>
          <w:szCs w:val="28"/>
        </w:rPr>
        <w:t xml:space="preserve"> Том 7 № 2. – С.61-73.</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rPr>
      </w:pPr>
      <w:r w:rsidRPr="00802D35">
        <w:rPr>
          <w:rFonts w:ascii="Times New Roman" w:hAnsi="Times New Roman" w:cs="Times New Roman"/>
          <w:spacing w:val="3"/>
          <w:sz w:val="28"/>
          <w:szCs w:val="28"/>
        </w:rPr>
        <w:lastRenderedPageBreak/>
        <w:t xml:space="preserve">Ерболат Досаев </w:t>
      </w:r>
      <w:r w:rsidRPr="00802D35">
        <w:rPr>
          <w:rFonts w:ascii="Times New Roman" w:hAnsi="Times New Roman" w:cs="Times New Roman"/>
          <w:sz w:val="28"/>
          <w:szCs w:val="28"/>
        </w:rPr>
        <w:t xml:space="preserve">Объем депозитов в 2020 году превысил 22 трлн тенге /Капитал: центр деловой информации, 26.02.2021 </w:t>
      </w:r>
      <w:hyperlink r:id="rId133" w:history="1">
        <w:r w:rsidRPr="00802D35">
          <w:rPr>
            <w:rStyle w:val="a6"/>
            <w:rFonts w:ascii="Times New Roman" w:hAnsi="Times New Roman" w:cs="Times New Roman"/>
            <w:color w:val="auto"/>
            <w:sz w:val="28"/>
            <w:szCs w:val="28"/>
          </w:rPr>
          <w:t>https://kapital.kz/finance/92918/ob-yem-depozitov-v-2020-godu-prevysil-22-trln-tenge.html</w:t>
        </w:r>
      </w:hyperlink>
      <w:r w:rsidR="00032905" w:rsidRPr="00802D35">
        <w:rPr>
          <w:rStyle w:val="a6"/>
          <w:rFonts w:ascii="Times New Roman" w:hAnsi="Times New Roman" w:cs="Times New Roman"/>
          <w:color w:val="auto"/>
          <w:sz w:val="28"/>
          <w:szCs w:val="28"/>
        </w:rPr>
        <w:t xml:space="preserve"> </w:t>
      </w:r>
      <w:r w:rsidR="00032905" w:rsidRPr="00802D35">
        <w:rPr>
          <w:rFonts w:ascii="Times New Roman" w:hAnsi="Times New Roman" w:cs="Times New Roman"/>
          <w:sz w:val="28"/>
          <w:szCs w:val="28"/>
        </w:rPr>
        <w:t>(дата обращения: 28.02.2021).</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w:t>
      </w:r>
      <w:r w:rsidRPr="00802D35">
        <w:rPr>
          <w:rStyle w:val="HTML"/>
          <w:rFonts w:ascii="Times New Roman" w:hAnsi="Times New Roman" w:cs="Times New Roman"/>
          <w:i w:val="0"/>
          <w:sz w:val="28"/>
          <w:szCs w:val="28"/>
          <w:shd w:val="clear" w:color="auto" w:fill="FFFFFF"/>
        </w:rPr>
        <w:t>АО Halyk Bank</w:t>
      </w:r>
      <w:r w:rsidRPr="00802D35">
        <w:rPr>
          <w:rFonts w:ascii="Times New Roman" w:hAnsi="Times New Roman" w:cs="Times New Roman"/>
          <w:sz w:val="28"/>
          <w:szCs w:val="28"/>
        </w:rPr>
        <w:t xml:space="preserve"> за 2017 год</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w:t>
      </w:r>
      <w:r w:rsidRPr="00802D35">
        <w:rPr>
          <w:rStyle w:val="HTML"/>
          <w:rFonts w:ascii="Times New Roman" w:hAnsi="Times New Roman" w:cs="Times New Roman"/>
          <w:i w:val="0"/>
          <w:sz w:val="28"/>
          <w:szCs w:val="28"/>
          <w:shd w:val="clear" w:color="auto" w:fill="FFFFFF"/>
        </w:rPr>
        <w:t>АО Halyk Bank</w:t>
      </w:r>
      <w:r w:rsidRPr="00802D35">
        <w:rPr>
          <w:rFonts w:ascii="Times New Roman" w:hAnsi="Times New Roman" w:cs="Times New Roman"/>
          <w:sz w:val="28"/>
          <w:szCs w:val="28"/>
        </w:rPr>
        <w:t xml:space="preserve"> за 2018 год</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w:t>
      </w:r>
      <w:r w:rsidRPr="00802D35">
        <w:rPr>
          <w:rStyle w:val="HTML"/>
          <w:rFonts w:ascii="Times New Roman" w:hAnsi="Times New Roman" w:cs="Times New Roman"/>
          <w:i w:val="0"/>
          <w:sz w:val="28"/>
          <w:szCs w:val="28"/>
          <w:shd w:val="clear" w:color="auto" w:fill="FFFFFF"/>
        </w:rPr>
        <w:t>АО Halyk Bank</w:t>
      </w:r>
      <w:r w:rsidRPr="00802D35">
        <w:rPr>
          <w:rFonts w:ascii="Times New Roman" w:hAnsi="Times New Roman" w:cs="Times New Roman"/>
          <w:sz w:val="28"/>
          <w:szCs w:val="28"/>
        </w:rPr>
        <w:t xml:space="preserve"> за 2019 год</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w:t>
      </w:r>
      <w:r w:rsidRPr="00802D35">
        <w:rPr>
          <w:rStyle w:val="HTML"/>
          <w:rFonts w:ascii="Times New Roman" w:hAnsi="Times New Roman" w:cs="Times New Roman"/>
          <w:i w:val="0"/>
          <w:sz w:val="28"/>
          <w:szCs w:val="28"/>
          <w:shd w:val="clear" w:color="auto" w:fill="FFFFFF"/>
        </w:rPr>
        <w:t>АО Halyk Bank</w:t>
      </w:r>
      <w:r w:rsidRPr="00802D35">
        <w:rPr>
          <w:rFonts w:ascii="Times New Roman" w:hAnsi="Times New Roman" w:cs="Times New Roman"/>
          <w:sz w:val="28"/>
          <w:szCs w:val="28"/>
        </w:rPr>
        <w:t xml:space="preserve"> за 2020 год</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w:t>
      </w:r>
      <w:r w:rsidRPr="00802D35">
        <w:rPr>
          <w:rStyle w:val="HTML"/>
          <w:rFonts w:ascii="Times New Roman" w:hAnsi="Times New Roman" w:cs="Times New Roman"/>
          <w:i w:val="0"/>
          <w:sz w:val="28"/>
          <w:szCs w:val="28"/>
          <w:shd w:val="clear" w:color="auto" w:fill="FFFFFF"/>
        </w:rPr>
        <w:t>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Банк</w:t>
      </w:r>
      <w:r w:rsidRPr="00802D35">
        <w:rPr>
          <w:rFonts w:ascii="Times New Roman" w:hAnsi="Times New Roman" w:cs="Times New Roman"/>
          <w:sz w:val="28"/>
          <w:szCs w:val="28"/>
        </w:rPr>
        <w:t xml:space="preserve"> за 2017 год</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w:t>
      </w:r>
      <w:r w:rsidRPr="00802D35">
        <w:rPr>
          <w:rStyle w:val="HTML"/>
          <w:rFonts w:ascii="Times New Roman" w:hAnsi="Times New Roman" w:cs="Times New Roman"/>
          <w:i w:val="0"/>
          <w:sz w:val="28"/>
          <w:szCs w:val="28"/>
          <w:shd w:val="clear" w:color="auto" w:fill="FFFFFF"/>
        </w:rPr>
        <w:t>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Банк</w:t>
      </w:r>
      <w:r w:rsidRPr="00802D35">
        <w:rPr>
          <w:rFonts w:ascii="Times New Roman" w:hAnsi="Times New Roman" w:cs="Times New Roman"/>
          <w:sz w:val="28"/>
          <w:szCs w:val="28"/>
        </w:rPr>
        <w:t xml:space="preserve"> за 2018 год</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w:t>
      </w:r>
      <w:r w:rsidRPr="00802D35">
        <w:rPr>
          <w:rStyle w:val="HTML"/>
          <w:rFonts w:ascii="Times New Roman" w:hAnsi="Times New Roman" w:cs="Times New Roman"/>
          <w:i w:val="0"/>
          <w:sz w:val="28"/>
          <w:szCs w:val="28"/>
          <w:shd w:val="clear" w:color="auto" w:fill="FFFFFF"/>
        </w:rPr>
        <w:t>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Банк</w:t>
      </w:r>
      <w:r w:rsidRPr="00802D35">
        <w:rPr>
          <w:rFonts w:ascii="Times New Roman" w:hAnsi="Times New Roman" w:cs="Times New Roman"/>
          <w:sz w:val="28"/>
          <w:szCs w:val="28"/>
        </w:rPr>
        <w:t xml:space="preserve"> за 2019 год</w:t>
      </w:r>
    </w:p>
    <w:p w:rsidR="00062553" w:rsidRPr="00802D35" w:rsidRDefault="00062553" w:rsidP="00062553">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Отчет (форма 700-H) </w:t>
      </w:r>
      <w:r w:rsidRPr="00802D35">
        <w:rPr>
          <w:rStyle w:val="HTML"/>
          <w:rFonts w:ascii="Times New Roman" w:hAnsi="Times New Roman" w:cs="Times New Roman"/>
          <w:i w:val="0"/>
          <w:sz w:val="28"/>
          <w:szCs w:val="28"/>
          <w:shd w:val="clear" w:color="auto" w:fill="FFFFFF"/>
        </w:rPr>
        <w:t>АО АТФ</w:t>
      </w:r>
      <w:r w:rsidR="00E97FF6" w:rsidRPr="00802D35">
        <w:rPr>
          <w:rStyle w:val="HTML"/>
          <w:rFonts w:ascii="Times New Roman" w:hAnsi="Times New Roman" w:cs="Times New Roman"/>
          <w:i w:val="0"/>
          <w:sz w:val="28"/>
          <w:szCs w:val="28"/>
          <w:shd w:val="clear" w:color="auto" w:fill="FFFFFF"/>
        </w:rPr>
        <w:t xml:space="preserve"> </w:t>
      </w:r>
      <w:r w:rsidRPr="00802D35">
        <w:rPr>
          <w:rStyle w:val="HTML"/>
          <w:rFonts w:ascii="Times New Roman" w:hAnsi="Times New Roman" w:cs="Times New Roman"/>
          <w:i w:val="0"/>
          <w:sz w:val="28"/>
          <w:szCs w:val="28"/>
          <w:shd w:val="clear" w:color="auto" w:fill="FFFFFF"/>
        </w:rPr>
        <w:t>Банк</w:t>
      </w:r>
      <w:r w:rsidRPr="00802D35">
        <w:rPr>
          <w:rFonts w:ascii="Times New Roman" w:hAnsi="Times New Roman" w:cs="Times New Roman"/>
          <w:sz w:val="28"/>
          <w:szCs w:val="28"/>
        </w:rPr>
        <w:t xml:space="preserve"> за январь-декабрь 2020 г.</w:t>
      </w:r>
    </w:p>
    <w:p w:rsidR="00705DF2" w:rsidRPr="00802D35" w:rsidRDefault="00705DF2" w:rsidP="000A006A">
      <w:pPr>
        <w:pStyle w:val="a3"/>
        <w:numPr>
          <w:ilvl w:val="0"/>
          <w:numId w:val="20"/>
        </w:numPr>
        <w:tabs>
          <w:tab w:val="left" w:pos="1134"/>
        </w:tabs>
        <w:spacing w:after="0" w:line="240" w:lineRule="auto"/>
        <w:ind w:left="0" w:firstLine="567"/>
        <w:jc w:val="both"/>
        <w:rPr>
          <w:rStyle w:val="s0"/>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 </w:t>
      </w:r>
      <w:r w:rsidRPr="00802D35">
        <w:rPr>
          <w:rStyle w:val="s1"/>
          <w:rFonts w:ascii="Times New Roman" w:hAnsi="Times New Roman" w:cs="Times New Roman"/>
          <w:bCs/>
          <w:sz w:val="28"/>
          <w:szCs w:val="28"/>
        </w:rPr>
        <w:t>Программа повышения финансовой устойчивости банковского сектора Республики Казахстан/</w:t>
      </w:r>
      <w:r w:rsidRPr="00802D35">
        <w:rPr>
          <w:rStyle w:val="s1"/>
          <w:rFonts w:ascii="Times New Roman" w:hAnsi="Times New Roman" w:cs="Times New Roman"/>
          <w:sz w:val="28"/>
          <w:szCs w:val="28"/>
        </w:rPr>
        <w:t xml:space="preserve"> </w:t>
      </w:r>
      <w:r w:rsidRPr="00802D35">
        <w:rPr>
          <w:rStyle w:val="s0"/>
          <w:rFonts w:ascii="Times New Roman" w:hAnsi="Times New Roman" w:cs="Times New Roman"/>
          <w:sz w:val="28"/>
          <w:szCs w:val="28"/>
        </w:rPr>
        <w:t xml:space="preserve">Одобрено </w:t>
      </w:r>
      <w:r w:rsidRPr="00802D35">
        <w:rPr>
          <w:rStyle w:val="s2"/>
          <w:rFonts w:ascii="Times New Roman" w:hAnsi="Times New Roman" w:cs="Times New Roman"/>
          <w:sz w:val="28"/>
          <w:szCs w:val="28"/>
        </w:rPr>
        <w:t>Постановлением</w:t>
      </w:r>
      <w:r w:rsidR="00032905" w:rsidRPr="00802D35">
        <w:rPr>
          <w:rStyle w:val="s2"/>
          <w:rFonts w:ascii="Times New Roman" w:hAnsi="Times New Roman" w:cs="Times New Roman"/>
          <w:sz w:val="28"/>
          <w:szCs w:val="28"/>
        </w:rPr>
        <w:t xml:space="preserve"> </w:t>
      </w:r>
      <w:r w:rsidRPr="00802D35">
        <w:rPr>
          <w:rStyle w:val="s0"/>
          <w:rFonts w:ascii="Times New Roman" w:hAnsi="Times New Roman" w:cs="Times New Roman"/>
          <w:sz w:val="28"/>
          <w:szCs w:val="28"/>
        </w:rPr>
        <w:t>Правления Национального Банка Республики Казахстан № 129 от 30 июня 2017 года</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АО </w:t>
      </w:r>
      <w:r w:rsidRPr="00802D35">
        <w:rPr>
          <w:rFonts w:ascii="Times New Roman" w:hAnsi="Times New Roman" w:cs="Times New Roman"/>
          <w:sz w:val="28"/>
          <w:szCs w:val="28"/>
          <w:shd w:val="clear" w:color="auto" w:fill="FFFFFF"/>
        </w:rPr>
        <w:t>Kaspi bank</w:t>
      </w:r>
      <w:r w:rsidRPr="00802D35">
        <w:rPr>
          <w:rFonts w:ascii="Times New Roman" w:hAnsi="Times New Roman" w:cs="Times New Roman"/>
          <w:sz w:val="28"/>
          <w:szCs w:val="28"/>
        </w:rPr>
        <w:t xml:space="preserve"> за 2017 год</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АО </w:t>
      </w:r>
      <w:r w:rsidRPr="00802D35">
        <w:rPr>
          <w:rFonts w:ascii="Times New Roman" w:hAnsi="Times New Roman" w:cs="Times New Roman"/>
          <w:sz w:val="28"/>
          <w:szCs w:val="28"/>
          <w:shd w:val="clear" w:color="auto" w:fill="FFFFFF"/>
        </w:rPr>
        <w:t>Kaspi bank</w:t>
      </w:r>
      <w:r w:rsidRPr="00802D35">
        <w:rPr>
          <w:rFonts w:ascii="Times New Roman" w:hAnsi="Times New Roman" w:cs="Times New Roman"/>
          <w:sz w:val="28"/>
          <w:szCs w:val="28"/>
        </w:rPr>
        <w:t xml:space="preserve"> за 2018 год</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Аудиторский отчет по консолидированной финансовой отчетности АО </w:t>
      </w:r>
      <w:r w:rsidRPr="00802D35">
        <w:rPr>
          <w:rFonts w:ascii="Times New Roman" w:hAnsi="Times New Roman" w:cs="Times New Roman"/>
          <w:sz w:val="28"/>
          <w:szCs w:val="28"/>
          <w:shd w:val="clear" w:color="auto" w:fill="FFFFFF"/>
        </w:rPr>
        <w:t>Kaspi bank</w:t>
      </w:r>
      <w:r w:rsidRPr="00802D35">
        <w:rPr>
          <w:rFonts w:ascii="Times New Roman" w:hAnsi="Times New Roman" w:cs="Times New Roman"/>
          <w:sz w:val="28"/>
          <w:szCs w:val="28"/>
        </w:rPr>
        <w:t xml:space="preserve"> за 2019 год</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 xml:space="preserve">Отчет </w:t>
      </w:r>
      <w:r w:rsidR="00062553" w:rsidRPr="00802D35">
        <w:rPr>
          <w:rFonts w:ascii="Times New Roman" w:hAnsi="Times New Roman" w:cs="Times New Roman"/>
          <w:sz w:val="28"/>
          <w:szCs w:val="28"/>
        </w:rPr>
        <w:t>(</w:t>
      </w:r>
      <w:r w:rsidRPr="00802D35">
        <w:rPr>
          <w:rFonts w:ascii="Times New Roman" w:hAnsi="Times New Roman" w:cs="Times New Roman"/>
          <w:sz w:val="28"/>
          <w:szCs w:val="28"/>
        </w:rPr>
        <w:t>форма</w:t>
      </w:r>
      <w:r w:rsidR="00062553" w:rsidRPr="00802D35">
        <w:rPr>
          <w:rFonts w:ascii="Times New Roman" w:hAnsi="Times New Roman" w:cs="Times New Roman"/>
          <w:sz w:val="28"/>
          <w:szCs w:val="28"/>
        </w:rPr>
        <w:t xml:space="preserve"> 700-H) АО </w:t>
      </w:r>
      <w:r w:rsidR="00062553" w:rsidRPr="00802D35">
        <w:rPr>
          <w:rFonts w:ascii="Times New Roman" w:hAnsi="Times New Roman" w:cs="Times New Roman"/>
          <w:sz w:val="28"/>
          <w:szCs w:val="28"/>
          <w:shd w:val="clear" w:color="auto" w:fill="FFFFFF"/>
        </w:rPr>
        <w:t>Kaspi bank</w:t>
      </w:r>
      <w:r w:rsidR="00062553" w:rsidRPr="00802D35">
        <w:rPr>
          <w:rFonts w:ascii="Times New Roman" w:hAnsi="Times New Roman" w:cs="Times New Roman"/>
          <w:sz w:val="28"/>
          <w:szCs w:val="28"/>
        </w:rPr>
        <w:t xml:space="preserve"> за январь-декабрь 2020 г.</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Л. Э. Мелкумова, С. Я. Шатских Сравнение методов Ридж-регрессии и LASSO в задачах обработки данных//Информационные технологии и нанотехнологии, 2017. – С. 1748-1755.</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bCs/>
          <w:sz w:val="28"/>
          <w:szCs w:val="28"/>
        </w:rPr>
        <w:t>Дрейпер Н., Смит Г. Прикладной регрессионный анализ. Книга 1</w:t>
      </w:r>
      <w:r w:rsidRPr="00802D35">
        <w:rPr>
          <w:rFonts w:ascii="Times New Roman" w:hAnsi="Times New Roman" w:cs="Times New Roman"/>
          <w:sz w:val="28"/>
          <w:szCs w:val="28"/>
          <w:shd w:val="clear" w:color="auto" w:fill="FFFFFF"/>
        </w:rPr>
        <w:t xml:space="preserve"> М.: Финансы и статистика,</w:t>
      </w:r>
      <w:r w:rsidR="0011107A" w:rsidRPr="00802D35">
        <w:rPr>
          <w:rFonts w:ascii="Times New Roman" w:hAnsi="Times New Roman" w:cs="Times New Roman"/>
          <w:sz w:val="28"/>
          <w:szCs w:val="28"/>
          <w:shd w:val="clear" w:color="auto" w:fill="FFFFFF"/>
        </w:rPr>
        <w:t xml:space="preserve"> </w:t>
      </w:r>
      <w:r w:rsidRPr="00802D35">
        <w:rPr>
          <w:rFonts w:ascii="Times New Roman" w:hAnsi="Times New Roman" w:cs="Times New Roman"/>
          <w:sz w:val="28"/>
          <w:szCs w:val="28"/>
          <w:shd w:val="clear" w:color="auto" w:fill="FFFFFF"/>
        </w:rPr>
        <w:t xml:space="preserve">1986. </w:t>
      </w:r>
      <w:r w:rsidRPr="00802D35">
        <w:rPr>
          <w:rFonts w:ascii="Times New Roman" w:hAnsi="Times New Roman" w:cs="Times New Roman"/>
          <w:sz w:val="28"/>
          <w:szCs w:val="28"/>
        </w:rPr>
        <w:t>–</w:t>
      </w:r>
      <w:r w:rsidRPr="00802D35">
        <w:rPr>
          <w:rFonts w:ascii="Times New Roman" w:hAnsi="Times New Roman" w:cs="Times New Roman"/>
          <w:sz w:val="28"/>
          <w:szCs w:val="28"/>
          <w:shd w:val="clear" w:color="auto" w:fill="FFFFFF"/>
        </w:rPr>
        <w:t xml:space="preserve"> 366 с.</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Снитюк В. Е. Прогнозирование. Модели, методы, алгоритмы: учебное пособие. – К.: «Маклаут», 2008. – 364 с.</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sz w:val="28"/>
          <w:szCs w:val="28"/>
          <w:lang w:val="en-US"/>
        </w:rPr>
        <w:t xml:space="preserve">M. Alinaghi, H.C. Bertram, A. Brunse, A.K. Smilde, J.A. Westerhuis </w:t>
      </w:r>
      <w:r w:rsidRPr="00802D35">
        <w:rPr>
          <w:rStyle w:val="af"/>
          <w:rFonts w:ascii="Times New Roman" w:hAnsi="Times New Roman" w:cs="Times New Roman"/>
          <w:b w:val="0"/>
          <w:sz w:val="28"/>
          <w:szCs w:val="28"/>
          <w:lang w:val="en-US"/>
        </w:rPr>
        <w:t>Common and distinct variation in data fusion of designed experimental data</w:t>
      </w:r>
      <w:r w:rsidR="0011107A" w:rsidRPr="00802D35">
        <w:rPr>
          <w:rStyle w:val="af"/>
          <w:rFonts w:ascii="Times New Roman" w:hAnsi="Times New Roman" w:cs="Times New Roman"/>
          <w:b w:val="0"/>
          <w:sz w:val="28"/>
          <w:szCs w:val="28"/>
          <w:lang w:val="en-US"/>
        </w:rPr>
        <w:t>//</w:t>
      </w:r>
      <w:r w:rsidRPr="00802D35">
        <w:rPr>
          <w:rStyle w:val="af"/>
          <w:rFonts w:ascii="Times New Roman" w:hAnsi="Times New Roman" w:cs="Times New Roman"/>
          <w:b w:val="0"/>
          <w:sz w:val="28"/>
          <w:szCs w:val="28"/>
          <w:lang w:val="en-US"/>
        </w:rPr>
        <w:t xml:space="preserve"> </w:t>
      </w:r>
      <w:r w:rsidRPr="00802D35">
        <w:rPr>
          <w:rFonts w:ascii="Times New Roman" w:hAnsi="Times New Roman" w:cs="Times New Roman"/>
          <w:sz w:val="28"/>
          <w:szCs w:val="28"/>
          <w:lang w:val="en-US"/>
        </w:rPr>
        <w:t>Metabolomics, </w:t>
      </w:r>
      <w:r w:rsidR="0011107A" w:rsidRPr="00802D35">
        <w:rPr>
          <w:rFonts w:ascii="Times New Roman" w:hAnsi="Times New Roman" w:cs="Times New Roman"/>
          <w:sz w:val="28"/>
          <w:szCs w:val="28"/>
          <w:lang w:val="en-US"/>
        </w:rPr>
        <w:t>2020. - №</w:t>
      </w:r>
      <w:r w:rsidRPr="00802D35">
        <w:rPr>
          <w:rFonts w:ascii="Times New Roman" w:hAnsi="Times New Roman" w:cs="Times New Roman"/>
          <w:sz w:val="28"/>
          <w:szCs w:val="28"/>
          <w:lang w:val="en-US"/>
        </w:rPr>
        <w:t>16</w:t>
      </w:r>
      <w:r w:rsidR="0011107A" w:rsidRPr="00802D35">
        <w:rPr>
          <w:rFonts w:ascii="Times New Roman" w:hAnsi="Times New Roman" w:cs="Times New Roman"/>
          <w:sz w:val="28"/>
          <w:szCs w:val="28"/>
          <w:lang w:val="en-US"/>
        </w:rPr>
        <w:t>. -</w:t>
      </w:r>
      <w:r w:rsidRPr="00802D35">
        <w:rPr>
          <w:rFonts w:ascii="Times New Roman" w:hAnsi="Times New Roman" w:cs="Times New Roman"/>
          <w:sz w:val="28"/>
          <w:szCs w:val="28"/>
          <w:lang w:val="en-US"/>
        </w:rPr>
        <w:t xml:space="preserve"> pp. 1-11, </w:t>
      </w:r>
      <w:hyperlink r:id="rId134" w:tgtFrame="_blank" w:history="1">
        <w:r w:rsidRPr="00802D35">
          <w:rPr>
            <w:rStyle w:val="a6"/>
            <w:rFonts w:ascii="Times New Roman" w:hAnsi="Times New Roman" w:cs="Times New Roman"/>
            <w:color w:val="auto"/>
            <w:sz w:val="28"/>
            <w:szCs w:val="28"/>
            <w:lang w:val="en-US"/>
          </w:rPr>
          <w:t>10.1007/s11306-019-1622-2</w:t>
        </w:r>
      </w:hyperlink>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lang w:val="en-US"/>
        </w:rPr>
        <w:t>Azatbek Bakashbayev, Aliya Nurgaliyeva, Nazira Gumar, Zhanat Khamidullina, Markhabat Saduakassova  Examining the Trends in Bank Deposits through Internal and External Factors based on the Supply Chain Strategies: A Primary and Secondary Data Survey//</w:t>
      </w:r>
      <w:r w:rsidRPr="00802D35">
        <w:rPr>
          <w:rFonts w:ascii="Times New Roman" w:hAnsi="Times New Roman" w:cs="Times New Roman"/>
          <w:bCs/>
          <w:iCs/>
          <w:sz w:val="28"/>
          <w:szCs w:val="28"/>
          <w:lang w:val="en-US"/>
        </w:rPr>
        <w:t>International Journal of Supply Chain Management</w:t>
      </w:r>
      <w:r w:rsidR="0011107A" w:rsidRPr="00802D35">
        <w:rPr>
          <w:rFonts w:ascii="Times New Roman" w:hAnsi="Times New Roman" w:cs="Times New Roman"/>
          <w:bCs/>
          <w:iCs/>
          <w:sz w:val="28"/>
          <w:szCs w:val="28"/>
          <w:lang w:val="en-US"/>
        </w:rPr>
        <w:t>,</w:t>
      </w:r>
      <w:r w:rsidRPr="00802D35">
        <w:rPr>
          <w:rFonts w:ascii="Times New Roman" w:hAnsi="Times New Roman" w:cs="Times New Roman"/>
          <w:sz w:val="28"/>
          <w:szCs w:val="28"/>
          <w:lang w:val="en-US"/>
        </w:rPr>
        <w:t xml:space="preserve"> </w:t>
      </w:r>
      <w:r w:rsidR="0011107A" w:rsidRPr="00802D35">
        <w:rPr>
          <w:rFonts w:ascii="Times New Roman" w:hAnsi="Times New Roman" w:cs="Times New Roman"/>
          <w:sz w:val="28"/>
          <w:szCs w:val="28"/>
          <w:lang w:val="en-US"/>
        </w:rPr>
        <w:t xml:space="preserve">2020. - </w:t>
      </w:r>
      <w:r w:rsidRPr="00802D35">
        <w:rPr>
          <w:rFonts w:ascii="Times New Roman" w:hAnsi="Times New Roman" w:cs="Times New Roman"/>
          <w:sz w:val="28"/>
          <w:szCs w:val="28"/>
          <w:lang w:val="en-US"/>
        </w:rPr>
        <w:t xml:space="preserve">Vol. 9, </w:t>
      </w:r>
      <w:r w:rsidR="0011107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2</w:t>
      </w:r>
      <w:r w:rsidR="0011107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 xml:space="preserve">  </w:t>
      </w:r>
      <w:r w:rsidRPr="00802D35">
        <w:rPr>
          <w:rFonts w:ascii="Times New Roman" w:hAnsi="Times New Roman" w:cs="Times New Roman"/>
          <w:sz w:val="28"/>
          <w:szCs w:val="28"/>
        </w:rPr>
        <w:t>– pp.526-535.</w:t>
      </w:r>
    </w:p>
    <w:p w:rsidR="00032905" w:rsidRPr="00802D35" w:rsidRDefault="00705DF2" w:rsidP="00032905">
      <w:pPr>
        <w:pStyle w:val="a3"/>
        <w:numPr>
          <w:ilvl w:val="0"/>
          <w:numId w:val="20"/>
        </w:numPr>
        <w:tabs>
          <w:tab w:val="left" w:pos="1134"/>
        </w:tabs>
        <w:spacing w:after="0" w:line="240" w:lineRule="auto"/>
        <w:ind w:left="0" w:firstLine="567"/>
        <w:jc w:val="both"/>
        <w:rPr>
          <w:rStyle w:val="a6"/>
          <w:rFonts w:ascii="Times New Roman" w:hAnsi="Times New Roman" w:cs="Times New Roman"/>
          <w:iCs/>
          <w:color w:val="auto"/>
          <w:sz w:val="28"/>
          <w:szCs w:val="28"/>
          <w:shd w:val="clear" w:color="auto" w:fill="FFFFFF"/>
          <w:lang w:val="en-US"/>
        </w:rPr>
      </w:pPr>
      <w:r w:rsidRPr="00802D35">
        <w:rPr>
          <w:rFonts w:ascii="Times New Roman" w:hAnsi="Times New Roman" w:cs="Times New Roman"/>
          <w:sz w:val="28"/>
          <w:szCs w:val="28"/>
          <w:shd w:val="clear" w:color="auto" w:fill="FFFFFF"/>
          <w:lang w:val="en-US"/>
        </w:rPr>
        <w:lastRenderedPageBreak/>
        <w:t>Maurizio Naldi, Marta Flamini Dynamics of the Hirschman-Herfindahl Index under new market entries//</w:t>
      </w:r>
      <w:r w:rsidRPr="00802D35">
        <w:rPr>
          <w:rFonts w:ascii="Times New Roman" w:hAnsi="Times New Roman" w:cs="Times New Roman"/>
          <w:sz w:val="28"/>
          <w:szCs w:val="28"/>
          <w:lang w:val="en-US"/>
        </w:rPr>
        <w:t xml:space="preserve"> Economic Papers A journal of applied economics and policy, 2018. - №37(1) DOI: </w:t>
      </w:r>
      <w:hyperlink r:id="rId135" w:history="1">
        <w:r w:rsidRPr="00802D35">
          <w:rPr>
            <w:rStyle w:val="a6"/>
            <w:rFonts w:ascii="Times New Roman" w:hAnsi="Times New Roman" w:cs="Times New Roman"/>
            <w:color w:val="auto"/>
            <w:sz w:val="28"/>
            <w:szCs w:val="28"/>
            <w:bdr w:val="none" w:sz="0" w:space="0" w:color="auto" w:frame="1"/>
            <w:lang w:val="en-US"/>
          </w:rPr>
          <w:t>10.1111/1759-3441.12222</w:t>
        </w:r>
      </w:hyperlink>
      <w:r w:rsidR="00032905" w:rsidRPr="00802D35">
        <w:rPr>
          <w:rStyle w:val="a6"/>
          <w:rFonts w:ascii="Times New Roman" w:hAnsi="Times New Roman" w:cs="Times New Roman"/>
          <w:color w:val="auto"/>
          <w:sz w:val="28"/>
          <w:szCs w:val="28"/>
          <w:bdr w:val="none" w:sz="0" w:space="0" w:color="auto" w:frame="1"/>
          <w:lang w:val="en-US"/>
        </w:rPr>
        <w:t xml:space="preserve"> </w:t>
      </w:r>
      <w:r w:rsidR="00032905" w:rsidRPr="00802D35">
        <w:rPr>
          <w:rFonts w:ascii="Times New Roman" w:hAnsi="Times New Roman" w:cs="Times New Roman"/>
          <w:sz w:val="28"/>
          <w:szCs w:val="28"/>
          <w:lang w:val="en-US"/>
        </w:rPr>
        <w:t>(</w:t>
      </w:r>
      <w:r w:rsidR="00032905" w:rsidRPr="00802D35">
        <w:rPr>
          <w:rFonts w:ascii="Times New Roman" w:hAnsi="Times New Roman" w:cs="Times New Roman"/>
          <w:sz w:val="28"/>
          <w:szCs w:val="28"/>
        </w:rPr>
        <w:t>дата</w:t>
      </w:r>
      <w:r w:rsidR="00032905" w:rsidRPr="00802D35">
        <w:rPr>
          <w:rFonts w:ascii="Times New Roman" w:hAnsi="Times New Roman" w:cs="Times New Roman"/>
          <w:sz w:val="28"/>
          <w:szCs w:val="28"/>
          <w:lang w:val="en-US"/>
        </w:rPr>
        <w:t xml:space="preserve"> </w:t>
      </w:r>
      <w:r w:rsidR="00032905" w:rsidRPr="00802D35">
        <w:rPr>
          <w:rFonts w:ascii="Times New Roman" w:hAnsi="Times New Roman" w:cs="Times New Roman"/>
          <w:sz w:val="28"/>
          <w:szCs w:val="28"/>
        </w:rPr>
        <w:t>обращения</w:t>
      </w:r>
      <w:r w:rsidR="00032905" w:rsidRPr="00802D35">
        <w:rPr>
          <w:rFonts w:ascii="Times New Roman" w:hAnsi="Times New Roman" w:cs="Times New Roman"/>
          <w:sz w:val="28"/>
          <w:szCs w:val="28"/>
          <w:lang w:val="en-US"/>
        </w:rPr>
        <w:t>: 15.10.2020).</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lang w:val="en-US"/>
        </w:rPr>
      </w:pPr>
      <w:r w:rsidRPr="00802D35">
        <w:rPr>
          <w:rFonts w:ascii="Times New Roman" w:hAnsi="Times New Roman" w:cs="Times New Roman"/>
          <w:bCs/>
          <w:sz w:val="28"/>
          <w:szCs w:val="28"/>
          <w:lang w:val="en-US"/>
        </w:rPr>
        <w:t>A. Zh. Bakashbayev</w:t>
      </w:r>
      <w:r w:rsidRPr="00802D35">
        <w:rPr>
          <w:rFonts w:ascii="Times New Roman" w:hAnsi="Times New Roman" w:cs="Times New Roman"/>
          <w:sz w:val="28"/>
          <w:szCs w:val="28"/>
          <w:lang w:val="en-US"/>
        </w:rPr>
        <w:t xml:space="preserve"> </w:t>
      </w:r>
      <w:r w:rsidR="00260358" w:rsidRPr="00802D35">
        <w:rPr>
          <w:rFonts w:ascii="Times New Roman" w:hAnsi="Times New Roman" w:cs="Times New Roman"/>
          <w:sz w:val="28"/>
          <w:szCs w:val="28"/>
          <w:lang w:val="en-US"/>
        </w:rPr>
        <w:t>Optimization strategy of funding in second-tier banks //Reports of the National academy of sciences of the Republic of Kazakhstan</w:t>
      </w:r>
      <w:r w:rsidR="0011107A" w:rsidRPr="00802D35">
        <w:rPr>
          <w:rFonts w:ascii="Times New Roman" w:hAnsi="Times New Roman" w:cs="Times New Roman"/>
          <w:sz w:val="28"/>
          <w:szCs w:val="28"/>
          <w:lang w:val="en-US"/>
        </w:rPr>
        <w:t xml:space="preserve">, 2019. - </w:t>
      </w:r>
      <w:r w:rsidRPr="00802D35">
        <w:rPr>
          <w:rFonts w:ascii="Times New Roman" w:hAnsi="Times New Roman" w:cs="Times New Roman"/>
          <w:sz w:val="28"/>
          <w:szCs w:val="28"/>
          <w:lang w:val="en-US"/>
        </w:rPr>
        <w:t xml:space="preserve"> Volume 5, Number 327</w:t>
      </w:r>
      <w:r w:rsidR="0011107A" w:rsidRPr="00802D35">
        <w:rPr>
          <w:rFonts w:ascii="Times New Roman" w:hAnsi="Times New Roman" w:cs="Times New Roman"/>
          <w:sz w:val="28"/>
          <w:szCs w:val="28"/>
          <w:lang w:val="en-US"/>
        </w:rPr>
        <w:t xml:space="preserve">. – </w:t>
      </w:r>
      <w:r w:rsidR="0011107A" w:rsidRPr="00802D35">
        <w:rPr>
          <w:rFonts w:ascii="Times New Roman" w:hAnsi="Times New Roman" w:cs="Times New Roman"/>
          <w:sz w:val="28"/>
          <w:szCs w:val="28"/>
        </w:rPr>
        <w:t>рр</w:t>
      </w:r>
      <w:r w:rsidR="0011107A" w:rsidRPr="00802D35">
        <w:rPr>
          <w:rFonts w:ascii="Times New Roman" w:hAnsi="Times New Roman" w:cs="Times New Roman"/>
          <w:sz w:val="28"/>
          <w:szCs w:val="28"/>
          <w:lang w:val="en-US"/>
        </w:rPr>
        <w:t>.</w:t>
      </w:r>
      <w:r w:rsidRPr="00802D35">
        <w:rPr>
          <w:rFonts w:ascii="Times New Roman" w:hAnsi="Times New Roman" w:cs="Times New Roman"/>
          <w:sz w:val="28"/>
          <w:szCs w:val="28"/>
          <w:lang w:val="en-US"/>
        </w:rPr>
        <w:t>60 – 67</w:t>
      </w:r>
      <w:r w:rsidR="0011107A" w:rsidRPr="00802D35">
        <w:rPr>
          <w:rFonts w:ascii="Times New Roman" w:hAnsi="Times New Roman" w:cs="Times New Roman"/>
          <w:sz w:val="28"/>
          <w:szCs w:val="28"/>
          <w:lang w:val="en-US"/>
        </w:rPr>
        <w:t>. https://doi.org/10.32014/2019.2518-1483.142 ISSN 2224-5227</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shd w:val="clear" w:color="auto" w:fill="FFFFFF"/>
        </w:rPr>
        <w:t>Кобзарь А.И., Тикменова И.В., Тикменов В.Н. Сравнительный анализ решения матричной игры m × n метод линейного программирования и итерационным методом Брауна - Робинсона // Электронные информационные системы, 2014. - №3 (3)</w:t>
      </w:r>
      <w:r w:rsidR="0011107A" w:rsidRPr="00802D35">
        <w:rPr>
          <w:rFonts w:ascii="Times New Roman" w:hAnsi="Times New Roman" w:cs="Times New Roman"/>
          <w:sz w:val="28"/>
          <w:szCs w:val="28"/>
          <w:shd w:val="clear" w:color="auto" w:fill="FFFFFF"/>
        </w:rPr>
        <w:t>. -</w:t>
      </w:r>
      <w:r w:rsidRPr="00802D35">
        <w:rPr>
          <w:rFonts w:ascii="Times New Roman" w:hAnsi="Times New Roman" w:cs="Times New Roman"/>
          <w:sz w:val="28"/>
          <w:szCs w:val="28"/>
          <w:shd w:val="clear" w:color="auto" w:fill="FFFFFF"/>
        </w:rPr>
        <w:t xml:space="preserve"> </w:t>
      </w:r>
      <w:r w:rsidR="0011107A" w:rsidRPr="00802D35">
        <w:rPr>
          <w:rFonts w:ascii="Times New Roman" w:hAnsi="Times New Roman" w:cs="Times New Roman"/>
          <w:sz w:val="28"/>
          <w:szCs w:val="28"/>
          <w:shd w:val="clear" w:color="auto" w:fill="FFFFFF"/>
        </w:rPr>
        <w:t>С</w:t>
      </w:r>
      <w:r w:rsidRPr="00802D35">
        <w:rPr>
          <w:rFonts w:ascii="Times New Roman" w:hAnsi="Times New Roman" w:cs="Times New Roman"/>
          <w:sz w:val="28"/>
          <w:szCs w:val="28"/>
          <w:shd w:val="clear" w:color="auto" w:fill="FFFFFF"/>
        </w:rPr>
        <w:t>.</w:t>
      </w:r>
      <w:r w:rsidR="0011107A" w:rsidRPr="00802D35">
        <w:rPr>
          <w:rFonts w:ascii="Times New Roman" w:hAnsi="Times New Roman" w:cs="Times New Roman"/>
          <w:sz w:val="28"/>
          <w:szCs w:val="28"/>
          <w:shd w:val="clear" w:color="auto" w:fill="FFFFFF"/>
        </w:rPr>
        <w:t>33-52.</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О.А. Емец, Д.Н.Ольховский, Е.В. Ольховская Сравнение методов решения игровых задач: числовые эксперименты // Искусственный интеллект, 2014. - №1. - С. 48-56.</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Яроцкая Е. В. Экономико-математические методы и моделирование: учеб. пособие / Краснодар: КубГАУ, 2017. - 176 с.</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bCs/>
          <w:sz w:val="28"/>
          <w:szCs w:val="28"/>
          <w:lang w:val="en-US"/>
        </w:rPr>
        <w:t xml:space="preserve">A. Zh. Bakashbayev </w:t>
      </w:r>
      <w:r w:rsidR="0011107A" w:rsidRPr="00802D35">
        <w:rPr>
          <w:rFonts w:ascii="Times New Roman" w:hAnsi="Times New Roman" w:cs="Times New Roman"/>
          <w:bCs/>
          <w:sz w:val="28"/>
          <w:szCs w:val="28"/>
          <w:lang w:val="en-US"/>
        </w:rPr>
        <w:t xml:space="preserve">Modeling the allocation of sources of funding in banks </w:t>
      </w:r>
      <w:r w:rsidRPr="00802D35">
        <w:rPr>
          <w:rFonts w:ascii="Times New Roman" w:hAnsi="Times New Roman" w:cs="Times New Roman"/>
          <w:bCs/>
          <w:sz w:val="28"/>
          <w:szCs w:val="28"/>
          <w:lang w:val="en-US"/>
        </w:rPr>
        <w:t xml:space="preserve">// </w:t>
      </w:r>
      <w:r w:rsidR="00260358" w:rsidRPr="00802D35">
        <w:rPr>
          <w:rFonts w:ascii="Times New Roman" w:hAnsi="Times New Roman" w:cs="Times New Roman"/>
          <w:sz w:val="28"/>
          <w:szCs w:val="28"/>
          <w:lang w:val="en-US"/>
        </w:rPr>
        <w:t>Reports of the National academy of sciences of the Republic of Kazakhstan</w:t>
      </w:r>
      <w:r w:rsidR="0011107A" w:rsidRPr="00802D35">
        <w:rPr>
          <w:rFonts w:ascii="Times New Roman" w:hAnsi="Times New Roman" w:cs="Times New Roman"/>
          <w:bCs/>
          <w:sz w:val="28"/>
          <w:szCs w:val="28"/>
          <w:lang w:val="en-US"/>
        </w:rPr>
        <w:t xml:space="preserve">, </w:t>
      </w:r>
      <w:r w:rsidR="0011107A" w:rsidRPr="00802D35">
        <w:rPr>
          <w:rFonts w:ascii="Times New Roman" w:hAnsi="Times New Roman" w:cs="Times New Roman"/>
          <w:sz w:val="28"/>
          <w:szCs w:val="28"/>
          <w:lang w:val="en-US"/>
        </w:rPr>
        <w:t>2019. -</w:t>
      </w:r>
      <w:r w:rsidRPr="00802D35">
        <w:rPr>
          <w:rFonts w:ascii="Times New Roman" w:hAnsi="Times New Roman" w:cs="Times New Roman"/>
          <w:bCs/>
          <w:sz w:val="28"/>
          <w:szCs w:val="28"/>
          <w:lang w:val="en-US"/>
        </w:rPr>
        <w:t xml:space="preserve"> </w:t>
      </w:r>
      <w:r w:rsidR="0011107A" w:rsidRPr="00802D35">
        <w:rPr>
          <w:rFonts w:ascii="Times New Roman" w:hAnsi="Times New Roman" w:cs="Times New Roman"/>
          <w:sz w:val="28"/>
          <w:szCs w:val="28"/>
          <w:lang w:val="en-US"/>
        </w:rPr>
        <w:t xml:space="preserve">Volume 3, Number 325. -  </w:t>
      </w:r>
      <w:r w:rsidR="0011107A" w:rsidRPr="00802D35">
        <w:rPr>
          <w:rFonts w:ascii="Times New Roman" w:hAnsi="Times New Roman" w:cs="Times New Roman"/>
          <w:sz w:val="28"/>
          <w:szCs w:val="28"/>
        </w:rPr>
        <w:t>рр</w:t>
      </w:r>
      <w:r w:rsidR="0011107A" w:rsidRPr="00802D35">
        <w:rPr>
          <w:rFonts w:ascii="Times New Roman" w:hAnsi="Times New Roman" w:cs="Times New Roman"/>
          <w:sz w:val="28"/>
          <w:szCs w:val="28"/>
          <w:lang w:val="en-US"/>
        </w:rPr>
        <w:t xml:space="preserve">.132 – 139. </w:t>
      </w:r>
      <w:hyperlink r:id="rId136" w:history="1">
        <w:r w:rsidRPr="00802D35">
          <w:rPr>
            <w:rStyle w:val="a6"/>
            <w:rFonts w:ascii="Times New Roman" w:hAnsi="Times New Roman" w:cs="Times New Roman"/>
            <w:color w:val="auto"/>
            <w:sz w:val="28"/>
            <w:szCs w:val="28"/>
          </w:rPr>
          <w:t>https://doi.org/10.32014/2019.2518-1483.83</w:t>
        </w:r>
      </w:hyperlink>
      <w:r w:rsidRPr="00802D35">
        <w:rPr>
          <w:rFonts w:ascii="Times New Roman" w:hAnsi="Times New Roman" w:cs="Times New Roman"/>
          <w:bCs/>
          <w:sz w:val="28"/>
          <w:szCs w:val="28"/>
        </w:rPr>
        <w:t xml:space="preserve"> </w:t>
      </w:r>
      <w:r w:rsidR="0011107A" w:rsidRPr="00802D35">
        <w:rPr>
          <w:rFonts w:ascii="Times New Roman" w:hAnsi="Times New Roman" w:cs="Times New Roman"/>
          <w:sz w:val="28"/>
          <w:szCs w:val="28"/>
        </w:rPr>
        <w:t>ISSN 2224-5227</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Коровин А. М. Моделирование систем: уч. пособие / А. М. Коровин. – Челябинск: Издательский центр ЮУрГУ, 2010. – 47 с.</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В. А. Попов, А. В. Елизева, А. Т. Чунгульбаева, А. И. Олексенко Моделирование бизнес-процесса управления финансовыми ресурсами банковского учреждения//Радиоэлектронные компьютерные системы, 2014</w:t>
      </w:r>
      <w:r w:rsidR="0011107A" w:rsidRPr="00802D35">
        <w:rPr>
          <w:rFonts w:ascii="Times New Roman" w:hAnsi="Times New Roman" w:cs="Times New Roman"/>
          <w:sz w:val="28"/>
          <w:szCs w:val="28"/>
        </w:rPr>
        <w:t>. -</w:t>
      </w:r>
      <w:r w:rsidRPr="00802D35">
        <w:rPr>
          <w:rFonts w:ascii="Times New Roman" w:hAnsi="Times New Roman" w:cs="Times New Roman"/>
          <w:sz w:val="28"/>
          <w:szCs w:val="28"/>
        </w:rPr>
        <w:t xml:space="preserve"> № 4 (68). – С.163-169 ISSN 1814-4225.</w:t>
      </w:r>
    </w:p>
    <w:p w:rsidR="00705DF2" w:rsidRPr="00802D35" w:rsidRDefault="00705DF2" w:rsidP="000A006A">
      <w:pPr>
        <w:pStyle w:val="a3"/>
        <w:numPr>
          <w:ilvl w:val="0"/>
          <w:numId w:val="20"/>
        </w:numPr>
        <w:tabs>
          <w:tab w:val="left" w:pos="1134"/>
        </w:tabs>
        <w:spacing w:after="0" w:line="240" w:lineRule="auto"/>
        <w:ind w:left="0" w:firstLine="567"/>
        <w:jc w:val="both"/>
        <w:rPr>
          <w:rFonts w:ascii="Times New Roman" w:hAnsi="Times New Roman" w:cs="Times New Roman"/>
          <w:iCs/>
          <w:sz w:val="28"/>
          <w:szCs w:val="28"/>
          <w:shd w:val="clear" w:color="auto" w:fill="FFFFFF"/>
        </w:rPr>
      </w:pPr>
      <w:r w:rsidRPr="00802D35">
        <w:rPr>
          <w:rFonts w:ascii="Times New Roman" w:hAnsi="Times New Roman" w:cs="Times New Roman"/>
          <w:sz w:val="28"/>
          <w:szCs w:val="28"/>
        </w:rPr>
        <w:t>Сдвижков О.А Распределительный метод для задачи о назначениях// Международный научно-исследовательский журнал, 2018. - №8(50), Часть 3. – С.150-154.</w:t>
      </w:r>
    </w:p>
    <w:p w:rsidR="00705DF2" w:rsidRPr="00802D35" w:rsidRDefault="00705DF2" w:rsidP="00705DF2">
      <w:pPr>
        <w:pStyle w:val="a3"/>
        <w:spacing w:after="0" w:line="240" w:lineRule="auto"/>
        <w:jc w:val="both"/>
        <w:rPr>
          <w:rStyle w:val="currentdocdiv"/>
          <w:rFonts w:ascii="Times New Roman" w:hAnsi="Times New Roman" w:cs="Times New Roman"/>
          <w:iCs/>
          <w:sz w:val="28"/>
          <w:szCs w:val="28"/>
          <w:shd w:val="clear" w:color="auto" w:fill="FFFFFF"/>
        </w:rPr>
      </w:pPr>
    </w:p>
    <w:p w:rsidR="00BE53CD" w:rsidRPr="00802D35" w:rsidRDefault="00BE53CD" w:rsidP="00705DF2">
      <w:pPr>
        <w:pStyle w:val="a3"/>
        <w:spacing w:after="0" w:line="240" w:lineRule="auto"/>
        <w:jc w:val="both"/>
        <w:rPr>
          <w:rStyle w:val="currentdocdiv"/>
          <w:rFonts w:ascii="Times New Roman" w:hAnsi="Times New Roman" w:cs="Times New Roman"/>
          <w:iCs/>
          <w:sz w:val="28"/>
          <w:szCs w:val="28"/>
          <w:shd w:val="clear" w:color="auto" w:fill="FFFFFF"/>
        </w:rPr>
      </w:pPr>
    </w:p>
    <w:p w:rsidR="00BE53CD" w:rsidRPr="00802D35" w:rsidRDefault="00BE53CD" w:rsidP="00705DF2">
      <w:pPr>
        <w:pStyle w:val="a3"/>
        <w:spacing w:after="0" w:line="240" w:lineRule="auto"/>
        <w:jc w:val="both"/>
        <w:rPr>
          <w:rStyle w:val="currentdocdiv"/>
          <w:rFonts w:ascii="Times New Roman" w:hAnsi="Times New Roman" w:cs="Times New Roman"/>
          <w:iCs/>
          <w:sz w:val="28"/>
          <w:szCs w:val="28"/>
          <w:shd w:val="clear" w:color="auto" w:fill="FFFFFF"/>
        </w:rPr>
      </w:pPr>
    </w:p>
    <w:p w:rsidR="00BE53CD" w:rsidRDefault="00BE53CD"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Default="00276CDB" w:rsidP="00705DF2">
      <w:pPr>
        <w:pStyle w:val="a3"/>
        <w:spacing w:after="0" w:line="240" w:lineRule="auto"/>
        <w:jc w:val="both"/>
        <w:rPr>
          <w:rStyle w:val="currentdocdiv"/>
          <w:rFonts w:ascii="Times New Roman" w:hAnsi="Times New Roman" w:cs="Times New Roman"/>
          <w:iCs/>
          <w:sz w:val="28"/>
          <w:szCs w:val="28"/>
          <w:shd w:val="clear" w:color="auto" w:fill="FFFFFF"/>
          <w:lang w:val="en-US"/>
        </w:rPr>
      </w:pPr>
    </w:p>
    <w:p w:rsidR="00276CDB" w:rsidRPr="00802D35" w:rsidRDefault="00276CDB" w:rsidP="00276CDB">
      <w:pPr>
        <w:spacing w:after="0" w:line="240" w:lineRule="auto"/>
        <w:jc w:val="center"/>
        <w:rPr>
          <w:rFonts w:ascii="Times New Roman" w:hAnsi="Times New Roman" w:cs="Times New Roman"/>
          <w:caps/>
          <w:color w:val="000000"/>
          <w:sz w:val="28"/>
          <w:szCs w:val="28"/>
        </w:rPr>
      </w:pPr>
      <w:bookmarkStart w:id="2" w:name="z1349"/>
      <w:r w:rsidRPr="00802D35">
        <w:rPr>
          <w:rFonts w:ascii="Times New Roman" w:hAnsi="Times New Roman" w:cs="Times New Roman"/>
          <w:caps/>
          <w:color w:val="000000"/>
          <w:sz w:val="28"/>
          <w:szCs w:val="28"/>
        </w:rPr>
        <w:lastRenderedPageBreak/>
        <w:t>Приложение Б</w:t>
      </w:r>
    </w:p>
    <w:p w:rsidR="00276CDB" w:rsidRPr="00802D35" w:rsidRDefault="00276CDB" w:rsidP="00276CDB">
      <w:pPr>
        <w:spacing w:after="0" w:line="240" w:lineRule="auto"/>
        <w:rPr>
          <w:rFonts w:ascii="Times New Roman" w:hAnsi="Times New Roman" w:cs="Times New Roman"/>
          <w:b/>
          <w:color w:val="000000"/>
          <w:sz w:val="28"/>
          <w:szCs w:val="28"/>
        </w:rPr>
      </w:pPr>
    </w:p>
    <w:bookmarkEnd w:id="2"/>
    <w:p w:rsidR="00276CDB" w:rsidRPr="00802D35" w:rsidRDefault="00276CDB" w:rsidP="00276CDB">
      <w:pPr>
        <w:spacing w:after="0" w:line="240" w:lineRule="auto"/>
        <w:rPr>
          <w:rFonts w:ascii="Times New Roman" w:hAnsi="Times New Roman" w:cs="Times New Roman"/>
          <w:sz w:val="28"/>
          <w:szCs w:val="28"/>
        </w:rPr>
      </w:pPr>
      <w:r w:rsidRPr="00802D35">
        <w:rPr>
          <w:rFonts w:ascii="Times New Roman" w:hAnsi="Times New Roman" w:cs="Times New Roman"/>
          <w:sz w:val="28"/>
          <w:szCs w:val="28"/>
        </w:rPr>
        <w:t>Таблица А.1 – Показатели фондирования БВУ за 2019 г.</w:t>
      </w:r>
    </w:p>
    <w:p w:rsidR="00276CDB" w:rsidRPr="00802D35" w:rsidRDefault="00276CDB" w:rsidP="00276CDB">
      <w:pPr>
        <w:spacing w:after="0" w:line="240" w:lineRule="auto"/>
        <w:rPr>
          <w:rFonts w:ascii="Times New Roman" w:hAnsi="Times New Roman" w:cs="Times New Roman"/>
          <w:sz w:val="28"/>
          <w:szCs w:val="28"/>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2479"/>
        <w:gridCol w:w="1417"/>
        <w:gridCol w:w="1418"/>
        <w:gridCol w:w="1813"/>
        <w:gridCol w:w="1878"/>
      </w:tblGrid>
      <w:tr w:rsidR="00276CDB" w:rsidRPr="00802D35" w:rsidTr="0072554F">
        <w:trPr>
          <w:trHeight w:val="264"/>
        </w:trPr>
        <w:tc>
          <w:tcPr>
            <w:tcW w:w="65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 п/п</w:t>
            </w:r>
          </w:p>
        </w:tc>
        <w:tc>
          <w:tcPr>
            <w:tcW w:w="2479"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Наименование банка</w:t>
            </w:r>
          </w:p>
        </w:tc>
        <w:tc>
          <w:tcPr>
            <w:tcW w:w="1417"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k1</w:t>
            </w:r>
          </w:p>
        </w:tc>
        <w:tc>
          <w:tcPr>
            <w:tcW w:w="1418"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k1-2</w:t>
            </w:r>
          </w:p>
        </w:tc>
        <w:tc>
          <w:tcPr>
            <w:tcW w:w="1813"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k2</w:t>
            </w:r>
          </w:p>
        </w:tc>
        <w:tc>
          <w:tcPr>
            <w:tcW w:w="1878"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k7</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"Народный Банк Казахстана"</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0,213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0,213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0,231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0,057 </w:t>
            </w:r>
          </w:p>
        </w:tc>
      </w:tr>
      <w:tr w:rsidR="00276CDB" w:rsidRPr="00802D35" w:rsidTr="0072554F">
        <w:trPr>
          <w:trHeight w:val="130"/>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ДБ АО "Сбербанк"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0,143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0,143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0,143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0,094 </w:t>
            </w:r>
          </w:p>
        </w:tc>
      </w:tr>
      <w:tr w:rsidR="00276CDB" w:rsidRPr="00802D35" w:rsidTr="0072554F">
        <w:trPr>
          <w:trHeight w:val="149"/>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3</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"ForteBank"</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0,170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0,170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0,183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0,151 </w:t>
            </w:r>
          </w:p>
        </w:tc>
      </w:tr>
      <w:tr w:rsidR="00276CDB" w:rsidRPr="00802D35" w:rsidTr="0072554F">
        <w:trPr>
          <w:trHeight w:val="294"/>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4</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"KASPI BANK"</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0,114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0,114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0,145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0,054 </w:t>
            </w:r>
          </w:p>
        </w:tc>
      </w:tr>
      <w:tr w:rsidR="00276CDB" w:rsidRPr="00802D35" w:rsidTr="0072554F">
        <w:trPr>
          <w:trHeight w:val="257"/>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5</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"Банк ЦентрКредит"</w:t>
            </w:r>
          </w:p>
        </w:tc>
        <w:tc>
          <w:tcPr>
            <w:tcW w:w="1417"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0,094 </w:t>
            </w:r>
          </w:p>
        </w:tc>
        <w:tc>
          <w:tcPr>
            <w:tcW w:w="141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0,100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0,174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0,042 </w:t>
            </w:r>
          </w:p>
        </w:tc>
      </w:tr>
      <w:tr w:rsidR="00276CDB" w:rsidRPr="00802D35" w:rsidTr="0072554F">
        <w:trPr>
          <w:trHeight w:val="246"/>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6</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"АТФБанк"</w:t>
            </w:r>
          </w:p>
        </w:tc>
        <w:tc>
          <w:tcPr>
            <w:tcW w:w="1417"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0,093 </w:t>
            </w:r>
          </w:p>
        </w:tc>
        <w:tc>
          <w:tcPr>
            <w:tcW w:w="141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0,098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0,223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0,079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7</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"Жилстройсбербанк Казахстана"</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0,398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0,398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0,398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w:t>
            </w:r>
          </w:p>
        </w:tc>
      </w:tr>
      <w:tr w:rsidR="00276CDB" w:rsidRPr="00802D35" w:rsidTr="0072554F">
        <w:trPr>
          <w:trHeight w:val="442"/>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8</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lang w:val="en-US"/>
              </w:rPr>
            </w:pPr>
            <w:r w:rsidRPr="00802D35">
              <w:rPr>
                <w:rFonts w:ascii="Times New Roman" w:hAnsi="Times New Roman" w:cs="Times New Roman"/>
                <w:color w:val="000000"/>
              </w:rPr>
              <w:t>АО</w:t>
            </w:r>
            <w:r w:rsidRPr="00802D35">
              <w:rPr>
                <w:rFonts w:ascii="Times New Roman" w:hAnsi="Times New Roman" w:cs="Times New Roman"/>
                <w:color w:val="000000"/>
                <w:lang w:val="en-US"/>
              </w:rPr>
              <w:t xml:space="preserve"> "First Heartland Jýsan Bank" (</w:t>
            </w:r>
            <w:r w:rsidRPr="00802D35">
              <w:rPr>
                <w:rFonts w:ascii="Times New Roman" w:hAnsi="Times New Roman" w:cs="Times New Roman"/>
                <w:color w:val="000000"/>
              </w:rPr>
              <w:t>АО</w:t>
            </w:r>
            <w:r w:rsidRPr="00802D35">
              <w:rPr>
                <w:rFonts w:ascii="Times New Roman" w:hAnsi="Times New Roman" w:cs="Times New Roman"/>
                <w:color w:val="000000"/>
                <w:lang w:val="en-US"/>
              </w:rPr>
              <w:t xml:space="preserve"> "</w:t>
            </w:r>
            <w:r w:rsidRPr="00802D35">
              <w:rPr>
                <w:rFonts w:ascii="Times New Roman" w:hAnsi="Times New Roman" w:cs="Times New Roman"/>
                <w:color w:val="000000"/>
              </w:rPr>
              <w:t>Цеснабанк</w:t>
            </w:r>
            <w:r w:rsidRPr="00802D35">
              <w:rPr>
                <w:rFonts w:ascii="Times New Roman" w:hAnsi="Times New Roman" w:cs="Times New Roman"/>
                <w:color w:val="000000"/>
                <w:lang w:val="en-US"/>
              </w:rPr>
              <w:t>")</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0,613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0,614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0,806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0,005 </w:t>
            </w:r>
          </w:p>
        </w:tc>
      </w:tr>
      <w:tr w:rsidR="00276CDB" w:rsidRPr="00802D35" w:rsidTr="0072554F">
        <w:trPr>
          <w:trHeight w:val="253"/>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9</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"Евразийский Банк"</w:t>
            </w:r>
          </w:p>
        </w:tc>
        <w:tc>
          <w:tcPr>
            <w:tcW w:w="1417"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0,100 </w:t>
            </w:r>
          </w:p>
        </w:tc>
        <w:tc>
          <w:tcPr>
            <w:tcW w:w="141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0,100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0,262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0,113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10</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"Ситибанк Казахстан"</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0,759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0,759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0,759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0,219 </w:t>
            </w:r>
          </w:p>
        </w:tc>
      </w:tr>
      <w:tr w:rsidR="00276CDB" w:rsidRPr="00802D35" w:rsidTr="0072554F">
        <w:trPr>
          <w:trHeight w:val="220"/>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11</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"Банк "Bank RBK"</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0,144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0,152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0,581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0,015 </w:t>
            </w:r>
          </w:p>
        </w:tc>
      </w:tr>
      <w:tr w:rsidR="00276CDB" w:rsidRPr="00802D35" w:rsidTr="0072554F">
        <w:trPr>
          <w:trHeight w:val="239"/>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12</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"ДБ "АЛЬФА-БАНК"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0,162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0,162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0,162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0,201 </w:t>
            </w:r>
          </w:p>
        </w:tc>
      </w:tr>
      <w:tr w:rsidR="00276CDB" w:rsidRPr="00802D35" w:rsidTr="0072554F">
        <w:trPr>
          <w:trHeight w:val="242"/>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13</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 xml:space="preserve">АО "Altyn Bank" </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0,181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0,181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0,181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0,398 </w:t>
            </w:r>
          </w:p>
        </w:tc>
      </w:tr>
      <w:tr w:rsidR="00276CDB" w:rsidRPr="00802D35" w:rsidTr="0072554F">
        <w:trPr>
          <w:trHeight w:val="389"/>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14</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ДБ АО "Банк Хоум Кредит"</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0,129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0,129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0,129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0,045 </w:t>
            </w:r>
          </w:p>
        </w:tc>
      </w:tr>
      <w:tr w:rsidR="00276CDB" w:rsidRPr="00802D35" w:rsidTr="0072554F">
        <w:trPr>
          <w:trHeight w:val="282"/>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15</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"Нурбанк"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0,170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0,171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0,189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0,020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16</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ДБ "БАНК КИТАЯ В КАЗАХСТАНЕ"</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0,751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0,751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0,751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0,390 </w:t>
            </w:r>
          </w:p>
        </w:tc>
      </w:tr>
      <w:tr w:rsidR="00276CDB" w:rsidRPr="00802D35" w:rsidTr="0072554F">
        <w:trPr>
          <w:trHeight w:val="29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17</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ДО АО Банк ВТБ (Казахстан)</w:t>
            </w:r>
          </w:p>
        </w:tc>
        <w:tc>
          <w:tcPr>
            <w:tcW w:w="1417"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0,103 </w:t>
            </w:r>
          </w:p>
        </w:tc>
        <w:tc>
          <w:tcPr>
            <w:tcW w:w="141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0,103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0,156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0,136 </w:t>
            </w:r>
          </w:p>
        </w:tc>
      </w:tr>
      <w:tr w:rsidR="00276CDB" w:rsidRPr="00802D35" w:rsidTr="0072554F">
        <w:trPr>
          <w:trHeight w:val="34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18</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"ТПБ Китая в г.Алматы"</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0,882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0,882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0,882 </w:t>
            </w:r>
          </w:p>
        </w:tc>
        <w:tc>
          <w:tcPr>
            <w:tcW w:w="187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0,432 </w:t>
            </w:r>
          </w:p>
        </w:tc>
      </w:tr>
      <w:tr w:rsidR="00276CDB" w:rsidRPr="00802D35" w:rsidTr="0072554F">
        <w:trPr>
          <w:trHeight w:val="22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19</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"Tengri Bank"</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0,141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0,141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0,141 </w:t>
            </w:r>
          </w:p>
        </w:tc>
        <w:tc>
          <w:tcPr>
            <w:tcW w:w="187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0,474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20</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lang w:val="en-US"/>
              </w:rPr>
            </w:pPr>
            <w:r w:rsidRPr="00802D35">
              <w:rPr>
                <w:rFonts w:ascii="Times New Roman" w:hAnsi="Times New Roman" w:cs="Times New Roman"/>
                <w:color w:val="000000"/>
              </w:rPr>
              <w:t>АО</w:t>
            </w:r>
            <w:r w:rsidRPr="00802D35">
              <w:rPr>
                <w:rFonts w:ascii="Times New Roman" w:hAnsi="Times New Roman" w:cs="Times New Roman"/>
                <w:color w:val="000000"/>
                <w:lang w:val="en-US"/>
              </w:rPr>
              <w:t xml:space="preserve"> "</w:t>
            </w:r>
            <w:r w:rsidRPr="00802D35">
              <w:rPr>
                <w:rFonts w:ascii="Times New Roman" w:hAnsi="Times New Roman" w:cs="Times New Roman"/>
                <w:color w:val="000000"/>
              </w:rPr>
              <w:t>Банк</w:t>
            </w:r>
            <w:r w:rsidRPr="00802D35">
              <w:rPr>
                <w:rFonts w:ascii="Times New Roman" w:hAnsi="Times New Roman" w:cs="Times New Roman"/>
                <w:color w:val="000000"/>
                <w:lang w:val="en-US"/>
              </w:rPr>
              <w:t xml:space="preserve"> Kassa Nova" (</w:t>
            </w:r>
            <w:r w:rsidRPr="00802D35">
              <w:rPr>
                <w:rFonts w:ascii="Times New Roman" w:hAnsi="Times New Roman" w:cs="Times New Roman"/>
                <w:color w:val="000000"/>
              </w:rPr>
              <w:t>ДБ</w:t>
            </w:r>
            <w:r w:rsidRPr="00802D35">
              <w:rPr>
                <w:rFonts w:ascii="Times New Roman" w:hAnsi="Times New Roman" w:cs="Times New Roman"/>
                <w:color w:val="000000"/>
                <w:lang w:val="en-US"/>
              </w:rPr>
              <w:t xml:space="preserve"> </w:t>
            </w:r>
            <w:r w:rsidRPr="00802D35">
              <w:rPr>
                <w:rFonts w:ascii="Times New Roman" w:hAnsi="Times New Roman" w:cs="Times New Roman"/>
                <w:color w:val="000000"/>
              </w:rPr>
              <w:t>АО</w:t>
            </w:r>
            <w:r w:rsidRPr="00802D35">
              <w:rPr>
                <w:rFonts w:ascii="Times New Roman" w:hAnsi="Times New Roman" w:cs="Times New Roman"/>
                <w:color w:val="000000"/>
                <w:lang w:val="en-US"/>
              </w:rPr>
              <w:t xml:space="preserve"> "ForteBank")</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0,169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0,172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0,197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0,018 </w:t>
            </w:r>
          </w:p>
        </w:tc>
      </w:tr>
      <w:tr w:rsidR="00276CDB" w:rsidRPr="00802D35" w:rsidTr="0072554F">
        <w:trPr>
          <w:trHeight w:val="264"/>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21</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rPr>
            </w:pPr>
            <w:r w:rsidRPr="00802D35">
              <w:rPr>
                <w:rFonts w:ascii="Times New Roman" w:hAnsi="Times New Roman" w:cs="Times New Roman"/>
              </w:rPr>
              <w:t>АО "ДБ "КЗИ 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0,350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0,350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0,350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0,281 </w:t>
            </w:r>
          </w:p>
        </w:tc>
      </w:tr>
      <w:tr w:rsidR="00276CDB" w:rsidRPr="00802D35" w:rsidTr="0072554F">
        <w:trPr>
          <w:trHeight w:val="411"/>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22</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"Capital Bank Kazakhstan"</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0,210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0,210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0,210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0,211 </w:t>
            </w:r>
          </w:p>
        </w:tc>
      </w:tr>
      <w:tr w:rsidR="00276CDB" w:rsidRPr="00802D35" w:rsidTr="0072554F">
        <w:trPr>
          <w:trHeight w:val="3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23</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"AsiaCredit Bank "</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0,237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0,237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0,237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0,008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24</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"Шинхан Банк Казахстан"</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0,763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0,763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0,763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0,076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25</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"Исламский Банк "Al Hilal"</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0,788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0,788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0,788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0,073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26</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"Исламский банк "Заман-Банк"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0,494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0,494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0,494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0,206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27</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ДБ "НБ Пакистана" в Казахстане</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0,864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0,864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0,864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0,007 </w:t>
            </w:r>
          </w:p>
        </w:tc>
      </w:tr>
    </w:tbl>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Pr>
        <w:spacing w:after="0" w:line="240" w:lineRule="auto"/>
        <w:rPr>
          <w:rFonts w:ascii="Times New Roman" w:hAnsi="Times New Roman" w:cs="Times New Roman"/>
          <w:sz w:val="28"/>
          <w:szCs w:val="28"/>
        </w:rPr>
      </w:pPr>
      <w:r w:rsidRPr="00802D35">
        <w:rPr>
          <w:rFonts w:ascii="Times New Roman" w:hAnsi="Times New Roman" w:cs="Times New Roman"/>
          <w:sz w:val="28"/>
          <w:szCs w:val="28"/>
        </w:rPr>
        <w:lastRenderedPageBreak/>
        <w:t>Таблица А.2 – Показатели фондирования БВУ за 2020 г.</w:t>
      </w:r>
    </w:p>
    <w:p w:rsidR="00276CDB" w:rsidRPr="00802D35" w:rsidRDefault="00276CDB" w:rsidP="00276CDB">
      <w:pPr>
        <w:spacing w:after="0" w:line="240" w:lineRule="auto"/>
        <w:rPr>
          <w:rFonts w:ascii="Times New Roman" w:hAnsi="Times New Roman" w:cs="Times New Roman"/>
          <w:sz w:val="28"/>
          <w:szCs w:val="28"/>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2479"/>
        <w:gridCol w:w="1417"/>
        <w:gridCol w:w="1418"/>
        <w:gridCol w:w="1813"/>
        <w:gridCol w:w="1878"/>
      </w:tblGrid>
      <w:tr w:rsidR="00276CDB" w:rsidRPr="00802D35" w:rsidTr="0072554F">
        <w:trPr>
          <w:trHeight w:val="264"/>
        </w:trPr>
        <w:tc>
          <w:tcPr>
            <w:tcW w:w="65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 п/п</w:t>
            </w:r>
          </w:p>
        </w:tc>
        <w:tc>
          <w:tcPr>
            <w:tcW w:w="2479"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Наименование банка</w:t>
            </w:r>
          </w:p>
        </w:tc>
        <w:tc>
          <w:tcPr>
            <w:tcW w:w="1417"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k1</w:t>
            </w:r>
          </w:p>
        </w:tc>
        <w:tc>
          <w:tcPr>
            <w:tcW w:w="1418"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k1-2</w:t>
            </w:r>
          </w:p>
        </w:tc>
        <w:tc>
          <w:tcPr>
            <w:tcW w:w="1813"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k2</w:t>
            </w:r>
          </w:p>
        </w:tc>
        <w:tc>
          <w:tcPr>
            <w:tcW w:w="1878"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
                <w:bCs/>
              </w:rPr>
            </w:pPr>
            <w:r w:rsidRPr="00802D35">
              <w:rPr>
                <w:rFonts w:ascii="Times New Roman" w:hAnsi="Times New Roman" w:cs="Times New Roman"/>
                <w:b/>
                <w:bCs/>
              </w:rPr>
              <w:t>k7</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"Народный Банк Казахстана"</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0,237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0,237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0,251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0,045 </w:t>
            </w:r>
          </w:p>
        </w:tc>
      </w:tr>
      <w:tr w:rsidR="00276CDB" w:rsidRPr="00802D35" w:rsidTr="0072554F">
        <w:trPr>
          <w:trHeight w:val="130"/>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ДБ АО "Сбербанк"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0,172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0,172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0,172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0,004 </w:t>
            </w:r>
          </w:p>
        </w:tc>
      </w:tr>
      <w:tr w:rsidR="00276CDB" w:rsidRPr="00802D35" w:rsidTr="0072554F">
        <w:trPr>
          <w:trHeight w:val="149"/>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3</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"KASPI BANK"</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0,113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0,113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0,143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0,079 </w:t>
            </w:r>
          </w:p>
        </w:tc>
      </w:tr>
      <w:tr w:rsidR="00276CDB" w:rsidRPr="00802D35" w:rsidTr="0072554F">
        <w:trPr>
          <w:trHeight w:val="294"/>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4</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"ForteBank"</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0,210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0,210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0,223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0,066 </w:t>
            </w:r>
          </w:p>
        </w:tc>
      </w:tr>
      <w:tr w:rsidR="00276CDB" w:rsidRPr="00802D35" w:rsidTr="0072554F">
        <w:trPr>
          <w:trHeight w:val="257"/>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5</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"Банк ЦентрКредит"</w:t>
            </w:r>
          </w:p>
        </w:tc>
        <w:tc>
          <w:tcPr>
            <w:tcW w:w="1417"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0,115 </w:t>
            </w:r>
          </w:p>
        </w:tc>
        <w:tc>
          <w:tcPr>
            <w:tcW w:w="141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0,115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0,191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0,053 </w:t>
            </w:r>
          </w:p>
        </w:tc>
      </w:tr>
      <w:tr w:rsidR="00276CDB" w:rsidRPr="00802D35" w:rsidTr="0072554F">
        <w:trPr>
          <w:trHeight w:val="246"/>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6</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"Отбасы банк"</w:t>
            </w:r>
          </w:p>
        </w:tc>
        <w:tc>
          <w:tcPr>
            <w:tcW w:w="1417"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0,367 </w:t>
            </w:r>
          </w:p>
        </w:tc>
        <w:tc>
          <w:tcPr>
            <w:tcW w:w="141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0,367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0,367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7</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"Jysan Bank"</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0,360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0,360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0,597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0,036 </w:t>
            </w:r>
          </w:p>
        </w:tc>
      </w:tr>
      <w:tr w:rsidR="00276CDB" w:rsidRPr="00802D35" w:rsidTr="0072554F">
        <w:trPr>
          <w:trHeight w:val="442"/>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8</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"Евразийский 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0,121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0,121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0,302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0,114 </w:t>
            </w:r>
          </w:p>
        </w:tc>
      </w:tr>
      <w:tr w:rsidR="00276CDB" w:rsidRPr="00802D35" w:rsidTr="0072554F">
        <w:trPr>
          <w:trHeight w:val="253"/>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9</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"АТФБанк"</w:t>
            </w:r>
          </w:p>
        </w:tc>
        <w:tc>
          <w:tcPr>
            <w:tcW w:w="1417"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0,142 </w:t>
            </w:r>
          </w:p>
        </w:tc>
        <w:tc>
          <w:tcPr>
            <w:tcW w:w="141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0,142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0,402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0,031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10</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"Банк "Bank RBK"</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0,137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0,144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0,487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0,037 </w:t>
            </w:r>
          </w:p>
        </w:tc>
      </w:tr>
      <w:tr w:rsidR="00276CDB" w:rsidRPr="00802D35" w:rsidTr="0072554F">
        <w:trPr>
          <w:trHeight w:val="220"/>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11</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"Ситибанк Казахстан"</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0,991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0,991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0,991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0,183 </w:t>
            </w:r>
          </w:p>
        </w:tc>
      </w:tr>
      <w:tr w:rsidR="00276CDB" w:rsidRPr="00802D35" w:rsidTr="0072554F">
        <w:trPr>
          <w:trHeight w:val="239"/>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12</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"ДБ "АЛЬФА-БАНК"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0,219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0,219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0,219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0,148 </w:t>
            </w:r>
          </w:p>
        </w:tc>
      </w:tr>
      <w:tr w:rsidR="00276CDB" w:rsidRPr="00802D35" w:rsidTr="0072554F">
        <w:trPr>
          <w:trHeight w:val="242"/>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13</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lang w:val="en-US"/>
              </w:rPr>
            </w:pPr>
            <w:r w:rsidRPr="00802D35">
              <w:rPr>
                <w:rFonts w:ascii="Times New Roman" w:hAnsi="Times New Roman" w:cs="Times New Roman"/>
                <w:color w:val="000000"/>
              </w:rPr>
              <w:t>АО</w:t>
            </w:r>
            <w:r w:rsidRPr="00802D35">
              <w:rPr>
                <w:rFonts w:ascii="Times New Roman" w:hAnsi="Times New Roman" w:cs="Times New Roman"/>
                <w:color w:val="000000"/>
                <w:lang w:val="en-US"/>
              </w:rPr>
              <w:t xml:space="preserve"> "Altyn Bank" (</w:t>
            </w:r>
            <w:r w:rsidRPr="00802D35">
              <w:rPr>
                <w:rFonts w:ascii="Times New Roman" w:hAnsi="Times New Roman" w:cs="Times New Roman"/>
                <w:color w:val="000000"/>
              </w:rPr>
              <w:t>ДБ</w:t>
            </w:r>
            <w:r w:rsidRPr="00802D35">
              <w:rPr>
                <w:rFonts w:ascii="Times New Roman" w:hAnsi="Times New Roman" w:cs="Times New Roman"/>
                <w:color w:val="000000"/>
                <w:lang w:val="en-US"/>
              </w:rPr>
              <w:t xml:space="preserve"> China Citic Bank Corporation Ltd)</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0,199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0,199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0,199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0,399 </w:t>
            </w:r>
          </w:p>
        </w:tc>
      </w:tr>
      <w:tr w:rsidR="00276CDB" w:rsidRPr="00802D35" w:rsidTr="0072554F">
        <w:trPr>
          <w:trHeight w:val="389"/>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14</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"Нурбанк"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0,139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0,139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0,231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0,070 </w:t>
            </w:r>
          </w:p>
        </w:tc>
      </w:tr>
      <w:tr w:rsidR="00276CDB" w:rsidRPr="00802D35" w:rsidTr="0072554F">
        <w:trPr>
          <w:trHeight w:val="282"/>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15</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ДБ АО "Банк Хоум Кредит"</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0,167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0,167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0,167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0,053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16</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ДБ "БАНК КИТАЯ В КАЗАХСТАНЕ"</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1,097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1,097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1,097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0,061 </w:t>
            </w:r>
          </w:p>
        </w:tc>
      </w:tr>
      <w:tr w:rsidR="00276CDB" w:rsidRPr="00802D35" w:rsidTr="0072554F">
        <w:trPr>
          <w:trHeight w:val="29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17</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ДО АО Банк ВТБ (Казахстан)</w:t>
            </w:r>
          </w:p>
        </w:tc>
        <w:tc>
          <w:tcPr>
            <w:tcW w:w="1417"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0,117 </w:t>
            </w:r>
          </w:p>
        </w:tc>
        <w:tc>
          <w:tcPr>
            <w:tcW w:w="141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0,117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0,151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0,048 </w:t>
            </w:r>
          </w:p>
        </w:tc>
      </w:tr>
      <w:tr w:rsidR="00276CDB" w:rsidRPr="00802D35" w:rsidTr="0072554F">
        <w:trPr>
          <w:trHeight w:val="34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18</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"ТПБ Китая в г.Алматы"</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2,141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2,141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2,141 </w:t>
            </w:r>
          </w:p>
        </w:tc>
        <w:tc>
          <w:tcPr>
            <w:tcW w:w="187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0,108 </w:t>
            </w:r>
          </w:p>
        </w:tc>
      </w:tr>
      <w:tr w:rsidR="00276CDB" w:rsidRPr="00802D35" w:rsidTr="0072554F">
        <w:trPr>
          <w:trHeight w:val="22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19</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"ДБ "КЗИ БАНК"</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0,333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0,333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0,333 </w:t>
            </w:r>
          </w:p>
        </w:tc>
        <w:tc>
          <w:tcPr>
            <w:tcW w:w="1878" w:type="dxa"/>
            <w:shd w:val="clear" w:color="000000" w:fill="FFFF0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0,102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20</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lang w:val="en-US"/>
              </w:rPr>
            </w:pPr>
            <w:r w:rsidRPr="00802D35">
              <w:rPr>
                <w:rFonts w:ascii="Times New Roman" w:hAnsi="Times New Roman" w:cs="Times New Roman"/>
              </w:rPr>
              <w:t>АО</w:t>
            </w:r>
            <w:r w:rsidRPr="00802D35">
              <w:rPr>
                <w:rFonts w:ascii="Times New Roman" w:hAnsi="Times New Roman" w:cs="Times New Roman"/>
                <w:lang w:val="en-US"/>
              </w:rPr>
              <w:t xml:space="preserve"> "</w:t>
            </w:r>
            <w:r w:rsidRPr="00802D35">
              <w:rPr>
                <w:rFonts w:ascii="Times New Roman" w:hAnsi="Times New Roman" w:cs="Times New Roman"/>
              </w:rPr>
              <w:t>Банк</w:t>
            </w:r>
            <w:r w:rsidRPr="00802D35">
              <w:rPr>
                <w:rFonts w:ascii="Times New Roman" w:hAnsi="Times New Roman" w:cs="Times New Roman"/>
                <w:lang w:val="en-US"/>
              </w:rPr>
              <w:t xml:space="preserve"> Kassa Nova" (</w:t>
            </w:r>
            <w:r w:rsidRPr="00802D35">
              <w:rPr>
                <w:rFonts w:ascii="Times New Roman" w:hAnsi="Times New Roman" w:cs="Times New Roman"/>
              </w:rPr>
              <w:t>ДБ</w:t>
            </w:r>
            <w:r w:rsidRPr="00802D35">
              <w:rPr>
                <w:rFonts w:ascii="Times New Roman" w:hAnsi="Times New Roman" w:cs="Times New Roman"/>
                <w:lang w:val="en-US"/>
              </w:rPr>
              <w:t xml:space="preserve"> </w:t>
            </w:r>
            <w:r w:rsidRPr="00802D35">
              <w:rPr>
                <w:rFonts w:ascii="Times New Roman" w:hAnsi="Times New Roman" w:cs="Times New Roman"/>
              </w:rPr>
              <w:t>АО</w:t>
            </w:r>
            <w:r w:rsidRPr="00802D35">
              <w:rPr>
                <w:rFonts w:ascii="Times New Roman" w:hAnsi="Times New Roman" w:cs="Times New Roman"/>
                <w:lang w:val="en-US"/>
              </w:rPr>
              <w:t xml:space="preserve"> "ForteBank")</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0,997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0,997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0,997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0,018 </w:t>
            </w:r>
          </w:p>
        </w:tc>
      </w:tr>
      <w:tr w:rsidR="00276CDB" w:rsidRPr="00802D35" w:rsidTr="0072554F">
        <w:trPr>
          <w:trHeight w:val="264"/>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21</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"Шинхан Банк Казахстан"</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0,886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0,886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0,886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0,075 </w:t>
            </w:r>
          </w:p>
        </w:tc>
      </w:tr>
      <w:tr w:rsidR="00276CDB" w:rsidRPr="00802D35" w:rsidTr="0072554F">
        <w:trPr>
          <w:trHeight w:val="411"/>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22</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"Исламский Банк "Al Hilal"</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0,475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0,475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0,475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0,116 </w:t>
            </w:r>
          </w:p>
        </w:tc>
      </w:tr>
      <w:tr w:rsidR="00276CDB" w:rsidRPr="00802D35" w:rsidTr="0072554F">
        <w:trPr>
          <w:trHeight w:val="3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23</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lang w:val="en-US"/>
              </w:rPr>
            </w:pPr>
            <w:r w:rsidRPr="00802D35">
              <w:rPr>
                <w:rFonts w:ascii="Times New Roman" w:hAnsi="Times New Roman" w:cs="Times New Roman"/>
                <w:color w:val="000000"/>
              </w:rPr>
              <w:t>АО</w:t>
            </w:r>
            <w:r w:rsidRPr="00802D35">
              <w:rPr>
                <w:rFonts w:ascii="Times New Roman" w:hAnsi="Times New Roman" w:cs="Times New Roman"/>
                <w:color w:val="000000"/>
                <w:lang w:val="en-US"/>
              </w:rPr>
              <w:t xml:space="preserve"> "AsiaCredit Bank (</w:t>
            </w:r>
            <w:r w:rsidRPr="00802D35">
              <w:rPr>
                <w:rFonts w:ascii="Times New Roman" w:hAnsi="Times New Roman" w:cs="Times New Roman"/>
                <w:color w:val="000000"/>
              </w:rPr>
              <w:t>АзияКредит</w:t>
            </w:r>
            <w:r w:rsidRPr="00802D35">
              <w:rPr>
                <w:rFonts w:ascii="Times New Roman" w:hAnsi="Times New Roman" w:cs="Times New Roman"/>
                <w:color w:val="000000"/>
                <w:lang w:val="en-US"/>
              </w:rPr>
              <w:t xml:space="preserve"> </w:t>
            </w:r>
            <w:r w:rsidRPr="00802D35">
              <w:rPr>
                <w:rFonts w:ascii="Times New Roman" w:hAnsi="Times New Roman" w:cs="Times New Roman"/>
                <w:color w:val="000000"/>
              </w:rPr>
              <w:t>Банк</w:t>
            </w:r>
            <w:r w:rsidRPr="00802D35">
              <w:rPr>
                <w:rFonts w:ascii="Times New Roman" w:hAnsi="Times New Roman" w:cs="Times New Roman"/>
                <w:color w:val="000000"/>
                <w:lang w:val="en-US"/>
              </w:rPr>
              <w:t>)"</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0,271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0,271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0,271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0,006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24</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"Capital Bank Kazakhstan"</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0,309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0,309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0,309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0,107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25</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"ИБ "Заман-Банк"</w:t>
            </w:r>
          </w:p>
        </w:tc>
        <w:tc>
          <w:tcPr>
            <w:tcW w:w="1417"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0,493 </w:t>
            </w:r>
          </w:p>
        </w:tc>
        <w:tc>
          <w:tcPr>
            <w:tcW w:w="1418"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0,493 </w:t>
            </w:r>
          </w:p>
        </w:tc>
        <w:tc>
          <w:tcPr>
            <w:tcW w:w="1813" w:type="dxa"/>
            <w:shd w:val="clear" w:color="000000" w:fill="92D050"/>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0,493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0,202 </w:t>
            </w:r>
          </w:p>
        </w:tc>
      </w:tr>
      <w:tr w:rsidR="00276CDB" w:rsidRPr="00802D35" w:rsidTr="0072554F">
        <w:trPr>
          <w:trHeight w:val="405"/>
        </w:trPr>
        <w:tc>
          <w:tcPr>
            <w:tcW w:w="655" w:type="dxa"/>
            <w:shd w:val="clear" w:color="000000" w:fill="FFFFFF"/>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26</w:t>
            </w:r>
          </w:p>
        </w:tc>
        <w:tc>
          <w:tcPr>
            <w:tcW w:w="2479" w:type="dxa"/>
            <w:shd w:val="clear" w:color="FFFFFF" w:fill="FFFFFF"/>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АО ДБ "НБ Пакистана" в Казахстане</w:t>
            </w:r>
          </w:p>
        </w:tc>
        <w:tc>
          <w:tcPr>
            <w:tcW w:w="1417"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1,008 </w:t>
            </w:r>
          </w:p>
        </w:tc>
        <w:tc>
          <w:tcPr>
            <w:tcW w:w="141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1,008 </w:t>
            </w:r>
          </w:p>
        </w:tc>
        <w:tc>
          <w:tcPr>
            <w:tcW w:w="1813"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xml:space="preserve">1,008 </w:t>
            </w:r>
          </w:p>
        </w:tc>
        <w:tc>
          <w:tcPr>
            <w:tcW w:w="1878" w:type="dxa"/>
            <w:shd w:val="clear" w:color="auto" w:fill="auto"/>
            <w:noWrap/>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rPr>
            </w:pPr>
            <w:r w:rsidRPr="00802D35">
              <w:rPr>
                <w:rFonts w:ascii="Times New Roman" w:hAnsi="Times New Roman" w:cs="Times New Roman"/>
              </w:rPr>
              <w:t> </w:t>
            </w:r>
          </w:p>
        </w:tc>
      </w:tr>
    </w:tbl>
    <w:p w:rsidR="00276CDB" w:rsidRPr="00802D35" w:rsidRDefault="00276CDB" w:rsidP="00276CDB">
      <w:pPr>
        <w:spacing w:after="0" w:line="240" w:lineRule="auto"/>
        <w:rPr>
          <w:rFonts w:ascii="Times New Roman" w:hAnsi="Times New Roman" w:cs="Times New Roman"/>
          <w:sz w:val="28"/>
          <w:szCs w:val="28"/>
        </w:rPr>
      </w:pPr>
    </w:p>
    <w:p w:rsidR="00276CDB" w:rsidRPr="00802D35" w:rsidRDefault="00276CDB" w:rsidP="00276CDB">
      <w:pPr>
        <w:spacing w:after="0" w:line="240" w:lineRule="auto"/>
        <w:rPr>
          <w:rFonts w:ascii="Times New Roman" w:hAnsi="Times New Roman" w:cs="Times New Roman"/>
          <w:sz w:val="28"/>
          <w:szCs w:val="28"/>
        </w:rPr>
      </w:pPr>
    </w:p>
    <w:p w:rsidR="00276CDB" w:rsidRPr="00802D35" w:rsidRDefault="00276CDB" w:rsidP="00276CDB"/>
    <w:p w:rsidR="00276CDB" w:rsidRPr="00802D35" w:rsidRDefault="00276CDB" w:rsidP="00276CDB">
      <w:pPr>
        <w:widowControl w:val="0"/>
        <w:tabs>
          <w:tab w:val="left" w:pos="1280"/>
        </w:tabs>
        <w:spacing w:after="0" w:line="240" w:lineRule="auto"/>
        <w:jc w:val="center"/>
        <w:rPr>
          <w:rFonts w:ascii="Times New Roman" w:eastAsia="Times New Roman" w:hAnsi="Times New Roman" w:cs="Times New Roman"/>
          <w:caps/>
          <w:sz w:val="28"/>
          <w:szCs w:val="28"/>
        </w:rPr>
      </w:pPr>
    </w:p>
    <w:p w:rsidR="00276CDB" w:rsidRPr="00802D35" w:rsidRDefault="00276CDB" w:rsidP="00276CDB">
      <w:pPr>
        <w:widowControl w:val="0"/>
        <w:tabs>
          <w:tab w:val="left" w:pos="1280"/>
        </w:tabs>
        <w:spacing w:after="0" w:line="240" w:lineRule="auto"/>
        <w:jc w:val="center"/>
        <w:rPr>
          <w:rFonts w:ascii="Times New Roman" w:eastAsia="Times New Roman" w:hAnsi="Times New Roman" w:cs="Times New Roman"/>
          <w:caps/>
          <w:sz w:val="28"/>
          <w:szCs w:val="28"/>
        </w:rPr>
      </w:pPr>
    </w:p>
    <w:p w:rsidR="00276CDB" w:rsidRPr="00802D35" w:rsidRDefault="00276CDB" w:rsidP="00276CDB">
      <w:pPr>
        <w:spacing w:after="0" w:line="240" w:lineRule="auto"/>
        <w:jc w:val="center"/>
        <w:rPr>
          <w:rFonts w:ascii="Times New Roman" w:hAnsi="Times New Roman" w:cs="Times New Roman"/>
          <w:caps/>
          <w:sz w:val="28"/>
          <w:szCs w:val="28"/>
        </w:rPr>
      </w:pPr>
      <w:r w:rsidRPr="00802D35">
        <w:rPr>
          <w:rFonts w:ascii="Times New Roman" w:hAnsi="Times New Roman" w:cs="Times New Roman"/>
          <w:caps/>
          <w:sz w:val="28"/>
          <w:szCs w:val="28"/>
        </w:rPr>
        <w:lastRenderedPageBreak/>
        <w:t>Приложение В</w:t>
      </w:r>
    </w:p>
    <w:p w:rsidR="00276CDB" w:rsidRPr="00802D35" w:rsidRDefault="00276CDB" w:rsidP="00276CDB">
      <w:pPr>
        <w:spacing w:after="0" w:line="240" w:lineRule="auto"/>
        <w:rPr>
          <w:rFonts w:ascii="Times New Roman" w:hAnsi="Times New Roman" w:cs="Times New Roman"/>
          <w:sz w:val="28"/>
          <w:szCs w:val="28"/>
        </w:rPr>
      </w:pPr>
    </w:p>
    <w:p w:rsidR="00276CDB" w:rsidRPr="00802D35" w:rsidRDefault="00276CDB" w:rsidP="00276CDB">
      <w:pPr>
        <w:spacing w:after="0" w:line="240" w:lineRule="auto"/>
        <w:rPr>
          <w:rFonts w:ascii="Times New Roman" w:hAnsi="Times New Roman" w:cs="Times New Roman"/>
          <w:sz w:val="28"/>
          <w:szCs w:val="28"/>
        </w:rPr>
      </w:pPr>
      <w:r w:rsidRPr="00802D35">
        <w:rPr>
          <w:rFonts w:ascii="Times New Roman" w:hAnsi="Times New Roman" w:cs="Times New Roman"/>
          <w:sz w:val="28"/>
          <w:szCs w:val="28"/>
        </w:rPr>
        <w:t xml:space="preserve">Таблица Б.1 - Структура фондирования </w:t>
      </w:r>
      <w:r w:rsidRPr="00802D35">
        <w:rPr>
          <w:rStyle w:val="HTML"/>
          <w:rFonts w:ascii="Times New Roman" w:hAnsi="Times New Roman" w:cs="Times New Roman"/>
          <w:sz w:val="28"/>
          <w:szCs w:val="28"/>
          <w:shd w:val="clear" w:color="auto" w:fill="FFFFFF"/>
        </w:rPr>
        <w:t>АО Halyk Bank</w:t>
      </w:r>
    </w:p>
    <w:p w:rsidR="00276CDB" w:rsidRPr="00802D35" w:rsidRDefault="00276CDB" w:rsidP="00276CDB">
      <w:pPr>
        <w:spacing w:after="0" w:line="240" w:lineRule="auto"/>
        <w:rPr>
          <w:rFonts w:ascii="Times New Roman" w:hAnsi="Times New Roman" w:cs="Times New Roman"/>
          <w:sz w:val="28"/>
          <w:szCs w:val="28"/>
        </w:rPr>
      </w:pPr>
    </w:p>
    <w:tbl>
      <w:tblPr>
        <w:tblStyle w:val="af1"/>
        <w:tblW w:w="9747" w:type="dxa"/>
        <w:tblLayout w:type="fixed"/>
        <w:tblLook w:val="04A0" w:firstRow="1" w:lastRow="0" w:firstColumn="1" w:lastColumn="0" w:noHBand="0" w:noVBand="1"/>
      </w:tblPr>
      <w:tblGrid>
        <w:gridCol w:w="3652"/>
        <w:gridCol w:w="1219"/>
        <w:gridCol w:w="1219"/>
        <w:gridCol w:w="1219"/>
        <w:gridCol w:w="1219"/>
        <w:gridCol w:w="1219"/>
      </w:tblGrid>
      <w:tr w:rsidR="00276CDB" w:rsidRPr="00802D35" w:rsidTr="0072554F">
        <w:tc>
          <w:tcPr>
            <w:tcW w:w="3652"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Показатели</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2016 г.</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2017 г.</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2018 г.</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2019 г.</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2020 г.</w:t>
            </w:r>
          </w:p>
        </w:tc>
      </w:tr>
      <w:tr w:rsidR="00276CDB" w:rsidRPr="00802D35" w:rsidTr="0072554F">
        <w:tc>
          <w:tcPr>
            <w:tcW w:w="3652"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Средства клиентов:</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3820,66</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6131,75</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6526,93</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6406,41</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7455,98</w:t>
            </w:r>
          </w:p>
        </w:tc>
      </w:tr>
      <w:tr w:rsidR="00276CDB" w:rsidRPr="00802D35" w:rsidTr="0072554F">
        <w:tc>
          <w:tcPr>
            <w:tcW w:w="3652"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Срочные вклады:</w:t>
            </w:r>
          </w:p>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Физических лиц</w:t>
            </w:r>
          </w:p>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Юридических лиц</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2738,125</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1470,536</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1267,589</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4397,857</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2691,886</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1705,971</w:t>
            </w:r>
          </w:p>
        </w:tc>
        <w:tc>
          <w:tcPr>
            <w:tcW w:w="1219" w:type="dxa"/>
          </w:tcPr>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bCs w:val="0"/>
                <w:color w:val="auto"/>
                <w:sz w:val="22"/>
                <w:szCs w:val="22"/>
              </w:rPr>
              <w:t>4292,662</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2918,070</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1374,592</w:t>
            </w:r>
          </w:p>
        </w:tc>
        <w:tc>
          <w:tcPr>
            <w:tcW w:w="1219" w:type="dxa"/>
          </w:tcPr>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bCs w:val="0"/>
                <w:color w:val="auto"/>
                <w:sz w:val="22"/>
                <w:szCs w:val="22"/>
              </w:rPr>
              <w:t>4184,949</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2743,019</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1441,930</w:t>
            </w:r>
          </w:p>
        </w:tc>
        <w:tc>
          <w:tcPr>
            <w:tcW w:w="1219" w:type="dxa"/>
          </w:tcPr>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bCs w:val="0"/>
                <w:color w:val="auto"/>
                <w:sz w:val="22"/>
                <w:szCs w:val="22"/>
              </w:rPr>
              <w:t>4898,700</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3073,187</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1825,513</w:t>
            </w:r>
          </w:p>
        </w:tc>
      </w:tr>
      <w:tr w:rsidR="00276CDB" w:rsidRPr="00802D35" w:rsidTr="0072554F">
        <w:tc>
          <w:tcPr>
            <w:tcW w:w="3652"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Текущие счета:</w:t>
            </w:r>
          </w:p>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Физических лиц</w:t>
            </w:r>
          </w:p>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Юридических лиц</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1082,537</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244,912</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837,625</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1733,893</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412,363</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1321,530</w:t>
            </w:r>
          </w:p>
        </w:tc>
        <w:tc>
          <w:tcPr>
            <w:tcW w:w="1219" w:type="dxa"/>
          </w:tcPr>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bCs w:val="0"/>
                <w:color w:val="auto"/>
                <w:sz w:val="22"/>
                <w:szCs w:val="22"/>
              </w:rPr>
              <w:t>2557,277</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477,520</w:t>
            </w:r>
          </w:p>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color w:val="auto"/>
                <w:sz w:val="22"/>
                <w:szCs w:val="22"/>
              </w:rPr>
              <w:t>1756,748</w:t>
            </w:r>
          </w:p>
        </w:tc>
        <w:tc>
          <w:tcPr>
            <w:tcW w:w="1219" w:type="dxa"/>
          </w:tcPr>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bCs w:val="0"/>
                <w:color w:val="auto"/>
                <w:sz w:val="22"/>
                <w:szCs w:val="22"/>
              </w:rPr>
              <w:t>2221,464</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508,197</w:t>
            </w:r>
          </w:p>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color w:val="auto"/>
                <w:sz w:val="22"/>
                <w:szCs w:val="22"/>
              </w:rPr>
              <w:t>1713,267</w:t>
            </w:r>
          </w:p>
        </w:tc>
        <w:tc>
          <w:tcPr>
            <w:tcW w:w="1219" w:type="dxa"/>
          </w:tcPr>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bCs w:val="0"/>
                <w:color w:val="auto"/>
                <w:sz w:val="22"/>
                <w:szCs w:val="22"/>
              </w:rPr>
              <w:t>2234,268</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625,181</w:t>
            </w:r>
          </w:p>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color w:val="auto"/>
                <w:sz w:val="22"/>
                <w:szCs w:val="22"/>
              </w:rPr>
              <w:t>1932,096</w:t>
            </w:r>
          </w:p>
        </w:tc>
      </w:tr>
      <w:tr w:rsidR="00276CDB" w:rsidRPr="00802D35" w:rsidTr="0072554F">
        <w:tc>
          <w:tcPr>
            <w:tcW w:w="3652"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Средства кредитных учреждений:</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162,134</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255,151</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168,38</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305,97</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300,73</w:t>
            </w:r>
          </w:p>
        </w:tc>
      </w:tr>
      <w:tr w:rsidR="00276CDB" w:rsidRPr="00802D35" w:rsidTr="0072554F">
        <w:tc>
          <w:tcPr>
            <w:tcW w:w="3652" w:type="dxa"/>
          </w:tcPr>
          <w:p w:rsidR="00276CDB" w:rsidRPr="00802D35" w:rsidRDefault="00276CDB" w:rsidP="0072554F">
            <w:pPr>
              <w:autoSpaceDE w:val="0"/>
              <w:autoSpaceDN w:val="0"/>
              <w:adjustRightInd w:val="0"/>
              <w:rPr>
                <w:rFonts w:ascii="Times New Roman" w:hAnsi="Times New Roman" w:cs="Times New Roman"/>
                <w:b/>
              </w:rPr>
            </w:pPr>
            <w:r w:rsidRPr="00802D35">
              <w:rPr>
                <w:rFonts w:ascii="Times New Roman" w:hAnsi="Times New Roman" w:cs="Times New Roman"/>
              </w:rPr>
              <w:t>Займы и вклады казахстанских банков (вкл. займы по РЕПО)</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21,924</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105,166</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10,964</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127,237</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124,927</w:t>
            </w:r>
          </w:p>
        </w:tc>
      </w:tr>
      <w:tr w:rsidR="00276CDB" w:rsidRPr="00802D35" w:rsidTr="0072554F">
        <w:tc>
          <w:tcPr>
            <w:tcW w:w="3652" w:type="dxa"/>
          </w:tcPr>
          <w:p w:rsidR="00276CDB" w:rsidRPr="00802D35" w:rsidRDefault="00276CDB" w:rsidP="0072554F">
            <w:pPr>
              <w:autoSpaceDE w:val="0"/>
              <w:autoSpaceDN w:val="0"/>
              <w:adjustRightInd w:val="0"/>
              <w:rPr>
                <w:rFonts w:ascii="Times New Roman" w:hAnsi="Times New Roman" w:cs="Times New Roman"/>
              </w:rPr>
            </w:pPr>
            <w:r w:rsidRPr="00802D35">
              <w:rPr>
                <w:rFonts w:ascii="Times New Roman" w:hAnsi="Times New Roman" w:cs="Times New Roman"/>
              </w:rPr>
              <w:t>Займы от АО «Фонд развития предпринимательства «ДАМУ»</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36,552</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79,971</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86,390</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91,001</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89,005</w:t>
            </w:r>
          </w:p>
        </w:tc>
      </w:tr>
      <w:tr w:rsidR="00276CDB" w:rsidRPr="00802D35" w:rsidTr="0072554F">
        <w:tc>
          <w:tcPr>
            <w:tcW w:w="3652" w:type="dxa"/>
          </w:tcPr>
          <w:p w:rsidR="00276CDB" w:rsidRPr="00802D35" w:rsidRDefault="00276CDB" w:rsidP="0072554F">
            <w:pPr>
              <w:autoSpaceDE w:val="0"/>
              <w:autoSpaceDN w:val="0"/>
              <w:adjustRightInd w:val="0"/>
              <w:rPr>
                <w:rFonts w:ascii="Times New Roman" w:hAnsi="Times New Roman" w:cs="Times New Roman"/>
              </w:rPr>
            </w:pPr>
            <w:r w:rsidRPr="00802D35">
              <w:rPr>
                <w:rFonts w:ascii="Times New Roman" w:hAnsi="Times New Roman" w:cs="Times New Roman"/>
              </w:rPr>
              <w:t>Займы от АО «Банк Развития Казахстана»</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21,372</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37,434</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38,491</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45,245</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47,251</w:t>
            </w:r>
          </w:p>
        </w:tc>
      </w:tr>
      <w:tr w:rsidR="00276CDB" w:rsidRPr="00802D35" w:rsidTr="0072554F">
        <w:tc>
          <w:tcPr>
            <w:tcW w:w="3652" w:type="dxa"/>
          </w:tcPr>
          <w:p w:rsidR="00276CDB" w:rsidRPr="00802D35" w:rsidRDefault="00276CDB" w:rsidP="0072554F">
            <w:pPr>
              <w:autoSpaceDE w:val="0"/>
              <w:autoSpaceDN w:val="0"/>
              <w:adjustRightInd w:val="0"/>
              <w:rPr>
                <w:rFonts w:ascii="Times New Roman" w:hAnsi="Times New Roman" w:cs="Times New Roman"/>
              </w:rPr>
            </w:pPr>
            <w:r w:rsidRPr="00802D35">
              <w:rPr>
                <w:rFonts w:ascii="Times New Roman" w:hAnsi="Times New Roman" w:cs="Times New Roman"/>
              </w:rPr>
              <w:t>Займы от АО «Национальный управляющий холдинг «КазАгро»</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38,534</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3,869</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3,107</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0,197</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0,131</w:t>
            </w:r>
          </w:p>
        </w:tc>
      </w:tr>
      <w:tr w:rsidR="00276CDB" w:rsidRPr="00802D35" w:rsidTr="0072554F">
        <w:tc>
          <w:tcPr>
            <w:tcW w:w="3652"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Выпущенные долговые ценные бумаги</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584,93</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962,4</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900,79</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834,45</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778,19</w:t>
            </w:r>
          </w:p>
        </w:tc>
      </w:tr>
      <w:tr w:rsidR="00276CDB" w:rsidRPr="00802D35" w:rsidTr="0072554F">
        <w:tc>
          <w:tcPr>
            <w:tcW w:w="3652" w:type="dxa"/>
          </w:tcPr>
          <w:p w:rsidR="00276CDB" w:rsidRPr="00802D35" w:rsidRDefault="00276CDB" w:rsidP="0072554F">
            <w:pPr>
              <w:pStyle w:val="TableParagraph"/>
              <w:rPr>
                <w:rFonts w:ascii="Times New Roman" w:hAnsi="Times New Roman" w:cs="Times New Roman"/>
              </w:rPr>
            </w:pPr>
            <w:r w:rsidRPr="00802D35">
              <w:rPr>
                <w:rFonts w:ascii="Times New Roman" w:hAnsi="Times New Roman" w:cs="Times New Roman"/>
              </w:rPr>
              <w:t>Выпущенные субординированные</w:t>
            </w:r>
            <w:r w:rsidRPr="00802D35">
              <w:rPr>
                <w:rFonts w:ascii="Times New Roman" w:hAnsi="Times New Roman" w:cs="Times New Roman"/>
                <w:spacing w:val="-52"/>
              </w:rPr>
              <w:t xml:space="preserve">   </w:t>
            </w:r>
            <w:r w:rsidRPr="00802D35">
              <w:rPr>
                <w:rFonts w:ascii="Times New Roman" w:hAnsi="Times New Roman" w:cs="Times New Roman"/>
              </w:rPr>
              <w:t>долговые ценные</w:t>
            </w:r>
            <w:r w:rsidRPr="00802D35">
              <w:rPr>
                <w:rFonts w:ascii="Times New Roman" w:hAnsi="Times New Roman" w:cs="Times New Roman"/>
                <w:spacing w:val="-2"/>
              </w:rPr>
              <w:t xml:space="preserve"> </w:t>
            </w:r>
            <w:r w:rsidRPr="00802D35">
              <w:rPr>
                <w:rFonts w:ascii="Times New Roman" w:hAnsi="Times New Roman" w:cs="Times New Roman"/>
              </w:rPr>
              <w:t>бумаги:</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109,082</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82,733</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81,463</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84,014</w:t>
            </w:r>
          </w:p>
        </w:tc>
      </w:tr>
      <w:tr w:rsidR="00276CDB" w:rsidRPr="00802D35" w:rsidTr="0072554F">
        <w:tc>
          <w:tcPr>
            <w:tcW w:w="3652" w:type="dxa"/>
          </w:tcPr>
          <w:p w:rsidR="00276CDB" w:rsidRPr="00802D35" w:rsidRDefault="00276CDB" w:rsidP="0072554F">
            <w:pPr>
              <w:pStyle w:val="TableParagraph"/>
              <w:rPr>
                <w:rFonts w:ascii="Times New Roman" w:hAnsi="Times New Roman" w:cs="Times New Roman"/>
              </w:rPr>
            </w:pPr>
            <w:r w:rsidRPr="00802D35">
              <w:rPr>
                <w:rFonts w:ascii="Times New Roman" w:hAnsi="Times New Roman" w:cs="Times New Roman"/>
              </w:rPr>
              <w:t>Облигации, выраженные в тенге, с</w:t>
            </w:r>
            <w:r w:rsidRPr="00802D35">
              <w:rPr>
                <w:rFonts w:ascii="Times New Roman" w:hAnsi="Times New Roman" w:cs="Times New Roman"/>
                <w:spacing w:val="-54"/>
              </w:rPr>
              <w:t xml:space="preserve"> </w:t>
            </w:r>
            <w:r w:rsidRPr="00802D35">
              <w:rPr>
                <w:rFonts w:ascii="Times New Roman" w:hAnsi="Times New Roman" w:cs="Times New Roman"/>
              </w:rPr>
              <w:t>фиксированной</w:t>
            </w:r>
            <w:r w:rsidRPr="00802D35">
              <w:rPr>
                <w:rFonts w:ascii="Times New Roman" w:hAnsi="Times New Roman" w:cs="Times New Roman"/>
                <w:spacing w:val="-2"/>
              </w:rPr>
              <w:t xml:space="preserve"> </w:t>
            </w:r>
            <w:r w:rsidRPr="00802D35">
              <w:rPr>
                <w:rFonts w:ascii="Times New Roman" w:hAnsi="Times New Roman" w:cs="Times New Roman"/>
              </w:rPr>
              <w:t>ставкой</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77,330</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79,241</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81,463</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84,014</w:t>
            </w:r>
          </w:p>
        </w:tc>
      </w:tr>
      <w:tr w:rsidR="00276CDB" w:rsidRPr="00802D35" w:rsidTr="0072554F">
        <w:tc>
          <w:tcPr>
            <w:tcW w:w="3652" w:type="dxa"/>
          </w:tcPr>
          <w:p w:rsidR="00276CDB" w:rsidRPr="00802D35" w:rsidRDefault="00276CDB" w:rsidP="0072554F">
            <w:pPr>
              <w:pStyle w:val="TableParagraph"/>
              <w:rPr>
                <w:rFonts w:ascii="Times New Roman" w:hAnsi="Times New Roman" w:cs="Times New Roman"/>
              </w:rPr>
            </w:pPr>
            <w:r w:rsidRPr="00802D35">
              <w:rPr>
                <w:rFonts w:ascii="Times New Roman" w:hAnsi="Times New Roman" w:cs="Times New Roman"/>
              </w:rPr>
              <w:t>Облигации, выраженные в долларах США, с</w:t>
            </w:r>
            <w:r w:rsidRPr="00802D35">
              <w:rPr>
                <w:rFonts w:ascii="Times New Roman" w:hAnsi="Times New Roman" w:cs="Times New Roman"/>
                <w:spacing w:val="-54"/>
              </w:rPr>
              <w:t xml:space="preserve"> </w:t>
            </w:r>
            <w:r w:rsidRPr="00802D35">
              <w:rPr>
                <w:rFonts w:ascii="Times New Roman" w:hAnsi="Times New Roman" w:cs="Times New Roman"/>
              </w:rPr>
              <w:t>плавающей</w:t>
            </w:r>
            <w:r w:rsidRPr="00802D35">
              <w:rPr>
                <w:rFonts w:ascii="Times New Roman" w:hAnsi="Times New Roman" w:cs="Times New Roman"/>
                <w:spacing w:val="-2"/>
              </w:rPr>
              <w:t xml:space="preserve"> </w:t>
            </w:r>
            <w:r w:rsidRPr="00802D35">
              <w:rPr>
                <w:rFonts w:ascii="Times New Roman" w:hAnsi="Times New Roman" w:cs="Times New Roman"/>
              </w:rPr>
              <w:t>ставкой</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18,776</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p>
        </w:tc>
      </w:tr>
      <w:tr w:rsidR="00276CDB" w:rsidRPr="00802D35" w:rsidTr="0072554F">
        <w:tc>
          <w:tcPr>
            <w:tcW w:w="3652" w:type="dxa"/>
          </w:tcPr>
          <w:p w:rsidR="00276CDB" w:rsidRPr="00802D35" w:rsidRDefault="00276CDB" w:rsidP="0072554F">
            <w:pPr>
              <w:pStyle w:val="TableParagraph"/>
              <w:rPr>
                <w:rFonts w:ascii="Times New Roman" w:hAnsi="Times New Roman" w:cs="Times New Roman"/>
              </w:rPr>
            </w:pPr>
            <w:r w:rsidRPr="00802D35">
              <w:rPr>
                <w:rFonts w:ascii="Times New Roman" w:hAnsi="Times New Roman" w:cs="Times New Roman"/>
              </w:rPr>
              <w:t>Облигации, выраженные в тенге,</w:t>
            </w:r>
            <w:r w:rsidRPr="00802D35">
              <w:rPr>
                <w:rFonts w:ascii="Times New Roman" w:hAnsi="Times New Roman" w:cs="Times New Roman"/>
                <w:spacing w:val="-55"/>
              </w:rPr>
              <w:t xml:space="preserve"> </w:t>
            </w:r>
            <w:r w:rsidRPr="00802D35">
              <w:rPr>
                <w:rFonts w:ascii="Times New Roman" w:hAnsi="Times New Roman" w:cs="Times New Roman"/>
              </w:rPr>
              <w:t>индексированные</w:t>
            </w:r>
            <w:r w:rsidRPr="00802D35">
              <w:rPr>
                <w:rFonts w:ascii="Times New Roman" w:hAnsi="Times New Roman" w:cs="Times New Roman"/>
                <w:spacing w:val="-7"/>
              </w:rPr>
              <w:t xml:space="preserve"> </w:t>
            </w:r>
            <w:r w:rsidRPr="00802D35">
              <w:rPr>
                <w:rFonts w:ascii="Times New Roman" w:hAnsi="Times New Roman" w:cs="Times New Roman"/>
              </w:rPr>
              <w:t>на</w:t>
            </w:r>
            <w:r w:rsidRPr="00802D35">
              <w:rPr>
                <w:rFonts w:ascii="Times New Roman" w:hAnsi="Times New Roman" w:cs="Times New Roman"/>
                <w:spacing w:val="-6"/>
              </w:rPr>
              <w:t xml:space="preserve"> </w:t>
            </w:r>
            <w:r w:rsidRPr="00802D35">
              <w:rPr>
                <w:rFonts w:ascii="Times New Roman" w:hAnsi="Times New Roman" w:cs="Times New Roman"/>
              </w:rPr>
              <w:t>инфляцию</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12,976</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3,492</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w:t>
            </w:r>
          </w:p>
        </w:tc>
      </w:tr>
      <w:tr w:rsidR="00276CDB" w:rsidRPr="00802D35" w:rsidTr="0072554F">
        <w:tc>
          <w:tcPr>
            <w:tcW w:w="3652" w:type="dxa"/>
          </w:tcPr>
          <w:p w:rsidR="00276CDB" w:rsidRPr="00802D35" w:rsidRDefault="00276CDB" w:rsidP="0072554F">
            <w:pPr>
              <w:pStyle w:val="TableParagraph"/>
              <w:ind w:right="-108"/>
              <w:rPr>
                <w:rFonts w:ascii="Times New Roman" w:hAnsi="Times New Roman" w:cs="Times New Roman"/>
                <w:spacing w:val="-52"/>
              </w:rPr>
            </w:pPr>
            <w:r w:rsidRPr="00802D35">
              <w:rPr>
                <w:rFonts w:ascii="Times New Roman" w:hAnsi="Times New Roman" w:cs="Times New Roman"/>
              </w:rPr>
              <w:t>Выпущенные несубординированные</w:t>
            </w:r>
            <w:r w:rsidRPr="00802D35">
              <w:rPr>
                <w:rFonts w:ascii="Times New Roman" w:hAnsi="Times New Roman" w:cs="Times New Roman"/>
                <w:spacing w:val="-52"/>
              </w:rPr>
              <w:t xml:space="preserve">      </w:t>
            </w:r>
          </w:p>
          <w:p w:rsidR="00276CDB" w:rsidRPr="00802D35" w:rsidRDefault="00276CDB" w:rsidP="0072554F">
            <w:pPr>
              <w:pStyle w:val="TableParagraph"/>
              <w:ind w:right="-108"/>
              <w:rPr>
                <w:rFonts w:ascii="Times New Roman" w:hAnsi="Times New Roman" w:cs="Times New Roman"/>
              </w:rPr>
            </w:pPr>
            <w:r w:rsidRPr="00802D35">
              <w:rPr>
                <w:rFonts w:ascii="Times New Roman" w:hAnsi="Times New Roman" w:cs="Times New Roman"/>
              </w:rPr>
              <w:t>долговые ценные</w:t>
            </w:r>
            <w:r w:rsidRPr="00802D35">
              <w:rPr>
                <w:rFonts w:ascii="Times New Roman" w:hAnsi="Times New Roman" w:cs="Times New Roman"/>
                <w:spacing w:val="-1"/>
              </w:rPr>
              <w:t xml:space="preserve"> </w:t>
            </w:r>
            <w:r w:rsidRPr="00802D35">
              <w:rPr>
                <w:rFonts w:ascii="Times New Roman" w:hAnsi="Times New Roman" w:cs="Times New Roman"/>
              </w:rPr>
              <w:t>бумаги:</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584,933</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853,314</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818,058</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752,983</w:t>
            </w:r>
          </w:p>
        </w:tc>
        <w:tc>
          <w:tcPr>
            <w:tcW w:w="1219" w:type="dxa"/>
          </w:tcPr>
          <w:p w:rsidR="00276CDB" w:rsidRPr="00802D35" w:rsidRDefault="00276CDB" w:rsidP="0072554F">
            <w:pPr>
              <w:pStyle w:val="TableParagraph"/>
              <w:jc w:val="center"/>
              <w:rPr>
                <w:rFonts w:ascii="Times New Roman" w:hAnsi="Times New Roman" w:cs="Times New Roman"/>
              </w:rPr>
            </w:pPr>
          </w:p>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694,178</w:t>
            </w:r>
          </w:p>
        </w:tc>
      </w:tr>
      <w:tr w:rsidR="00276CDB" w:rsidRPr="00802D35" w:rsidTr="0072554F">
        <w:tc>
          <w:tcPr>
            <w:tcW w:w="3652" w:type="dxa"/>
          </w:tcPr>
          <w:p w:rsidR="00276CDB" w:rsidRPr="00802D35" w:rsidRDefault="00276CDB" w:rsidP="0072554F">
            <w:pPr>
              <w:pStyle w:val="TableParagraph"/>
              <w:rPr>
                <w:rFonts w:ascii="Times New Roman" w:hAnsi="Times New Roman" w:cs="Times New Roman"/>
              </w:rPr>
            </w:pPr>
            <w:r w:rsidRPr="00802D35">
              <w:rPr>
                <w:rFonts w:ascii="Times New Roman" w:hAnsi="Times New Roman" w:cs="Times New Roman"/>
              </w:rPr>
              <w:t>Облигации,</w:t>
            </w:r>
            <w:r w:rsidRPr="00802D35">
              <w:rPr>
                <w:rFonts w:ascii="Times New Roman" w:hAnsi="Times New Roman" w:cs="Times New Roman"/>
                <w:spacing w:val="-3"/>
              </w:rPr>
              <w:t xml:space="preserve"> </w:t>
            </w:r>
            <w:r w:rsidRPr="00802D35">
              <w:rPr>
                <w:rFonts w:ascii="Times New Roman" w:hAnsi="Times New Roman" w:cs="Times New Roman"/>
              </w:rPr>
              <w:t>выраженные</w:t>
            </w:r>
            <w:r w:rsidRPr="00802D35">
              <w:rPr>
                <w:rFonts w:ascii="Times New Roman" w:hAnsi="Times New Roman" w:cs="Times New Roman"/>
                <w:spacing w:val="-4"/>
              </w:rPr>
              <w:t xml:space="preserve"> </w:t>
            </w:r>
            <w:r w:rsidRPr="00802D35">
              <w:rPr>
                <w:rFonts w:ascii="Times New Roman" w:hAnsi="Times New Roman" w:cs="Times New Roman"/>
              </w:rPr>
              <w:t>в</w:t>
            </w:r>
            <w:r w:rsidRPr="00802D35">
              <w:rPr>
                <w:rFonts w:ascii="Times New Roman" w:hAnsi="Times New Roman" w:cs="Times New Roman"/>
                <w:spacing w:val="-3"/>
              </w:rPr>
              <w:t xml:space="preserve"> </w:t>
            </w:r>
            <w:r w:rsidRPr="00802D35">
              <w:rPr>
                <w:rFonts w:ascii="Times New Roman" w:hAnsi="Times New Roman" w:cs="Times New Roman"/>
              </w:rPr>
              <w:t>долларах</w:t>
            </w:r>
            <w:r w:rsidRPr="00802D35">
              <w:rPr>
                <w:rFonts w:ascii="Times New Roman" w:hAnsi="Times New Roman" w:cs="Times New Roman"/>
                <w:spacing w:val="-4"/>
              </w:rPr>
              <w:t xml:space="preserve"> </w:t>
            </w:r>
            <w:r w:rsidRPr="00802D35">
              <w:rPr>
                <w:rFonts w:ascii="Times New Roman" w:hAnsi="Times New Roman" w:cs="Times New Roman"/>
              </w:rPr>
              <w:t>США</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359,355</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464,435</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428,549</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422,786</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362,418</w:t>
            </w:r>
          </w:p>
        </w:tc>
      </w:tr>
      <w:tr w:rsidR="00276CDB" w:rsidRPr="00802D35" w:rsidTr="0072554F">
        <w:tc>
          <w:tcPr>
            <w:tcW w:w="3652" w:type="dxa"/>
          </w:tcPr>
          <w:p w:rsidR="00276CDB" w:rsidRPr="00802D35" w:rsidRDefault="00276CDB" w:rsidP="0072554F">
            <w:pPr>
              <w:pStyle w:val="TableParagraph"/>
              <w:rPr>
                <w:rFonts w:ascii="Times New Roman" w:hAnsi="Times New Roman" w:cs="Times New Roman"/>
              </w:rPr>
            </w:pPr>
            <w:r w:rsidRPr="00802D35">
              <w:rPr>
                <w:rFonts w:ascii="Times New Roman" w:hAnsi="Times New Roman" w:cs="Times New Roman"/>
              </w:rPr>
              <w:t>Облигации,</w:t>
            </w:r>
            <w:r w:rsidRPr="00802D35">
              <w:rPr>
                <w:rFonts w:ascii="Times New Roman" w:hAnsi="Times New Roman" w:cs="Times New Roman"/>
                <w:spacing w:val="-3"/>
              </w:rPr>
              <w:t xml:space="preserve"> </w:t>
            </w:r>
            <w:r w:rsidRPr="00802D35">
              <w:rPr>
                <w:rFonts w:ascii="Times New Roman" w:hAnsi="Times New Roman" w:cs="Times New Roman"/>
              </w:rPr>
              <w:t>выраженные</w:t>
            </w:r>
            <w:r w:rsidRPr="00802D35">
              <w:rPr>
                <w:rFonts w:ascii="Times New Roman" w:hAnsi="Times New Roman" w:cs="Times New Roman"/>
                <w:spacing w:val="-5"/>
              </w:rPr>
              <w:t xml:space="preserve"> </w:t>
            </w:r>
            <w:r w:rsidRPr="00802D35">
              <w:rPr>
                <w:rFonts w:ascii="Times New Roman" w:hAnsi="Times New Roman" w:cs="Times New Roman"/>
              </w:rPr>
              <w:t>в</w:t>
            </w:r>
            <w:r w:rsidRPr="00802D35">
              <w:rPr>
                <w:rFonts w:ascii="Times New Roman" w:hAnsi="Times New Roman" w:cs="Times New Roman"/>
                <w:spacing w:val="-3"/>
              </w:rPr>
              <w:t xml:space="preserve"> </w:t>
            </w:r>
            <w:r w:rsidRPr="00802D35">
              <w:rPr>
                <w:rFonts w:ascii="Times New Roman" w:hAnsi="Times New Roman" w:cs="Times New Roman"/>
              </w:rPr>
              <w:t>тенге</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225,578</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388,526</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389,509</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330,197</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331,760</w:t>
            </w:r>
          </w:p>
        </w:tc>
      </w:tr>
      <w:tr w:rsidR="00276CDB" w:rsidRPr="00802D35" w:rsidTr="0072554F">
        <w:tc>
          <w:tcPr>
            <w:tcW w:w="3652" w:type="dxa"/>
          </w:tcPr>
          <w:p w:rsidR="00276CDB" w:rsidRPr="00802D35" w:rsidRDefault="00276CDB" w:rsidP="0072554F">
            <w:pPr>
              <w:pStyle w:val="TableParagraph"/>
              <w:rPr>
                <w:rFonts w:ascii="Times New Roman" w:hAnsi="Times New Roman" w:cs="Times New Roman"/>
              </w:rPr>
            </w:pPr>
            <w:r w:rsidRPr="00802D35">
              <w:rPr>
                <w:rFonts w:ascii="Times New Roman" w:hAnsi="Times New Roman" w:cs="Times New Roman"/>
              </w:rPr>
              <w:t>Облигации,</w:t>
            </w:r>
            <w:r w:rsidRPr="00802D35">
              <w:rPr>
                <w:rFonts w:ascii="Times New Roman" w:hAnsi="Times New Roman" w:cs="Times New Roman"/>
                <w:spacing w:val="-3"/>
              </w:rPr>
              <w:t xml:space="preserve"> </w:t>
            </w:r>
            <w:r w:rsidRPr="00802D35">
              <w:rPr>
                <w:rFonts w:ascii="Times New Roman" w:hAnsi="Times New Roman" w:cs="Times New Roman"/>
              </w:rPr>
              <w:t>выраженные</w:t>
            </w:r>
            <w:r w:rsidRPr="00802D35">
              <w:rPr>
                <w:rFonts w:ascii="Times New Roman" w:hAnsi="Times New Roman" w:cs="Times New Roman"/>
                <w:spacing w:val="-5"/>
              </w:rPr>
              <w:t xml:space="preserve"> </w:t>
            </w:r>
            <w:r w:rsidRPr="00802D35">
              <w:rPr>
                <w:rFonts w:ascii="Times New Roman" w:hAnsi="Times New Roman" w:cs="Times New Roman"/>
              </w:rPr>
              <w:t>в</w:t>
            </w:r>
            <w:r w:rsidRPr="00802D35">
              <w:rPr>
                <w:rFonts w:ascii="Times New Roman" w:hAnsi="Times New Roman" w:cs="Times New Roman"/>
                <w:spacing w:val="-3"/>
              </w:rPr>
              <w:t xml:space="preserve"> </w:t>
            </w:r>
            <w:r w:rsidRPr="00802D35">
              <w:rPr>
                <w:rFonts w:ascii="Times New Roman" w:hAnsi="Times New Roman" w:cs="Times New Roman"/>
              </w:rPr>
              <w:t>рублях</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w:t>
            </w:r>
          </w:p>
        </w:tc>
        <w:tc>
          <w:tcPr>
            <w:tcW w:w="1219"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353</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p>
        </w:tc>
      </w:tr>
      <w:tr w:rsidR="00276CDB" w:rsidRPr="00802D35" w:rsidTr="0072554F">
        <w:tc>
          <w:tcPr>
            <w:tcW w:w="3652"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Уставный капитал</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143,67</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143,67</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209,027</w:t>
            </w:r>
          </w:p>
        </w:tc>
        <w:tc>
          <w:tcPr>
            <w:tcW w:w="1219" w:type="dxa"/>
          </w:tcPr>
          <w:p w:rsidR="00276CDB" w:rsidRPr="00802D35" w:rsidRDefault="00276CDB" w:rsidP="0072554F">
            <w:pPr>
              <w:jc w:val="center"/>
              <w:rPr>
                <w:rFonts w:ascii="Times New Roman" w:hAnsi="Times New Roman" w:cs="Times New Roman"/>
              </w:rPr>
            </w:pPr>
            <w:r w:rsidRPr="00802D35">
              <w:rPr>
                <w:rFonts w:ascii="Times New Roman" w:hAnsi="Times New Roman" w:cs="Times New Roman"/>
              </w:rPr>
              <w:t>209,027</w:t>
            </w:r>
          </w:p>
        </w:tc>
        <w:tc>
          <w:tcPr>
            <w:tcW w:w="1219" w:type="dxa"/>
          </w:tcPr>
          <w:p w:rsidR="00276CDB" w:rsidRPr="00802D35" w:rsidRDefault="00276CDB" w:rsidP="0072554F">
            <w:pPr>
              <w:jc w:val="center"/>
              <w:rPr>
                <w:rFonts w:ascii="Times New Roman" w:hAnsi="Times New Roman" w:cs="Times New Roman"/>
              </w:rPr>
            </w:pPr>
            <w:r w:rsidRPr="00802D35">
              <w:rPr>
                <w:rFonts w:ascii="Times New Roman" w:hAnsi="Times New Roman" w:cs="Times New Roman"/>
              </w:rPr>
              <w:t>209,027</w:t>
            </w:r>
          </w:p>
        </w:tc>
      </w:tr>
      <w:tr w:rsidR="00276CDB" w:rsidRPr="00802D35" w:rsidTr="0072554F">
        <w:tc>
          <w:tcPr>
            <w:tcW w:w="3652"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Резервный капитал</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0,987</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16,098</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2,546</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3,924</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9,287</w:t>
            </w:r>
          </w:p>
        </w:tc>
      </w:tr>
      <w:tr w:rsidR="00276CDB" w:rsidRPr="00802D35" w:rsidTr="0072554F">
        <w:tc>
          <w:tcPr>
            <w:tcW w:w="3652"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Нераспределенная прибыль</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623,108</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820,72</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966,215</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1208,96</w:t>
            </w:r>
          </w:p>
        </w:tc>
        <w:tc>
          <w:tcPr>
            <w:tcW w:w="1219"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1389,52</w:t>
            </w:r>
          </w:p>
        </w:tc>
      </w:tr>
    </w:tbl>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Pr>
        <w:spacing w:after="0" w:line="240" w:lineRule="auto"/>
        <w:rPr>
          <w:rStyle w:val="HTML"/>
          <w:rFonts w:ascii="Times New Roman" w:hAnsi="Times New Roman" w:cs="Times New Roman"/>
          <w:i w:val="0"/>
          <w:sz w:val="28"/>
          <w:szCs w:val="28"/>
          <w:shd w:val="clear" w:color="auto" w:fill="FFFFFF"/>
        </w:rPr>
      </w:pPr>
      <w:r w:rsidRPr="00802D35">
        <w:rPr>
          <w:rFonts w:ascii="Times New Roman" w:hAnsi="Times New Roman" w:cs="Times New Roman"/>
          <w:sz w:val="28"/>
          <w:szCs w:val="28"/>
        </w:rPr>
        <w:lastRenderedPageBreak/>
        <w:t xml:space="preserve">Таблица Б.2 - Структура фондирования </w:t>
      </w:r>
      <w:r w:rsidRPr="00802D35">
        <w:rPr>
          <w:rStyle w:val="HTML"/>
          <w:rFonts w:ascii="Times New Roman" w:hAnsi="Times New Roman" w:cs="Times New Roman"/>
          <w:i w:val="0"/>
          <w:sz w:val="28"/>
          <w:szCs w:val="28"/>
          <w:shd w:val="clear" w:color="auto" w:fill="FFFFFF"/>
        </w:rPr>
        <w:t>АО АТФБанк</w:t>
      </w:r>
    </w:p>
    <w:p w:rsidR="00276CDB" w:rsidRPr="00802D35" w:rsidRDefault="00276CDB" w:rsidP="00276CDB">
      <w:pPr>
        <w:spacing w:after="0" w:line="240" w:lineRule="auto"/>
        <w:rPr>
          <w:rFonts w:ascii="Times New Roman" w:hAnsi="Times New Roman" w:cs="Times New Roman"/>
          <w:sz w:val="28"/>
          <w:szCs w:val="28"/>
        </w:rPr>
      </w:pPr>
    </w:p>
    <w:tbl>
      <w:tblPr>
        <w:tblStyle w:val="af1"/>
        <w:tblW w:w="0" w:type="auto"/>
        <w:tblLook w:val="04A0" w:firstRow="1" w:lastRow="0" w:firstColumn="1" w:lastColumn="0" w:noHBand="0" w:noVBand="1"/>
      </w:tblPr>
      <w:tblGrid>
        <w:gridCol w:w="3055"/>
        <w:gridCol w:w="1303"/>
        <w:gridCol w:w="1303"/>
        <w:gridCol w:w="1303"/>
        <w:gridCol w:w="1303"/>
        <w:gridCol w:w="1304"/>
      </w:tblGrid>
      <w:tr w:rsidR="00276CDB" w:rsidRPr="00802D35" w:rsidTr="0072554F">
        <w:tc>
          <w:tcPr>
            <w:tcW w:w="3055"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Показатели</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2016 г.</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2017 г.</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2018 г.</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2019 г.</w:t>
            </w:r>
          </w:p>
        </w:tc>
        <w:tc>
          <w:tcPr>
            <w:tcW w:w="1304"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2020 г.</w:t>
            </w:r>
          </w:p>
        </w:tc>
      </w:tr>
      <w:tr w:rsidR="00276CDB" w:rsidRPr="00802D35" w:rsidTr="0072554F">
        <w:tc>
          <w:tcPr>
            <w:tcW w:w="3055"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Срочные вклады:</w:t>
            </w:r>
          </w:p>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Физических лиц</w:t>
            </w:r>
          </w:p>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Юридических лиц</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676,149</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397,332</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278,817</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605,162</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340,110</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265,051</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698,451</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349,970</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348,480</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688,206</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330,404</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357,802</w:t>
            </w:r>
          </w:p>
        </w:tc>
        <w:tc>
          <w:tcPr>
            <w:tcW w:w="1304"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667,536</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312,763</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354,773</w:t>
            </w:r>
          </w:p>
        </w:tc>
      </w:tr>
      <w:tr w:rsidR="00276CDB" w:rsidRPr="00802D35" w:rsidTr="0072554F">
        <w:tc>
          <w:tcPr>
            <w:tcW w:w="3055"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Текущие счета:</w:t>
            </w:r>
          </w:p>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Физических лиц</w:t>
            </w:r>
          </w:p>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Юридических лиц</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467,680</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424,182</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43,497</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353,493</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51,588</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301,905</w:t>
            </w:r>
          </w:p>
        </w:tc>
        <w:tc>
          <w:tcPr>
            <w:tcW w:w="1303" w:type="dxa"/>
          </w:tcPr>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color w:val="auto"/>
                <w:sz w:val="22"/>
                <w:szCs w:val="22"/>
              </w:rPr>
              <w:t>371,337</w:t>
            </w:r>
          </w:p>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color w:val="auto"/>
                <w:sz w:val="22"/>
                <w:szCs w:val="22"/>
              </w:rPr>
              <w:t>77,156</w:t>
            </w:r>
          </w:p>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color w:val="auto"/>
                <w:sz w:val="22"/>
                <w:szCs w:val="22"/>
              </w:rPr>
              <w:t>294,181</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360,393</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74,143</w:t>
            </w:r>
          </w:p>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color w:val="auto"/>
                <w:sz w:val="22"/>
                <w:szCs w:val="22"/>
              </w:rPr>
              <w:t>286,250</w:t>
            </w:r>
          </w:p>
        </w:tc>
        <w:tc>
          <w:tcPr>
            <w:tcW w:w="1304"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350,949</w:t>
            </w:r>
          </w:p>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71,667</w:t>
            </w:r>
          </w:p>
          <w:p w:rsidR="00276CDB" w:rsidRPr="00802D35" w:rsidRDefault="00276CDB" w:rsidP="0072554F">
            <w:pPr>
              <w:pStyle w:val="1"/>
              <w:spacing w:before="0"/>
              <w:jc w:val="center"/>
              <w:outlineLvl w:val="0"/>
              <w:rPr>
                <w:rFonts w:ascii="Times New Roman" w:hAnsi="Times New Roman" w:cs="Times New Roman"/>
                <w:b w:val="0"/>
                <w:bCs w:val="0"/>
                <w:color w:val="auto"/>
                <w:sz w:val="22"/>
                <w:szCs w:val="22"/>
              </w:rPr>
            </w:pPr>
            <w:r w:rsidRPr="00802D35">
              <w:rPr>
                <w:rFonts w:ascii="Times New Roman" w:hAnsi="Times New Roman" w:cs="Times New Roman"/>
                <w:b w:val="0"/>
                <w:color w:val="auto"/>
                <w:sz w:val="22"/>
                <w:szCs w:val="22"/>
              </w:rPr>
              <w:t>279,282</w:t>
            </w:r>
          </w:p>
        </w:tc>
      </w:tr>
      <w:tr w:rsidR="00276CDB" w:rsidRPr="00802D35" w:rsidTr="0072554F">
        <w:tc>
          <w:tcPr>
            <w:tcW w:w="3055"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 xml:space="preserve">Займы </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49,957</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55,324</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72,852</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88,278</w:t>
            </w:r>
          </w:p>
        </w:tc>
        <w:tc>
          <w:tcPr>
            <w:tcW w:w="1304"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93,715</w:t>
            </w:r>
          </w:p>
        </w:tc>
      </w:tr>
      <w:tr w:rsidR="00276CDB" w:rsidRPr="00802D35" w:rsidTr="0072554F">
        <w:tc>
          <w:tcPr>
            <w:tcW w:w="3055" w:type="dxa"/>
          </w:tcPr>
          <w:p w:rsidR="00276CDB" w:rsidRPr="00802D35" w:rsidRDefault="00276CDB" w:rsidP="0072554F">
            <w:pPr>
              <w:jc w:val="both"/>
              <w:rPr>
                <w:rFonts w:ascii="Times New Roman" w:hAnsi="Times New Roman" w:cs="Times New Roman"/>
              </w:rPr>
            </w:pPr>
            <w:r w:rsidRPr="00802D35">
              <w:rPr>
                <w:rFonts w:ascii="Times New Roman" w:hAnsi="Times New Roman" w:cs="Times New Roman"/>
              </w:rPr>
              <w:t>Кредиты,</w:t>
            </w:r>
            <w:r w:rsidRPr="00802D35">
              <w:rPr>
                <w:rFonts w:ascii="Times New Roman" w:hAnsi="Times New Roman" w:cs="Times New Roman"/>
                <w:spacing w:val="-3"/>
              </w:rPr>
              <w:t xml:space="preserve"> </w:t>
            </w:r>
            <w:r w:rsidRPr="00802D35">
              <w:rPr>
                <w:rFonts w:ascii="Times New Roman" w:hAnsi="Times New Roman" w:cs="Times New Roman"/>
              </w:rPr>
              <w:t>предоставленные</w:t>
            </w:r>
            <w:r w:rsidRPr="00802D35">
              <w:rPr>
                <w:rFonts w:ascii="Times New Roman" w:hAnsi="Times New Roman" w:cs="Times New Roman"/>
                <w:spacing w:val="-3"/>
              </w:rPr>
              <w:t xml:space="preserve"> </w:t>
            </w:r>
            <w:r w:rsidRPr="00802D35">
              <w:rPr>
                <w:rFonts w:ascii="Times New Roman" w:hAnsi="Times New Roman" w:cs="Times New Roman"/>
              </w:rPr>
              <w:t>банками</w:t>
            </w:r>
            <w:r w:rsidRPr="00802D35">
              <w:rPr>
                <w:rFonts w:ascii="Times New Roman" w:hAnsi="Times New Roman" w:cs="Times New Roman"/>
                <w:spacing w:val="-3"/>
              </w:rPr>
              <w:t xml:space="preserve"> </w:t>
            </w:r>
            <w:r w:rsidRPr="00802D35">
              <w:rPr>
                <w:rFonts w:ascii="Times New Roman" w:hAnsi="Times New Roman" w:cs="Times New Roman"/>
              </w:rPr>
              <w:t>и</w:t>
            </w:r>
            <w:r w:rsidRPr="00802D35">
              <w:rPr>
                <w:rFonts w:ascii="Times New Roman" w:hAnsi="Times New Roman" w:cs="Times New Roman"/>
                <w:spacing w:val="-3"/>
              </w:rPr>
              <w:t xml:space="preserve"> </w:t>
            </w:r>
            <w:r w:rsidRPr="00802D35">
              <w:rPr>
                <w:rFonts w:ascii="Times New Roman" w:hAnsi="Times New Roman" w:cs="Times New Roman"/>
              </w:rPr>
              <w:t>финансовыми</w:t>
            </w:r>
          </w:p>
          <w:p w:rsidR="00276CDB" w:rsidRPr="00802D35" w:rsidRDefault="00276CDB" w:rsidP="0072554F">
            <w:pPr>
              <w:autoSpaceDE w:val="0"/>
              <w:autoSpaceDN w:val="0"/>
              <w:adjustRightInd w:val="0"/>
              <w:rPr>
                <w:rFonts w:ascii="Times New Roman" w:hAnsi="Times New Roman" w:cs="Times New Roman"/>
              </w:rPr>
            </w:pPr>
            <w:r w:rsidRPr="00802D35">
              <w:rPr>
                <w:rFonts w:ascii="Times New Roman" w:hAnsi="Times New Roman" w:cs="Times New Roman"/>
              </w:rPr>
              <w:t>институтами</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49,957</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55,324</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71,367</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80,008</w:t>
            </w:r>
          </w:p>
        </w:tc>
        <w:tc>
          <w:tcPr>
            <w:tcW w:w="1304"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86,351</w:t>
            </w:r>
          </w:p>
        </w:tc>
      </w:tr>
      <w:tr w:rsidR="00276CDB" w:rsidRPr="00802D35" w:rsidTr="0072554F">
        <w:tc>
          <w:tcPr>
            <w:tcW w:w="3055" w:type="dxa"/>
          </w:tcPr>
          <w:p w:rsidR="00276CDB" w:rsidRPr="00802D35" w:rsidRDefault="00276CDB" w:rsidP="0072554F">
            <w:pPr>
              <w:jc w:val="both"/>
              <w:rPr>
                <w:rFonts w:ascii="Times New Roman" w:hAnsi="Times New Roman" w:cs="Times New Roman"/>
              </w:rPr>
            </w:pPr>
            <w:r w:rsidRPr="00802D35">
              <w:rPr>
                <w:rFonts w:ascii="Times New Roman" w:hAnsi="Times New Roman" w:cs="Times New Roman"/>
              </w:rPr>
              <w:t>Обязательства</w:t>
            </w:r>
            <w:r w:rsidRPr="00802D35">
              <w:rPr>
                <w:rFonts w:ascii="Times New Roman" w:hAnsi="Times New Roman" w:cs="Times New Roman"/>
                <w:spacing w:val="-8"/>
              </w:rPr>
              <w:t xml:space="preserve"> </w:t>
            </w:r>
            <w:r w:rsidRPr="00802D35">
              <w:rPr>
                <w:rFonts w:ascii="Times New Roman" w:hAnsi="Times New Roman" w:cs="Times New Roman"/>
              </w:rPr>
              <w:t>перед</w:t>
            </w:r>
            <w:r w:rsidRPr="00802D35">
              <w:rPr>
                <w:rFonts w:ascii="Times New Roman" w:hAnsi="Times New Roman" w:cs="Times New Roman"/>
                <w:spacing w:val="-8"/>
              </w:rPr>
              <w:t xml:space="preserve"> </w:t>
            </w:r>
            <w:r w:rsidRPr="00802D35">
              <w:rPr>
                <w:rFonts w:ascii="Times New Roman" w:hAnsi="Times New Roman" w:cs="Times New Roman"/>
              </w:rPr>
              <w:t>АО</w:t>
            </w:r>
            <w:r w:rsidRPr="00802D35">
              <w:rPr>
                <w:rFonts w:ascii="Times New Roman" w:hAnsi="Times New Roman" w:cs="Times New Roman"/>
                <w:spacing w:val="-7"/>
              </w:rPr>
              <w:t xml:space="preserve"> </w:t>
            </w:r>
            <w:r w:rsidRPr="00802D35">
              <w:rPr>
                <w:rFonts w:ascii="Times New Roman" w:hAnsi="Times New Roman" w:cs="Times New Roman"/>
              </w:rPr>
              <w:t>«Ипотечная</w:t>
            </w:r>
            <w:r w:rsidRPr="00802D35">
              <w:rPr>
                <w:rFonts w:ascii="Times New Roman" w:hAnsi="Times New Roman" w:cs="Times New Roman"/>
                <w:spacing w:val="-8"/>
              </w:rPr>
              <w:t xml:space="preserve"> </w:t>
            </w:r>
            <w:r w:rsidRPr="00802D35">
              <w:rPr>
                <w:rFonts w:ascii="Times New Roman" w:hAnsi="Times New Roman" w:cs="Times New Roman"/>
              </w:rPr>
              <w:t>организация</w:t>
            </w:r>
            <w:r w:rsidRPr="00802D35">
              <w:rPr>
                <w:rFonts w:ascii="Times New Roman" w:hAnsi="Times New Roman" w:cs="Times New Roman"/>
                <w:spacing w:val="-47"/>
              </w:rPr>
              <w:t xml:space="preserve"> </w:t>
            </w:r>
            <w:r w:rsidRPr="00802D35">
              <w:rPr>
                <w:rFonts w:ascii="Times New Roman" w:hAnsi="Times New Roman" w:cs="Times New Roman"/>
              </w:rPr>
              <w:t>Баспана»</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1,485</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8,270</w:t>
            </w:r>
          </w:p>
        </w:tc>
        <w:tc>
          <w:tcPr>
            <w:tcW w:w="1304"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7,364</w:t>
            </w:r>
          </w:p>
        </w:tc>
      </w:tr>
      <w:tr w:rsidR="00276CDB" w:rsidRPr="00802D35" w:rsidTr="0072554F">
        <w:tc>
          <w:tcPr>
            <w:tcW w:w="3055"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Выпущенные долговые ценные бумаги</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151,772</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182,272</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189,415</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257,033</w:t>
            </w:r>
          </w:p>
        </w:tc>
        <w:tc>
          <w:tcPr>
            <w:tcW w:w="1304"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257,0</w:t>
            </w:r>
          </w:p>
        </w:tc>
      </w:tr>
      <w:tr w:rsidR="00276CDB" w:rsidRPr="00802D35" w:rsidTr="0072554F">
        <w:tc>
          <w:tcPr>
            <w:tcW w:w="3055" w:type="dxa"/>
          </w:tcPr>
          <w:p w:rsidR="00276CDB" w:rsidRPr="00802D35" w:rsidRDefault="00276CDB" w:rsidP="0072554F">
            <w:pPr>
              <w:pStyle w:val="TableParagraph"/>
              <w:rPr>
                <w:rFonts w:ascii="Times New Roman" w:hAnsi="Times New Roman" w:cs="Times New Roman"/>
              </w:rPr>
            </w:pPr>
            <w:r w:rsidRPr="00802D35">
              <w:rPr>
                <w:rFonts w:ascii="Times New Roman" w:hAnsi="Times New Roman" w:cs="Times New Roman"/>
              </w:rPr>
              <w:t>Выпущенные субординированные</w:t>
            </w:r>
            <w:r w:rsidRPr="00802D35">
              <w:rPr>
                <w:rFonts w:ascii="Times New Roman" w:hAnsi="Times New Roman" w:cs="Times New Roman"/>
                <w:spacing w:val="-52"/>
              </w:rPr>
              <w:t xml:space="preserve"> </w:t>
            </w:r>
            <w:r w:rsidRPr="00802D35">
              <w:rPr>
                <w:rFonts w:ascii="Times New Roman" w:hAnsi="Times New Roman" w:cs="Times New Roman"/>
              </w:rPr>
              <w:t>долговые ценные</w:t>
            </w:r>
            <w:r w:rsidRPr="00802D35">
              <w:rPr>
                <w:rFonts w:ascii="Times New Roman" w:hAnsi="Times New Roman" w:cs="Times New Roman"/>
                <w:spacing w:val="-2"/>
              </w:rPr>
              <w:t xml:space="preserve"> </w:t>
            </w:r>
            <w:r w:rsidRPr="00802D35">
              <w:rPr>
                <w:rFonts w:ascii="Times New Roman" w:hAnsi="Times New Roman" w:cs="Times New Roman"/>
              </w:rPr>
              <w:t>бумаги:</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93,094</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124,739</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131,706</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127,734</w:t>
            </w:r>
          </w:p>
        </w:tc>
        <w:tc>
          <w:tcPr>
            <w:tcW w:w="1304"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127,73</w:t>
            </w:r>
          </w:p>
        </w:tc>
      </w:tr>
      <w:tr w:rsidR="00276CDB" w:rsidRPr="00802D35" w:rsidTr="0072554F">
        <w:tc>
          <w:tcPr>
            <w:tcW w:w="3055" w:type="dxa"/>
          </w:tcPr>
          <w:p w:rsidR="00276CDB" w:rsidRPr="00802D35" w:rsidRDefault="00276CDB" w:rsidP="0072554F">
            <w:pPr>
              <w:pStyle w:val="TableParagraph"/>
              <w:rPr>
                <w:rFonts w:ascii="Times New Roman" w:hAnsi="Times New Roman" w:cs="Times New Roman"/>
              </w:rPr>
            </w:pPr>
            <w:r w:rsidRPr="00802D35">
              <w:rPr>
                <w:rFonts w:ascii="Times New Roman" w:hAnsi="Times New Roman" w:cs="Times New Roman"/>
              </w:rPr>
              <w:t>Выпущенные несубординированные</w:t>
            </w:r>
            <w:r w:rsidRPr="00802D35">
              <w:rPr>
                <w:rFonts w:ascii="Times New Roman" w:hAnsi="Times New Roman" w:cs="Times New Roman"/>
                <w:spacing w:val="-52"/>
              </w:rPr>
              <w:t xml:space="preserve"> </w:t>
            </w:r>
            <w:r w:rsidRPr="00802D35">
              <w:rPr>
                <w:rFonts w:ascii="Times New Roman" w:hAnsi="Times New Roman" w:cs="Times New Roman"/>
              </w:rPr>
              <w:t>долговые ценные</w:t>
            </w:r>
            <w:r w:rsidRPr="00802D35">
              <w:rPr>
                <w:rFonts w:ascii="Times New Roman" w:hAnsi="Times New Roman" w:cs="Times New Roman"/>
                <w:spacing w:val="-1"/>
              </w:rPr>
              <w:t xml:space="preserve"> </w:t>
            </w:r>
            <w:r w:rsidRPr="00802D35">
              <w:rPr>
                <w:rFonts w:ascii="Times New Roman" w:hAnsi="Times New Roman" w:cs="Times New Roman"/>
              </w:rPr>
              <w:t>бумаги:</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58,678</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57,533</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57,709</w:t>
            </w:r>
          </w:p>
        </w:tc>
        <w:tc>
          <w:tcPr>
            <w:tcW w:w="1303"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129,299</w:t>
            </w:r>
          </w:p>
        </w:tc>
        <w:tc>
          <w:tcPr>
            <w:tcW w:w="1304" w:type="dxa"/>
          </w:tcPr>
          <w:p w:rsidR="00276CDB" w:rsidRPr="00802D35" w:rsidRDefault="00276CDB" w:rsidP="0072554F">
            <w:pPr>
              <w:pStyle w:val="TableParagraph"/>
              <w:jc w:val="center"/>
              <w:rPr>
                <w:rFonts w:ascii="Times New Roman" w:hAnsi="Times New Roman" w:cs="Times New Roman"/>
              </w:rPr>
            </w:pPr>
            <w:r w:rsidRPr="00802D35">
              <w:rPr>
                <w:rFonts w:ascii="Times New Roman" w:hAnsi="Times New Roman" w:cs="Times New Roman"/>
              </w:rPr>
              <w:t>129,3</w:t>
            </w:r>
          </w:p>
        </w:tc>
      </w:tr>
      <w:tr w:rsidR="00276CDB" w:rsidRPr="00802D35" w:rsidTr="0072554F">
        <w:tc>
          <w:tcPr>
            <w:tcW w:w="3055"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Уставный капитал</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167,878</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167,878</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167,878</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167,878</w:t>
            </w:r>
          </w:p>
        </w:tc>
        <w:tc>
          <w:tcPr>
            <w:tcW w:w="1304"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167,878</w:t>
            </w:r>
          </w:p>
        </w:tc>
      </w:tr>
      <w:tr w:rsidR="00276CDB" w:rsidRPr="00802D35" w:rsidTr="0072554F">
        <w:tc>
          <w:tcPr>
            <w:tcW w:w="3055"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Резервный капитал</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w:t>
            </w:r>
          </w:p>
        </w:tc>
        <w:tc>
          <w:tcPr>
            <w:tcW w:w="1304"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w:t>
            </w:r>
          </w:p>
        </w:tc>
      </w:tr>
      <w:tr w:rsidR="00276CDB" w:rsidRPr="00802D35" w:rsidTr="0072554F">
        <w:tc>
          <w:tcPr>
            <w:tcW w:w="3055"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Нераспределенная прибыль</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u w:val="single"/>
              </w:rPr>
              <w:t>(95,043</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u w:val="single"/>
              </w:rPr>
              <w:t>(77,848</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(66,258</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(65,464</w:t>
            </w:r>
          </w:p>
        </w:tc>
        <w:tc>
          <w:tcPr>
            <w:tcW w:w="1304"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(64,316)</w:t>
            </w:r>
          </w:p>
        </w:tc>
      </w:tr>
      <w:tr w:rsidR="00276CDB" w:rsidRPr="00802D35" w:rsidTr="0072554F">
        <w:tc>
          <w:tcPr>
            <w:tcW w:w="3055" w:type="dxa"/>
          </w:tcPr>
          <w:p w:rsidR="00276CDB" w:rsidRPr="00802D35" w:rsidRDefault="00276CDB" w:rsidP="0072554F">
            <w:pPr>
              <w:pStyle w:val="1"/>
              <w:spacing w:before="0"/>
              <w:jc w:val="both"/>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Прочие привлеченные средства</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u w:val="single"/>
              </w:rPr>
            </w:pPr>
            <w:r w:rsidRPr="00802D35">
              <w:rPr>
                <w:rFonts w:ascii="Times New Roman" w:hAnsi="Times New Roman" w:cs="Times New Roman"/>
                <w:b w:val="0"/>
                <w:color w:val="auto"/>
                <w:sz w:val="22"/>
                <w:szCs w:val="22"/>
                <w:u w:val="single"/>
              </w:rPr>
              <w:t>-</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u w:val="single"/>
              </w:rPr>
            </w:pPr>
            <w:r w:rsidRPr="00802D35">
              <w:rPr>
                <w:rFonts w:ascii="Times New Roman" w:hAnsi="Times New Roman" w:cs="Times New Roman"/>
                <w:b w:val="0"/>
                <w:color w:val="auto"/>
                <w:sz w:val="22"/>
                <w:szCs w:val="22"/>
              </w:rPr>
              <w:t>30,569</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129,077</w:t>
            </w:r>
          </w:p>
        </w:tc>
        <w:tc>
          <w:tcPr>
            <w:tcW w:w="1303"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209,307</w:t>
            </w:r>
          </w:p>
        </w:tc>
        <w:tc>
          <w:tcPr>
            <w:tcW w:w="1304" w:type="dxa"/>
          </w:tcPr>
          <w:p w:rsidR="00276CDB" w:rsidRPr="00802D35" w:rsidRDefault="00276CDB" w:rsidP="0072554F">
            <w:pPr>
              <w:pStyle w:val="1"/>
              <w:spacing w:before="0"/>
              <w:jc w:val="center"/>
              <w:outlineLvl w:val="0"/>
              <w:rPr>
                <w:rFonts w:ascii="Times New Roman" w:hAnsi="Times New Roman" w:cs="Times New Roman"/>
                <w:b w:val="0"/>
                <w:color w:val="auto"/>
                <w:sz w:val="22"/>
                <w:szCs w:val="22"/>
              </w:rPr>
            </w:pPr>
            <w:r w:rsidRPr="00802D35">
              <w:rPr>
                <w:rFonts w:ascii="Times New Roman" w:hAnsi="Times New Roman" w:cs="Times New Roman"/>
                <w:b w:val="0"/>
                <w:color w:val="auto"/>
                <w:sz w:val="22"/>
                <w:szCs w:val="22"/>
              </w:rPr>
              <w:t>263,002</w:t>
            </w:r>
          </w:p>
        </w:tc>
      </w:tr>
    </w:tbl>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 w:rsidR="00276CDB" w:rsidRPr="00802D35" w:rsidRDefault="00276CDB" w:rsidP="00276CDB">
      <w:pPr>
        <w:spacing w:after="0" w:line="240" w:lineRule="auto"/>
        <w:rPr>
          <w:rFonts w:ascii="Times New Roman" w:hAnsi="Times New Roman" w:cs="Times New Roman"/>
          <w:color w:val="000000"/>
          <w:sz w:val="28"/>
          <w:szCs w:val="28"/>
          <w:shd w:val="clear" w:color="auto" w:fill="FFFFFF"/>
        </w:rPr>
      </w:pPr>
      <w:r w:rsidRPr="00802D35">
        <w:rPr>
          <w:rFonts w:ascii="Times New Roman" w:hAnsi="Times New Roman" w:cs="Times New Roman"/>
          <w:sz w:val="28"/>
          <w:szCs w:val="28"/>
        </w:rPr>
        <w:lastRenderedPageBreak/>
        <w:t xml:space="preserve">Таблица Б.3 - Структура фондирования АО </w:t>
      </w:r>
      <w:r w:rsidRPr="00802D35">
        <w:rPr>
          <w:rFonts w:ascii="Times New Roman" w:hAnsi="Times New Roman" w:cs="Times New Roman"/>
          <w:color w:val="000000"/>
          <w:sz w:val="28"/>
          <w:szCs w:val="28"/>
          <w:shd w:val="clear" w:color="auto" w:fill="FFFFFF"/>
        </w:rPr>
        <w:t>Kaspi bank</w:t>
      </w:r>
    </w:p>
    <w:p w:rsidR="00276CDB" w:rsidRPr="00802D35" w:rsidRDefault="00276CDB" w:rsidP="00276CDB">
      <w:pPr>
        <w:spacing w:after="0" w:line="240" w:lineRule="auto"/>
        <w:rPr>
          <w:rStyle w:val="HTML"/>
          <w:rFonts w:ascii="Times New Roman" w:hAnsi="Times New Roman" w:cs="Times New Roman"/>
          <w:b/>
          <w:i w:val="0"/>
          <w:shd w:val="clear" w:color="auto" w:fill="FFFFFF"/>
        </w:rPr>
      </w:pP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25"/>
        <w:gridCol w:w="1474"/>
        <w:gridCol w:w="1474"/>
        <w:gridCol w:w="1474"/>
        <w:gridCol w:w="1474"/>
        <w:gridCol w:w="1475"/>
      </w:tblGrid>
      <w:tr w:rsidR="00276CDB" w:rsidRPr="00802D35" w:rsidTr="0072554F">
        <w:trPr>
          <w:trHeight w:val="301"/>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Показатели</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2016 г.</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2017 г.</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2018 г.</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2019 г.</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2020 г.</w:t>
            </w:r>
          </w:p>
        </w:tc>
      </w:tr>
      <w:tr w:rsidR="00276CDB" w:rsidRPr="00802D35" w:rsidTr="0072554F">
        <w:trPr>
          <w:trHeight w:val="199"/>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Срочные вклады:</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752,542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922,168</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1066,824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1342,89</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1648,608</w:t>
            </w:r>
          </w:p>
        </w:tc>
      </w:tr>
      <w:tr w:rsidR="00276CDB" w:rsidRPr="00802D35" w:rsidTr="0072554F">
        <w:trPr>
          <w:trHeight w:val="217"/>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Физических лиц</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712,89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828,734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1025,099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1298,772</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1608,464</w:t>
            </w:r>
          </w:p>
        </w:tc>
      </w:tr>
      <w:tr w:rsidR="00276CDB" w:rsidRPr="00802D35" w:rsidTr="0072554F">
        <w:trPr>
          <w:trHeight w:val="220"/>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Юридических лиц</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39,652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93,434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41,725</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44,118</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40,144</w:t>
            </w:r>
          </w:p>
        </w:tc>
      </w:tr>
      <w:tr w:rsidR="00276CDB" w:rsidRPr="00802D35" w:rsidTr="0072554F">
        <w:trPr>
          <w:trHeight w:val="225"/>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Текущие счета:</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62,065</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79,047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170,392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301,049</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595,314</w:t>
            </w:r>
          </w:p>
        </w:tc>
      </w:tr>
      <w:tr w:rsidR="00276CDB" w:rsidRPr="00802D35" w:rsidTr="0072554F">
        <w:trPr>
          <w:trHeight w:val="228"/>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Физических лиц</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30,947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50,806</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124,971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242,206</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404,04</w:t>
            </w:r>
          </w:p>
        </w:tc>
      </w:tr>
      <w:tr w:rsidR="00276CDB" w:rsidRPr="00802D35" w:rsidTr="0072554F">
        <w:trPr>
          <w:trHeight w:val="233"/>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Юридических лиц</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31,118</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28,241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45,421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58,843</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191,274</w:t>
            </w:r>
          </w:p>
        </w:tc>
      </w:tr>
      <w:tr w:rsidR="00276CDB" w:rsidRPr="00802D35" w:rsidTr="0072554F">
        <w:trPr>
          <w:trHeight w:val="250"/>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Средства кредитных учреждений:</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40,272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63,2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0,49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3</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19,87</w:t>
            </w:r>
          </w:p>
        </w:tc>
      </w:tr>
      <w:tr w:rsidR="00276CDB" w:rsidRPr="00802D35" w:rsidTr="0072554F">
        <w:trPr>
          <w:trHeight w:val="414"/>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Срочные вклады банков и др фин учреждений</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40,272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40,156</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0</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0</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15,599</w:t>
            </w:r>
          </w:p>
        </w:tc>
      </w:tr>
      <w:tr w:rsidR="00276CDB" w:rsidRPr="00802D35" w:rsidTr="0072554F">
        <w:trPr>
          <w:trHeight w:val="308"/>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Соглашения РЕПО</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23,044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0,49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3</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4,271</w:t>
            </w:r>
          </w:p>
        </w:tc>
      </w:tr>
      <w:tr w:rsidR="00276CDB" w:rsidRPr="00802D35" w:rsidTr="0072554F">
        <w:trPr>
          <w:trHeight w:val="412"/>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Выпущенные долговые ценные бумаги</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286,836</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286,513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308,687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297,351</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293,724</w:t>
            </w:r>
          </w:p>
        </w:tc>
      </w:tr>
      <w:tr w:rsidR="00276CDB" w:rsidRPr="00802D35" w:rsidTr="0072554F">
        <w:trPr>
          <w:trHeight w:val="731"/>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bCs/>
                <w:color w:val="000000"/>
              </w:rPr>
            </w:pPr>
            <w:r w:rsidRPr="00802D35">
              <w:rPr>
                <w:rFonts w:ascii="Times New Roman" w:hAnsi="Times New Roman" w:cs="Times New Roman"/>
                <w:bCs/>
                <w:color w:val="000000"/>
              </w:rPr>
              <w:t>Выпущенные субординированные долговые ценные бумаги:</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175,507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175,179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170,593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158,777</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158,88</w:t>
            </w:r>
          </w:p>
        </w:tc>
      </w:tr>
      <w:tr w:rsidR="00276CDB" w:rsidRPr="00802D35" w:rsidTr="0072554F">
        <w:trPr>
          <w:trHeight w:val="392"/>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Первая облигационная программа:</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15,853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15,683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11,784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0</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0</w:t>
            </w:r>
          </w:p>
        </w:tc>
      </w:tr>
      <w:tr w:rsidR="00276CDB" w:rsidRPr="00802D35" w:rsidTr="0072554F">
        <w:trPr>
          <w:trHeight w:val="286"/>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Третий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3,844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3,911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w:t>
            </w:r>
          </w:p>
        </w:tc>
      </w:tr>
      <w:tr w:rsidR="00276CDB" w:rsidRPr="00802D35" w:rsidTr="0072554F">
        <w:trPr>
          <w:trHeight w:val="263"/>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Четвертый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6,448</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6,273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6,221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w:t>
            </w:r>
          </w:p>
        </w:tc>
      </w:tr>
      <w:tr w:rsidR="00276CDB" w:rsidRPr="00802D35" w:rsidTr="0072554F">
        <w:trPr>
          <w:trHeight w:val="252"/>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Пятый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5,561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5,499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5,563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w:t>
            </w:r>
          </w:p>
        </w:tc>
      </w:tr>
      <w:tr w:rsidR="00276CDB" w:rsidRPr="00802D35" w:rsidTr="0072554F">
        <w:trPr>
          <w:trHeight w:val="413"/>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Вторая облигационная программа:</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15,787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15,627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15,55</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15,516</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15,616</w:t>
            </w:r>
          </w:p>
        </w:tc>
      </w:tr>
      <w:tr w:rsidR="00276CDB" w:rsidRPr="00802D35" w:rsidTr="0072554F">
        <w:trPr>
          <w:trHeight w:val="293"/>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Первый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9,975</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9,941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9,981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10,05</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10,24</w:t>
            </w:r>
          </w:p>
        </w:tc>
      </w:tr>
      <w:tr w:rsidR="00276CDB" w:rsidRPr="00802D35" w:rsidTr="0072554F">
        <w:trPr>
          <w:trHeight w:val="268"/>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Третий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5,812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5,686</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5,569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5,466</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5,376</w:t>
            </w:r>
          </w:p>
        </w:tc>
      </w:tr>
      <w:tr w:rsidR="00276CDB" w:rsidRPr="00802D35" w:rsidTr="0072554F">
        <w:trPr>
          <w:trHeight w:val="400"/>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Третья облигационная программа:</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143,867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143,869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143,259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143,261</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143,264</w:t>
            </w:r>
          </w:p>
        </w:tc>
      </w:tr>
      <w:tr w:rsidR="00276CDB" w:rsidRPr="00802D35" w:rsidTr="0072554F">
        <w:trPr>
          <w:trHeight w:val="295"/>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Четвертый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62,255</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62,257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62,259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62,261</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62,264</w:t>
            </w:r>
          </w:p>
        </w:tc>
      </w:tr>
      <w:tr w:rsidR="00276CDB" w:rsidRPr="00802D35" w:rsidTr="0072554F">
        <w:trPr>
          <w:trHeight w:val="540"/>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Долговой компонент привилегированных акций</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81,612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81,612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81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81</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81</w:t>
            </w:r>
          </w:p>
        </w:tc>
      </w:tr>
      <w:tr w:rsidR="00276CDB" w:rsidRPr="00802D35" w:rsidTr="0072554F">
        <w:trPr>
          <w:trHeight w:val="466"/>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bCs/>
                <w:color w:val="000000"/>
              </w:rPr>
            </w:pPr>
            <w:r w:rsidRPr="00802D35">
              <w:rPr>
                <w:rFonts w:ascii="Times New Roman" w:hAnsi="Times New Roman" w:cs="Times New Roman"/>
                <w:bCs/>
                <w:color w:val="000000"/>
              </w:rPr>
              <w:t>Выпущенные долговые ценные бумаги:</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111,329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111,334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138,094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138,574</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134,844</w:t>
            </w:r>
          </w:p>
        </w:tc>
      </w:tr>
      <w:tr w:rsidR="00276CDB" w:rsidRPr="00802D35" w:rsidTr="0072554F">
        <w:trPr>
          <w:trHeight w:val="503"/>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Вторая облигационная программа:</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11,885</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11,888</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0</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0</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w:t>
            </w:r>
          </w:p>
        </w:tc>
      </w:tr>
      <w:tr w:rsidR="00276CDB" w:rsidRPr="00802D35" w:rsidTr="0072554F">
        <w:trPr>
          <w:trHeight w:val="255"/>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Четвертый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10,283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10,285</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w:t>
            </w:r>
          </w:p>
        </w:tc>
      </w:tr>
      <w:tr w:rsidR="00276CDB" w:rsidRPr="00802D35" w:rsidTr="0072554F">
        <w:trPr>
          <w:trHeight w:val="258"/>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Пятый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1,602</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1,603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w:t>
            </w:r>
          </w:p>
        </w:tc>
      </w:tr>
      <w:tr w:rsidR="00276CDB" w:rsidRPr="00802D35" w:rsidTr="0072554F">
        <w:trPr>
          <w:trHeight w:val="391"/>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Третья облигационная программа:</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99,444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99,446</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138,094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138,574</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134,844</w:t>
            </w:r>
          </w:p>
        </w:tc>
      </w:tr>
      <w:tr w:rsidR="00276CDB" w:rsidRPr="00802D35" w:rsidTr="0072554F">
        <w:trPr>
          <w:trHeight w:val="298"/>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Первый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51,039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51,04</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51,041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51,042</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51,042</w:t>
            </w:r>
          </w:p>
        </w:tc>
      </w:tr>
      <w:tr w:rsidR="00276CDB" w:rsidRPr="00802D35" w:rsidTr="0072554F">
        <w:trPr>
          <w:trHeight w:val="247"/>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Второй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48,405</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48,406</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48,408</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48,41</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48,41</w:t>
            </w:r>
          </w:p>
        </w:tc>
      </w:tr>
      <w:tr w:rsidR="00276CDB" w:rsidRPr="00802D35" w:rsidTr="0072554F">
        <w:trPr>
          <w:trHeight w:val="264"/>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rPr>
                <w:rFonts w:ascii="Times New Roman" w:hAnsi="Times New Roman" w:cs="Times New Roman"/>
                <w:color w:val="000000"/>
              </w:rPr>
            </w:pPr>
            <w:r w:rsidRPr="00802D35">
              <w:rPr>
                <w:rFonts w:ascii="Times New Roman" w:hAnsi="Times New Roman" w:cs="Times New Roman"/>
                <w:color w:val="000000"/>
              </w:rPr>
              <w:t>Третий выпуск</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0</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0</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38,645</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39,122</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35,392</w:t>
            </w:r>
          </w:p>
        </w:tc>
      </w:tr>
      <w:tr w:rsidR="00276CDB" w:rsidRPr="00802D35" w:rsidTr="0072554F">
        <w:trPr>
          <w:trHeight w:val="254"/>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Уставный капитал</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13,188</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8,509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8,509</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8,509</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color w:val="000000"/>
              </w:rPr>
              <w:t>8,509</w:t>
            </w:r>
          </w:p>
        </w:tc>
      </w:tr>
      <w:tr w:rsidR="00276CDB" w:rsidRPr="00802D35" w:rsidTr="0072554F">
        <w:trPr>
          <w:trHeight w:val="258"/>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Резервный капитал</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14,253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2,093</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1,661</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1,624</w:t>
            </w:r>
          </w:p>
        </w:tc>
        <w:tc>
          <w:tcPr>
            <w:tcW w:w="147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245,659</w:t>
            </w:r>
          </w:p>
        </w:tc>
      </w:tr>
      <w:tr w:rsidR="00276CDB" w:rsidRPr="00CB5CC3" w:rsidTr="0072554F">
        <w:trPr>
          <w:trHeight w:val="404"/>
        </w:trPr>
        <w:tc>
          <w:tcPr>
            <w:tcW w:w="2425"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both"/>
              <w:rPr>
                <w:rFonts w:ascii="Times New Roman" w:hAnsi="Times New Roman" w:cs="Times New Roman"/>
                <w:color w:val="000000"/>
              </w:rPr>
            </w:pPr>
            <w:r w:rsidRPr="00802D35">
              <w:rPr>
                <w:rFonts w:ascii="Times New Roman" w:hAnsi="Times New Roman" w:cs="Times New Roman"/>
                <w:bCs/>
                <w:color w:val="000000"/>
              </w:rPr>
              <w:t>Нераспределенная прибыль</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122,657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155,87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196,717</w:t>
            </w:r>
          </w:p>
        </w:tc>
        <w:tc>
          <w:tcPr>
            <w:tcW w:w="1474" w:type="dxa"/>
            <w:shd w:val="clear" w:color="auto" w:fill="auto"/>
            <w:tcMar>
              <w:top w:w="15" w:type="dxa"/>
              <w:left w:w="15" w:type="dxa"/>
              <w:bottom w:w="0" w:type="dxa"/>
              <w:right w:w="15" w:type="dxa"/>
            </w:tcMar>
            <w:vAlign w:val="center"/>
            <w:hideMark/>
          </w:tcPr>
          <w:p w:rsidR="00276CDB" w:rsidRPr="00802D35" w:rsidRDefault="00276CDB" w:rsidP="0072554F">
            <w:pPr>
              <w:spacing w:after="0" w:line="240" w:lineRule="auto"/>
              <w:jc w:val="center"/>
              <w:rPr>
                <w:rFonts w:ascii="Times New Roman" w:hAnsi="Times New Roman" w:cs="Times New Roman"/>
                <w:bCs/>
                <w:color w:val="000000"/>
              </w:rPr>
            </w:pPr>
            <w:r w:rsidRPr="00802D35">
              <w:rPr>
                <w:rFonts w:ascii="Times New Roman" w:hAnsi="Times New Roman" w:cs="Times New Roman"/>
                <w:bCs/>
                <w:color w:val="000000"/>
              </w:rPr>
              <w:t>252,146</w:t>
            </w:r>
          </w:p>
        </w:tc>
        <w:tc>
          <w:tcPr>
            <w:tcW w:w="1475" w:type="dxa"/>
            <w:shd w:val="clear" w:color="auto" w:fill="auto"/>
            <w:tcMar>
              <w:top w:w="15" w:type="dxa"/>
              <w:left w:w="15" w:type="dxa"/>
              <w:bottom w:w="0" w:type="dxa"/>
              <w:right w:w="15" w:type="dxa"/>
            </w:tcMar>
            <w:vAlign w:val="center"/>
            <w:hideMark/>
          </w:tcPr>
          <w:p w:rsidR="00276CDB" w:rsidRPr="00CB5CC3" w:rsidRDefault="00276CDB" w:rsidP="0072554F">
            <w:pPr>
              <w:spacing w:after="0" w:line="240" w:lineRule="auto"/>
              <w:jc w:val="center"/>
              <w:rPr>
                <w:rFonts w:ascii="Times New Roman" w:hAnsi="Times New Roman" w:cs="Times New Roman"/>
                <w:color w:val="000000"/>
              </w:rPr>
            </w:pPr>
            <w:r w:rsidRPr="00802D35">
              <w:rPr>
                <w:rFonts w:ascii="Times New Roman" w:hAnsi="Times New Roman" w:cs="Times New Roman"/>
                <w:bCs/>
                <w:color w:val="000000"/>
              </w:rPr>
              <w:t>239,378</w:t>
            </w:r>
          </w:p>
        </w:tc>
      </w:tr>
    </w:tbl>
    <w:p w:rsidR="00276CDB" w:rsidRPr="00CB5CC3" w:rsidRDefault="00276CDB" w:rsidP="00276CDB">
      <w:pPr>
        <w:spacing w:after="0" w:line="240" w:lineRule="auto"/>
        <w:rPr>
          <w:rStyle w:val="HTML"/>
          <w:rFonts w:ascii="Times New Roman" w:hAnsi="Times New Roman" w:cs="Times New Roman"/>
          <w:b/>
          <w:i w:val="0"/>
          <w:shd w:val="clear" w:color="auto" w:fill="FFFFFF"/>
        </w:rPr>
      </w:pPr>
    </w:p>
    <w:sectPr w:rsidR="00276CDB" w:rsidRPr="00CB5CC3" w:rsidSect="00F734C5">
      <w:footerReference w:type="default" r:id="rId13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C7E" w:rsidRDefault="00FF4C7E" w:rsidP="006F450F">
      <w:pPr>
        <w:spacing w:after="0" w:line="240" w:lineRule="auto"/>
      </w:pPr>
      <w:r>
        <w:separator/>
      </w:r>
    </w:p>
  </w:endnote>
  <w:endnote w:type="continuationSeparator" w:id="0">
    <w:p w:rsidR="00FF4C7E" w:rsidRDefault="00FF4C7E" w:rsidP="006F4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YandexSansText-Ligh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Georgia,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154525"/>
      <w:docPartObj>
        <w:docPartGallery w:val="Page Numbers (Bottom of Page)"/>
        <w:docPartUnique/>
      </w:docPartObj>
    </w:sdtPr>
    <w:sdtEndPr>
      <w:rPr>
        <w:rFonts w:ascii="Times New Roman" w:hAnsi="Times New Roman" w:cs="Times New Roman"/>
      </w:rPr>
    </w:sdtEndPr>
    <w:sdtContent>
      <w:p w:rsidR="000C2C64" w:rsidRDefault="00E525B2">
        <w:pPr>
          <w:pStyle w:val="ab"/>
          <w:jc w:val="center"/>
        </w:pPr>
        <w:r w:rsidRPr="005033EB">
          <w:rPr>
            <w:rFonts w:ascii="Times New Roman" w:hAnsi="Times New Roman" w:cs="Times New Roman"/>
          </w:rPr>
          <w:fldChar w:fldCharType="begin"/>
        </w:r>
        <w:r w:rsidR="000C2C64" w:rsidRPr="005033EB">
          <w:rPr>
            <w:rFonts w:ascii="Times New Roman" w:hAnsi="Times New Roman" w:cs="Times New Roman"/>
          </w:rPr>
          <w:instrText>PAGE   \* MERGEFORMAT</w:instrText>
        </w:r>
        <w:r w:rsidRPr="005033EB">
          <w:rPr>
            <w:rFonts w:ascii="Times New Roman" w:hAnsi="Times New Roman" w:cs="Times New Roman"/>
          </w:rPr>
          <w:fldChar w:fldCharType="separate"/>
        </w:r>
        <w:r w:rsidR="0067195B">
          <w:rPr>
            <w:rFonts w:ascii="Times New Roman" w:hAnsi="Times New Roman" w:cs="Times New Roman"/>
            <w:noProof/>
          </w:rPr>
          <w:t>1</w:t>
        </w:r>
        <w:r w:rsidRPr="005033EB">
          <w:rPr>
            <w:rFonts w:ascii="Times New Roman" w:hAnsi="Times New Roman" w:cs="Times New Roman"/>
            <w:noProof/>
          </w:rPr>
          <w:fldChar w:fldCharType="end"/>
        </w:r>
      </w:p>
    </w:sdtContent>
  </w:sdt>
  <w:p w:rsidR="000C2C64" w:rsidRDefault="000C2C6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C7E" w:rsidRDefault="00FF4C7E" w:rsidP="006F450F">
      <w:pPr>
        <w:spacing w:after="0" w:line="240" w:lineRule="auto"/>
      </w:pPr>
      <w:r>
        <w:separator/>
      </w:r>
    </w:p>
  </w:footnote>
  <w:footnote w:type="continuationSeparator" w:id="0">
    <w:p w:rsidR="00FF4C7E" w:rsidRDefault="00FF4C7E" w:rsidP="006F45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6113"/>
    <w:multiLevelType w:val="multilevel"/>
    <w:tmpl w:val="E1A2ADB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526436E"/>
    <w:multiLevelType w:val="multilevel"/>
    <w:tmpl w:val="22381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C04EA6"/>
    <w:multiLevelType w:val="hybridMultilevel"/>
    <w:tmpl w:val="533CAF92"/>
    <w:lvl w:ilvl="0" w:tplc="6F7A38C6">
      <w:start w:val="1"/>
      <w:numFmt w:val="decimal"/>
      <w:lvlText w:val="%1"/>
      <w:lvlJc w:val="left"/>
      <w:pPr>
        <w:ind w:left="928"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EBE3E71"/>
    <w:multiLevelType w:val="hybridMultilevel"/>
    <w:tmpl w:val="89C608B8"/>
    <w:lvl w:ilvl="0" w:tplc="64C09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D04F93"/>
    <w:multiLevelType w:val="hybridMultilevel"/>
    <w:tmpl w:val="DF847DCC"/>
    <w:lvl w:ilvl="0" w:tplc="A2B0AC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4829AB"/>
    <w:multiLevelType w:val="hybridMultilevel"/>
    <w:tmpl w:val="817AACE6"/>
    <w:lvl w:ilvl="0" w:tplc="64C09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E95287"/>
    <w:multiLevelType w:val="hybridMultilevel"/>
    <w:tmpl w:val="4BC09BC0"/>
    <w:lvl w:ilvl="0" w:tplc="A720E61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5875D2"/>
    <w:multiLevelType w:val="hybridMultilevel"/>
    <w:tmpl w:val="48CABB40"/>
    <w:lvl w:ilvl="0" w:tplc="FB463E8E">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CD937A4"/>
    <w:multiLevelType w:val="hybridMultilevel"/>
    <w:tmpl w:val="8E64272A"/>
    <w:lvl w:ilvl="0" w:tplc="64C09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8C1696"/>
    <w:multiLevelType w:val="hybridMultilevel"/>
    <w:tmpl w:val="6FD6D0B6"/>
    <w:lvl w:ilvl="0" w:tplc="64C09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BB1075"/>
    <w:multiLevelType w:val="hybridMultilevel"/>
    <w:tmpl w:val="0ABC367A"/>
    <w:lvl w:ilvl="0" w:tplc="64C09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361754"/>
    <w:multiLevelType w:val="hybridMultilevel"/>
    <w:tmpl w:val="4218E224"/>
    <w:lvl w:ilvl="0" w:tplc="64C09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E545DEC"/>
    <w:multiLevelType w:val="hybridMultilevel"/>
    <w:tmpl w:val="DE145A3C"/>
    <w:lvl w:ilvl="0" w:tplc="64C09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CE1BC7"/>
    <w:multiLevelType w:val="multilevel"/>
    <w:tmpl w:val="9E62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F56D0F"/>
    <w:multiLevelType w:val="hybridMultilevel"/>
    <w:tmpl w:val="DC68102A"/>
    <w:lvl w:ilvl="0" w:tplc="7BCE25B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CF94347"/>
    <w:multiLevelType w:val="hybridMultilevel"/>
    <w:tmpl w:val="60DA1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47717B"/>
    <w:multiLevelType w:val="hybridMultilevel"/>
    <w:tmpl w:val="A502C252"/>
    <w:lvl w:ilvl="0" w:tplc="64C09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236F3A"/>
    <w:multiLevelType w:val="hybridMultilevel"/>
    <w:tmpl w:val="08EA43CC"/>
    <w:lvl w:ilvl="0" w:tplc="17A0DD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5EB3BC7"/>
    <w:multiLevelType w:val="hybridMultilevel"/>
    <w:tmpl w:val="88685ECE"/>
    <w:lvl w:ilvl="0" w:tplc="C192905C">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3443F19"/>
    <w:multiLevelType w:val="hybridMultilevel"/>
    <w:tmpl w:val="A0D22576"/>
    <w:lvl w:ilvl="0" w:tplc="74F8D1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C923882"/>
    <w:multiLevelType w:val="multilevel"/>
    <w:tmpl w:val="12CA5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351F75"/>
    <w:multiLevelType w:val="hybridMultilevel"/>
    <w:tmpl w:val="E9A625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4E517B"/>
    <w:multiLevelType w:val="hybridMultilevel"/>
    <w:tmpl w:val="35B018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7"/>
  </w:num>
  <w:num w:numId="3">
    <w:abstractNumId w:val="5"/>
  </w:num>
  <w:num w:numId="4">
    <w:abstractNumId w:val="16"/>
  </w:num>
  <w:num w:numId="5">
    <w:abstractNumId w:val="11"/>
  </w:num>
  <w:num w:numId="6">
    <w:abstractNumId w:val="14"/>
  </w:num>
  <w:num w:numId="7">
    <w:abstractNumId w:val="4"/>
  </w:num>
  <w:num w:numId="8">
    <w:abstractNumId w:val="12"/>
  </w:num>
  <w:num w:numId="9">
    <w:abstractNumId w:val="10"/>
  </w:num>
  <w:num w:numId="10">
    <w:abstractNumId w:val="22"/>
  </w:num>
  <w:num w:numId="11">
    <w:abstractNumId w:val="21"/>
  </w:num>
  <w:num w:numId="12">
    <w:abstractNumId w:val="20"/>
  </w:num>
  <w:num w:numId="13">
    <w:abstractNumId w:val="3"/>
  </w:num>
  <w:num w:numId="14">
    <w:abstractNumId w:val="9"/>
  </w:num>
  <w:num w:numId="15">
    <w:abstractNumId w:val="8"/>
  </w:num>
  <w:num w:numId="16">
    <w:abstractNumId w:val="7"/>
  </w:num>
  <w:num w:numId="17">
    <w:abstractNumId w:val="19"/>
  </w:num>
  <w:num w:numId="18">
    <w:abstractNumId w:val="18"/>
  </w:num>
  <w:num w:numId="19">
    <w:abstractNumId w:val="6"/>
  </w:num>
  <w:num w:numId="20">
    <w:abstractNumId w:val="15"/>
  </w:num>
  <w:num w:numId="21">
    <w:abstractNumId w:val="1"/>
  </w:num>
  <w:num w:numId="22">
    <w:abstractNumId w:val="13"/>
  </w:num>
  <w:num w:numId="23">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B20"/>
    <w:rsid w:val="00021D66"/>
    <w:rsid w:val="0002221B"/>
    <w:rsid w:val="00026D5D"/>
    <w:rsid w:val="000306C6"/>
    <w:rsid w:val="00032905"/>
    <w:rsid w:val="00037024"/>
    <w:rsid w:val="00037068"/>
    <w:rsid w:val="00037C7D"/>
    <w:rsid w:val="00042208"/>
    <w:rsid w:val="0004220B"/>
    <w:rsid w:val="000442DC"/>
    <w:rsid w:val="00045670"/>
    <w:rsid w:val="000512A2"/>
    <w:rsid w:val="000527DF"/>
    <w:rsid w:val="00060E8B"/>
    <w:rsid w:val="00062553"/>
    <w:rsid w:val="00065D3F"/>
    <w:rsid w:val="00066AE8"/>
    <w:rsid w:val="0007447D"/>
    <w:rsid w:val="00081119"/>
    <w:rsid w:val="0008144C"/>
    <w:rsid w:val="000838EB"/>
    <w:rsid w:val="00084B13"/>
    <w:rsid w:val="000923A7"/>
    <w:rsid w:val="000A006A"/>
    <w:rsid w:val="000B0564"/>
    <w:rsid w:val="000B32C3"/>
    <w:rsid w:val="000C0E9B"/>
    <w:rsid w:val="000C2C64"/>
    <w:rsid w:val="000C6985"/>
    <w:rsid w:val="000D006C"/>
    <w:rsid w:val="000D6F14"/>
    <w:rsid w:val="000E40EF"/>
    <w:rsid w:val="000F120C"/>
    <w:rsid w:val="000F6BB7"/>
    <w:rsid w:val="001000A4"/>
    <w:rsid w:val="00105567"/>
    <w:rsid w:val="00106269"/>
    <w:rsid w:val="0010666A"/>
    <w:rsid w:val="00110EEC"/>
    <w:rsid w:val="00110F04"/>
    <w:rsid w:val="0011107A"/>
    <w:rsid w:val="001141F9"/>
    <w:rsid w:val="001146D9"/>
    <w:rsid w:val="00122551"/>
    <w:rsid w:val="00136CF5"/>
    <w:rsid w:val="00140AC7"/>
    <w:rsid w:val="00140E32"/>
    <w:rsid w:val="00146670"/>
    <w:rsid w:val="00165C6F"/>
    <w:rsid w:val="0017502D"/>
    <w:rsid w:val="00175DD1"/>
    <w:rsid w:val="00192619"/>
    <w:rsid w:val="001A1DF9"/>
    <w:rsid w:val="001A5956"/>
    <w:rsid w:val="001B2C89"/>
    <w:rsid w:val="001C0319"/>
    <w:rsid w:val="001C298D"/>
    <w:rsid w:val="001E4038"/>
    <w:rsid w:val="001E481A"/>
    <w:rsid w:val="001F0876"/>
    <w:rsid w:val="001F130A"/>
    <w:rsid w:val="001F55CA"/>
    <w:rsid w:val="001F60C1"/>
    <w:rsid w:val="0020075C"/>
    <w:rsid w:val="00203A4B"/>
    <w:rsid w:val="00203F73"/>
    <w:rsid w:val="00207FB4"/>
    <w:rsid w:val="00214EDA"/>
    <w:rsid w:val="0021562C"/>
    <w:rsid w:val="002222C6"/>
    <w:rsid w:val="00224499"/>
    <w:rsid w:val="00241595"/>
    <w:rsid w:val="00247188"/>
    <w:rsid w:val="00250629"/>
    <w:rsid w:val="00250E68"/>
    <w:rsid w:val="00260358"/>
    <w:rsid w:val="00263BA6"/>
    <w:rsid w:val="00266DF9"/>
    <w:rsid w:val="002739CE"/>
    <w:rsid w:val="002747E4"/>
    <w:rsid w:val="00276CDB"/>
    <w:rsid w:val="00276CEE"/>
    <w:rsid w:val="00277C12"/>
    <w:rsid w:val="002933D3"/>
    <w:rsid w:val="00295AD3"/>
    <w:rsid w:val="002A21FA"/>
    <w:rsid w:val="002A24DE"/>
    <w:rsid w:val="002D3186"/>
    <w:rsid w:val="002D50EA"/>
    <w:rsid w:val="002D6E92"/>
    <w:rsid w:val="002D7824"/>
    <w:rsid w:val="002E3B58"/>
    <w:rsid w:val="002F2F57"/>
    <w:rsid w:val="002F736B"/>
    <w:rsid w:val="002F73ED"/>
    <w:rsid w:val="00301BF0"/>
    <w:rsid w:val="003023BA"/>
    <w:rsid w:val="00314491"/>
    <w:rsid w:val="00317EE8"/>
    <w:rsid w:val="0032339D"/>
    <w:rsid w:val="003242C9"/>
    <w:rsid w:val="00333C3F"/>
    <w:rsid w:val="00337765"/>
    <w:rsid w:val="00344D1D"/>
    <w:rsid w:val="0034744D"/>
    <w:rsid w:val="00353732"/>
    <w:rsid w:val="00355518"/>
    <w:rsid w:val="003736B1"/>
    <w:rsid w:val="003739FF"/>
    <w:rsid w:val="003766D1"/>
    <w:rsid w:val="00384802"/>
    <w:rsid w:val="00390C18"/>
    <w:rsid w:val="00393F44"/>
    <w:rsid w:val="003959F5"/>
    <w:rsid w:val="0039710D"/>
    <w:rsid w:val="003B0FAF"/>
    <w:rsid w:val="003B762B"/>
    <w:rsid w:val="003D2DDA"/>
    <w:rsid w:val="003D6D72"/>
    <w:rsid w:val="003E1B10"/>
    <w:rsid w:val="003E39AC"/>
    <w:rsid w:val="003E4E00"/>
    <w:rsid w:val="003F0128"/>
    <w:rsid w:val="003F140C"/>
    <w:rsid w:val="003F3ACE"/>
    <w:rsid w:val="004114D3"/>
    <w:rsid w:val="004124D4"/>
    <w:rsid w:val="00414EEC"/>
    <w:rsid w:val="004174F9"/>
    <w:rsid w:val="00422E04"/>
    <w:rsid w:val="004248CA"/>
    <w:rsid w:val="00436547"/>
    <w:rsid w:val="004369E5"/>
    <w:rsid w:val="004376B2"/>
    <w:rsid w:val="00451246"/>
    <w:rsid w:val="00451AAD"/>
    <w:rsid w:val="0046134C"/>
    <w:rsid w:val="0046506A"/>
    <w:rsid w:val="004672E6"/>
    <w:rsid w:val="0047372A"/>
    <w:rsid w:val="0047425E"/>
    <w:rsid w:val="00482F22"/>
    <w:rsid w:val="0048621B"/>
    <w:rsid w:val="004A530B"/>
    <w:rsid w:val="004A69D0"/>
    <w:rsid w:val="004B1A93"/>
    <w:rsid w:val="004B554D"/>
    <w:rsid w:val="004B5EE0"/>
    <w:rsid w:val="004B763B"/>
    <w:rsid w:val="004C5B02"/>
    <w:rsid w:val="004D08BC"/>
    <w:rsid w:val="004D2738"/>
    <w:rsid w:val="004D4A08"/>
    <w:rsid w:val="004E38BC"/>
    <w:rsid w:val="004E769A"/>
    <w:rsid w:val="00501976"/>
    <w:rsid w:val="00502E9D"/>
    <w:rsid w:val="005033EB"/>
    <w:rsid w:val="005105A2"/>
    <w:rsid w:val="00511F5B"/>
    <w:rsid w:val="00515FD0"/>
    <w:rsid w:val="005215AC"/>
    <w:rsid w:val="0052647D"/>
    <w:rsid w:val="00526C3E"/>
    <w:rsid w:val="005318E9"/>
    <w:rsid w:val="005353A3"/>
    <w:rsid w:val="005368C9"/>
    <w:rsid w:val="005368DA"/>
    <w:rsid w:val="005402D8"/>
    <w:rsid w:val="00541CB9"/>
    <w:rsid w:val="00545113"/>
    <w:rsid w:val="00547692"/>
    <w:rsid w:val="00555A93"/>
    <w:rsid w:val="005647E1"/>
    <w:rsid w:val="00566FE4"/>
    <w:rsid w:val="00570283"/>
    <w:rsid w:val="00574D93"/>
    <w:rsid w:val="005801F7"/>
    <w:rsid w:val="00582E4F"/>
    <w:rsid w:val="00587AF0"/>
    <w:rsid w:val="00597986"/>
    <w:rsid w:val="005A6938"/>
    <w:rsid w:val="005B1EED"/>
    <w:rsid w:val="005C16C8"/>
    <w:rsid w:val="005C1C85"/>
    <w:rsid w:val="005D2DE0"/>
    <w:rsid w:val="005E07E0"/>
    <w:rsid w:val="005E0B99"/>
    <w:rsid w:val="005E3363"/>
    <w:rsid w:val="005E6346"/>
    <w:rsid w:val="005E6CD5"/>
    <w:rsid w:val="005F1CA2"/>
    <w:rsid w:val="005F2BA9"/>
    <w:rsid w:val="005F2F63"/>
    <w:rsid w:val="00601790"/>
    <w:rsid w:val="00603572"/>
    <w:rsid w:val="00607C8E"/>
    <w:rsid w:val="006249D9"/>
    <w:rsid w:val="00625215"/>
    <w:rsid w:val="00634D86"/>
    <w:rsid w:val="0064280C"/>
    <w:rsid w:val="00647679"/>
    <w:rsid w:val="00647687"/>
    <w:rsid w:val="00647FE1"/>
    <w:rsid w:val="006541ED"/>
    <w:rsid w:val="00655D8D"/>
    <w:rsid w:val="0065757A"/>
    <w:rsid w:val="0067195B"/>
    <w:rsid w:val="006742FB"/>
    <w:rsid w:val="0068042C"/>
    <w:rsid w:val="006805DC"/>
    <w:rsid w:val="006814E1"/>
    <w:rsid w:val="00684E8C"/>
    <w:rsid w:val="006A46B8"/>
    <w:rsid w:val="006A48DB"/>
    <w:rsid w:val="006A78C8"/>
    <w:rsid w:val="006B67E2"/>
    <w:rsid w:val="006C122C"/>
    <w:rsid w:val="006C1A58"/>
    <w:rsid w:val="006C3577"/>
    <w:rsid w:val="006C4F74"/>
    <w:rsid w:val="006C510A"/>
    <w:rsid w:val="006C5495"/>
    <w:rsid w:val="006C66D5"/>
    <w:rsid w:val="006D1430"/>
    <w:rsid w:val="006D6B18"/>
    <w:rsid w:val="006F450F"/>
    <w:rsid w:val="006F67A6"/>
    <w:rsid w:val="006F7644"/>
    <w:rsid w:val="00705DF2"/>
    <w:rsid w:val="007116C3"/>
    <w:rsid w:val="00715BCC"/>
    <w:rsid w:val="00717078"/>
    <w:rsid w:val="00720A37"/>
    <w:rsid w:val="00722725"/>
    <w:rsid w:val="00731625"/>
    <w:rsid w:val="00742E54"/>
    <w:rsid w:val="007467B0"/>
    <w:rsid w:val="00747706"/>
    <w:rsid w:val="00753E02"/>
    <w:rsid w:val="00754D72"/>
    <w:rsid w:val="0076281C"/>
    <w:rsid w:val="00766418"/>
    <w:rsid w:val="00767987"/>
    <w:rsid w:val="00780E4B"/>
    <w:rsid w:val="0078179A"/>
    <w:rsid w:val="007845A6"/>
    <w:rsid w:val="00785683"/>
    <w:rsid w:val="00785C62"/>
    <w:rsid w:val="0079075C"/>
    <w:rsid w:val="00795EF7"/>
    <w:rsid w:val="00797D9F"/>
    <w:rsid w:val="007A607C"/>
    <w:rsid w:val="007C4213"/>
    <w:rsid w:val="007D3D7C"/>
    <w:rsid w:val="007D41A6"/>
    <w:rsid w:val="007D5570"/>
    <w:rsid w:val="007E3263"/>
    <w:rsid w:val="007E5FC9"/>
    <w:rsid w:val="007F020B"/>
    <w:rsid w:val="00802735"/>
    <w:rsid w:val="00802D35"/>
    <w:rsid w:val="0082165D"/>
    <w:rsid w:val="00825631"/>
    <w:rsid w:val="008275B2"/>
    <w:rsid w:val="00827F69"/>
    <w:rsid w:val="00831B2F"/>
    <w:rsid w:val="0084280D"/>
    <w:rsid w:val="00842BBA"/>
    <w:rsid w:val="00844791"/>
    <w:rsid w:val="00847B58"/>
    <w:rsid w:val="00863B83"/>
    <w:rsid w:val="00864667"/>
    <w:rsid w:val="00865452"/>
    <w:rsid w:val="00874F01"/>
    <w:rsid w:val="0089009E"/>
    <w:rsid w:val="008927F2"/>
    <w:rsid w:val="008974DB"/>
    <w:rsid w:val="008A34B3"/>
    <w:rsid w:val="008A412D"/>
    <w:rsid w:val="008B3972"/>
    <w:rsid w:val="008B5835"/>
    <w:rsid w:val="008B5961"/>
    <w:rsid w:val="008B5C25"/>
    <w:rsid w:val="008B68BE"/>
    <w:rsid w:val="008C0E8A"/>
    <w:rsid w:val="008C4FDD"/>
    <w:rsid w:val="008C551F"/>
    <w:rsid w:val="008D0E38"/>
    <w:rsid w:val="008D3B7A"/>
    <w:rsid w:val="008D41F9"/>
    <w:rsid w:val="008D5987"/>
    <w:rsid w:val="008E64EA"/>
    <w:rsid w:val="008E66F3"/>
    <w:rsid w:val="008F19F5"/>
    <w:rsid w:val="008F4933"/>
    <w:rsid w:val="00901F1C"/>
    <w:rsid w:val="009262CC"/>
    <w:rsid w:val="00935D62"/>
    <w:rsid w:val="009454E2"/>
    <w:rsid w:val="00945E89"/>
    <w:rsid w:val="00957B03"/>
    <w:rsid w:val="009630C2"/>
    <w:rsid w:val="009751AF"/>
    <w:rsid w:val="00977472"/>
    <w:rsid w:val="00981C18"/>
    <w:rsid w:val="00982888"/>
    <w:rsid w:val="00983096"/>
    <w:rsid w:val="00984095"/>
    <w:rsid w:val="0098784B"/>
    <w:rsid w:val="009967CC"/>
    <w:rsid w:val="00997C4A"/>
    <w:rsid w:val="009A14E9"/>
    <w:rsid w:val="009A4A01"/>
    <w:rsid w:val="009C1718"/>
    <w:rsid w:val="009C21CD"/>
    <w:rsid w:val="009C3397"/>
    <w:rsid w:val="009C4B53"/>
    <w:rsid w:val="009C6605"/>
    <w:rsid w:val="009D0146"/>
    <w:rsid w:val="009D56B6"/>
    <w:rsid w:val="009E1E17"/>
    <w:rsid w:val="009E3BAB"/>
    <w:rsid w:val="00A01C0D"/>
    <w:rsid w:val="00A02AE0"/>
    <w:rsid w:val="00A0367A"/>
    <w:rsid w:val="00A157C9"/>
    <w:rsid w:val="00A24282"/>
    <w:rsid w:val="00A27CAB"/>
    <w:rsid w:val="00A31DAB"/>
    <w:rsid w:val="00A41D78"/>
    <w:rsid w:val="00A42576"/>
    <w:rsid w:val="00A46A9A"/>
    <w:rsid w:val="00A54C61"/>
    <w:rsid w:val="00A54D95"/>
    <w:rsid w:val="00A60D25"/>
    <w:rsid w:val="00A6386F"/>
    <w:rsid w:val="00A63EDD"/>
    <w:rsid w:val="00A66463"/>
    <w:rsid w:val="00A75411"/>
    <w:rsid w:val="00A856A5"/>
    <w:rsid w:val="00A86E4B"/>
    <w:rsid w:val="00A874FD"/>
    <w:rsid w:val="00A92D3D"/>
    <w:rsid w:val="00A97B4E"/>
    <w:rsid w:val="00AA0C68"/>
    <w:rsid w:val="00AB0F7C"/>
    <w:rsid w:val="00AC1FDC"/>
    <w:rsid w:val="00AE4B79"/>
    <w:rsid w:val="00AE5C24"/>
    <w:rsid w:val="00AF0168"/>
    <w:rsid w:val="00AF111D"/>
    <w:rsid w:val="00B044F1"/>
    <w:rsid w:val="00B04512"/>
    <w:rsid w:val="00B048A0"/>
    <w:rsid w:val="00B06328"/>
    <w:rsid w:val="00B1174D"/>
    <w:rsid w:val="00B159E7"/>
    <w:rsid w:val="00B20147"/>
    <w:rsid w:val="00B2666A"/>
    <w:rsid w:val="00B309FA"/>
    <w:rsid w:val="00B33046"/>
    <w:rsid w:val="00B35480"/>
    <w:rsid w:val="00B455DF"/>
    <w:rsid w:val="00B46C53"/>
    <w:rsid w:val="00B518BE"/>
    <w:rsid w:val="00B5617B"/>
    <w:rsid w:val="00B62334"/>
    <w:rsid w:val="00B6441D"/>
    <w:rsid w:val="00B669E0"/>
    <w:rsid w:val="00B66F2B"/>
    <w:rsid w:val="00B67851"/>
    <w:rsid w:val="00B74058"/>
    <w:rsid w:val="00B8125A"/>
    <w:rsid w:val="00B814F1"/>
    <w:rsid w:val="00B83588"/>
    <w:rsid w:val="00B86C5F"/>
    <w:rsid w:val="00B874E3"/>
    <w:rsid w:val="00B91C78"/>
    <w:rsid w:val="00B92E5F"/>
    <w:rsid w:val="00BA2E03"/>
    <w:rsid w:val="00BB0384"/>
    <w:rsid w:val="00BC216B"/>
    <w:rsid w:val="00BD3864"/>
    <w:rsid w:val="00BE53CD"/>
    <w:rsid w:val="00BE5F71"/>
    <w:rsid w:val="00BF1391"/>
    <w:rsid w:val="00BF2BE9"/>
    <w:rsid w:val="00BF65B9"/>
    <w:rsid w:val="00BF65C5"/>
    <w:rsid w:val="00BF6EE7"/>
    <w:rsid w:val="00C06068"/>
    <w:rsid w:val="00C10E6E"/>
    <w:rsid w:val="00C11330"/>
    <w:rsid w:val="00C13E6F"/>
    <w:rsid w:val="00C1793E"/>
    <w:rsid w:val="00C21A73"/>
    <w:rsid w:val="00C22913"/>
    <w:rsid w:val="00C273FF"/>
    <w:rsid w:val="00C340DD"/>
    <w:rsid w:val="00C37AAD"/>
    <w:rsid w:val="00C44DB4"/>
    <w:rsid w:val="00C46FE2"/>
    <w:rsid w:val="00C471CA"/>
    <w:rsid w:val="00C4761F"/>
    <w:rsid w:val="00C51829"/>
    <w:rsid w:val="00C55EA9"/>
    <w:rsid w:val="00C641B0"/>
    <w:rsid w:val="00C67E6E"/>
    <w:rsid w:val="00C9406D"/>
    <w:rsid w:val="00CA1B46"/>
    <w:rsid w:val="00CA1BF8"/>
    <w:rsid w:val="00CA75FC"/>
    <w:rsid w:val="00CB5030"/>
    <w:rsid w:val="00CB5CC3"/>
    <w:rsid w:val="00CC21B4"/>
    <w:rsid w:val="00CC46D0"/>
    <w:rsid w:val="00CC6646"/>
    <w:rsid w:val="00CD0B20"/>
    <w:rsid w:val="00CD3ADB"/>
    <w:rsid w:val="00CD7A79"/>
    <w:rsid w:val="00CE0341"/>
    <w:rsid w:val="00CE321A"/>
    <w:rsid w:val="00CE44F2"/>
    <w:rsid w:val="00CF6E8A"/>
    <w:rsid w:val="00D00892"/>
    <w:rsid w:val="00D02CF8"/>
    <w:rsid w:val="00D10127"/>
    <w:rsid w:val="00D24DA2"/>
    <w:rsid w:val="00D51A69"/>
    <w:rsid w:val="00D54358"/>
    <w:rsid w:val="00D55CF1"/>
    <w:rsid w:val="00D66E73"/>
    <w:rsid w:val="00D72164"/>
    <w:rsid w:val="00D76041"/>
    <w:rsid w:val="00D76AD9"/>
    <w:rsid w:val="00D776AC"/>
    <w:rsid w:val="00D82B8C"/>
    <w:rsid w:val="00D84381"/>
    <w:rsid w:val="00D924BC"/>
    <w:rsid w:val="00D955C5"/>
    <w:rsid w:val="00D95C87"/>
    <w:rsid w:val="00DA2BEE"/>
    <w:rsid w:val="00DA4B2D"/>
    <w:rsid w:val="00DA7721"/>
    <w:rsid w:val="00DC1F69"/>
    <w:rsid w:val="00DD0913"/>
    <w:rsid w:val="00DD1B67"/>
    <w:rsid w:val="00DD3156"/>
    <w:rsid w:val="00DD4E0B"/>
    <w:rsid w:val="00DE0147"/>
    <w:rsid w:val="00DE0B00"/>
    <w:rsid w:val="00DE1257"/>
    <w:rsid w:val="00DE33E7"/>
    <w:rsid w:val="00DF3C40"/>
    <w:rsid w:val="00E03DAD"/>
    <w:rsid w:val="00E14F7D"/>
    <w:rsid w:val="00E213B4"/>
    <w:rsid w:val="00E24558"/>
    <w:rsid w:val="00E25DE9"/>
    <w:rsid w:val="00E361BD"/>
    <w:rsid w:val="00E40DE9"/>
    <w:rsid w:val="00E44B78"/>
    <w:rsid w:val="00E46F4B"/>
    <w:rsid w:val="00E47004"/>
    <w:rsid w:val="00E5013A"/>
    <w:rsid w:val="00E525B2"/>
    <w:rsid w:val="00E605A2"/>
    <w:rsid w:val="00E6194F"/>
    <w:rsid w:val="00E61B97"/>
    <w:rsid w:val="00E704E1"/>
    <w:rsid w:val="00E72D2F"/>
    <w:rsid w:val="00E73210"/>
    <w:rsid w:val="00E741DC"/>
    <w:rsid w:val="00E7545F"/>
    <w:rsid w:val="00E836FC"/>
    <w:rsid w:val="00E97595"/>
    <w:rsid w:val="00E97FF6"/>
    <w:rsid w:val="00EB3EAF"/>
    <w:rsid w:val="00EB4B6D"/>
    <w:rsid w:val="00EC0125"/>
    <w:rsid w:val="00EE3CAF"/>
    <w:rsid w:val="00EE5044"/>
    <w:rsid w:val="00EE72C7"/>
    <w:rsid w:val="00EF4086"/>
    <w:rsid w:val="00EF5600"/>
    <w:rsid w:val="00F3665C"/>
    <w:rsid w:val="00F433D8"/>
    <w:rsid w:val="00F528FB"/>
    <w:rsid w:val="00F62A6D"/>
    <w:rsid w:val="00F66973"/>
    <w:rsid w:val="00F734C5"/>
    <w:rsid w:val="00F74EE3"/>
    <w:rsid w:val="00F77E14"/>
    <w:rsid w:val="00F86901"/>
    <w:rsid w:val="00F9119E"/>
    <w:rsid w:val="00F91262"/>
    <w:rsid w:val="00F92820"/>
    <w:rsid w:val="00FC792F"/>
    <w:rsid w:val="00FD338E"/>
    <w:rsid w:val="00FE0580"/>
    <w:rsid w:val="00FE1D93"/>
    <w:rsid w:val="00FE6D9D"/>
    <w:rsid w:val="00FE7F5B"/>
    <w:rsid w:val="00FF2A49"/>
    <w:rsid w:val="00FF4C7E"/>
    <w:rsid w:val="00FF6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74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C17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474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744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C17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4744D"/>
    <w:rPr>
      <w:rFonts w:asciiTheme="majorHAnsi" w:eastAsiaTheme="majorEastAsia" w:hAnsiTheme="majorHAnsi" w:cstheme="majorBidi"/>
      <w:b/>
      <w:bCs/>
      <w:color w:val="4F81BD" w:themeColor="accent1"/>
    </w:rPr>
  </w:style>
  <w:style w:type="paragraph" w:styleId="a3">
    <w:name w:val="List Paragraph"/>
    <w:basedOn w:val="a"/>
    <w:link w:val="a4"/>
    <w:uiPriority w:val="34"/>
    <w:qFormat/>
    <w:rsid w:val="00CD0B20"/>
    <w:pPr>
      <w:ind w:left="720"/>
      <w:contextualSpacing/>
    </w:pPr>
  </w:style>
  <w:style w:type="character" w:customStyle="1" w:styleId="a4">
    <w:name w:val="Абзац списка Знак"/>
    <w:link w:val="a3"/>
    <w:uiPriority w:val="34"/>
    <w:rsid w:val="00603572"/>
  </w:style>
  <w:style w:type="character" w:styleId="a5">
    <w:name w:val="Emphasis"/>
    <w:basedOn w:val="a0"/>
    <w:uiPriority w:val="20"/>
    <w:qFormat/>
    <w:rsid w:val="00037024"/>
    <w:rPr>
      <w:i/>
      <w:iCs/>
    </w:rPr>
  </w:style>
  <w:style w:type="character" w:customStyle="1" w:styleId="hvr">
    <w:name w:val="hvr"/>
    <w:basedOn w:val="a0"/>
    <w:rsid w:val="009C1718"/>
  </w:style>
  <w:style w:type="character" w:styleId="a6">
    <w:name w:val="Hyperlink"/>
    <w:basedOn w:val="a0"/>
    <w:uiPriority w:val="99"/>
    <w:unhideWhenUsed/>
    <w:rsid w:val="009C1718"/>
    <w:rPr>
      <w:color w:val="0000FF"/>
      <w:u w:val="single"/>
    </w:rPr>
  </w:style>
  <w:style w:type="paragraph" w:styleId="a7">
    <w:name w:val="Normal (Web)"/>
    <w:aliases w:val="Обычный (Web) Знак,Обычный (Web) Знак Знак,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4 Зна"/>
    <w:basedOn w:val="a"/>
    <w:link w:val="a8"/>
    <w:uiPriority w:val="99"/>
    <w:unhideWhenUsed/>
    <w:qFormat/>
    <w:rsid w:val="009C1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Web) Знак Знак1,Обычный (Web) Знак Знак Знак,Обычный (Web)1 Знак,Знак Знак3 Знак,Обычный (Web) Знак1,Обычный (веб) Знак1 Знак,Обычный (веб) Знак Знак1 Знак,Знак Знак1 Знак Знак1,Обычный (веб) Знак Знак Знак Знак1"/>
    <w:link w:val="a7"/>
    <w:uiPriority w:val="99"/>
    <w:rsid w:val="00603572"/>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6F450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F450F"/>
  </w:style>
  <w:style w:type="paragraph" w:styleId="ab">
    <w:name w:val="footer"/>
    <w:basedOn w:val="a"/>
    <w:link w:val="ac"/>
    <w:uiPriority w:val="99"/>
    <w:unhideWhenUsed/>
    <w:rsid w:val="006F450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F450F"/>
  </w:style>
  <w:style w:type="paragraph" w:styleId="ad">
    <w:name w:val="Balloon Text"/>
    <w:basedOn w:val="a"/>
    <w:link w:val="ae"/>
    <w:uiPriority w:val="99"/>
    <w:semiHidden/>
    <w:unhideWhenUsed/>
    <w:rsid w:val="00277C1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77C12"/>
    <w:rPr>
      <w:rFonts w:ascii="Tahoma" w:hAnsi="Tahoma" w:cs="Tahoma"/>
      <w:sz w:val="16"/>
      <w:szCs w:val="16"/>
    </w:rPr>
  </w:style>
  <w:style w:type="character" w:customStyle="1" w:styleId="currentdocdiv">
    <w:name w:val="currentdocdiv"/>
    <w:basedOn w:val="a0"/>
    <w:rsid w:val="000838EB"/>
  </w:style>
  <w:style w:type="character" w:styleId="af">
    <w:name w:val="Strong"/>
    <w:basedOn w:val="a0"/>
    <w:uiPriority w:val="22"/>
    <w:qFormat/>
    <w:rsid w:val="00F77E14"/>
    <w:rPr>
      <w:b/>
      <w:bCs/>
    </w:rPr>
  </w:style>
  <w:style w:type="character" w:styleId="af0">
    <w:name w:val="Placeholder Text"/>
    <w:basedOn w:val="a0"/>
    <w:uiPriority w:val="99"/>
    <w:semiHidden/>
    <w:rsid w:val="0089009E"/>
    <w:rPr>
      <w:color w:val="808080"/>
    </w:rPr>
  </w:style>
  <w:style w:type="table" w:styleId="af1">
    <w:name w:val="Table Grid"/>
    <w:basedOn w:val="a1"/>
    <w:uiPriority w:val="59"/>
    <w:rsid w:val="00D84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28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2">
    <w:name w:val="Основной текст Знак"/>
    <w:basedOn w:val="a0"/>
    <w:link w:val="af3"/>
    <w:uiPriority w:val="1"/>
    <w:locked/>
    <w:rsid w:val="00603572"/>
    <w:rPr>
      <w:rFonts w:cs="Times New Roman"/>
      <w:sz w:val="28"/>
    </w:rPr>
  </w:style>
  <w:style w:type="paragraph" w:styleId="af3">
    <w:name w:val="Body Text"/>
    <w:basedOn w:val="a"/>
    <w:link w:val="af2"/>
    <w:uiPriority w:val="1"/>
    <w:qFormat/>
    <w:rsid w:val="00603572"/>
    <w:pPr>
      <w:spacing w:after="0" w:line="240" w:lineRule="auto"/>
    </w:pPr>
    <w:rPr>
      <w:rFonts w:cs="Times New Roman"/>
      <w:sz w:val="28"/>
    </w:rPr>
  </w:style>
  <w:style w:type="character" w:customStyle="1" w:styleId="11">
    <w:name w:val="Основной текст Знак1"/>
    <w:basedOn w:val="a0"/>
    <w:uiPriority w:val="99"/>
    <w:semiHidden/>
    <w:rsid w:val="00603572"/>
  </w:style>
  <w:style w:type="character" w:styleId="HTML">
    <w:name w:val="HTML Variable"/>
    <w:basedOn w:val="a0"/>
    <w:uiPriority w:val="99"/>
    <w:semiHidden/>
    <w:unhideWhenUsed/>
    <w:rsid w:val="00603572"/>
    <w:rPr>
      <w:i/>
      <w:iCs/>
    </w:rPr>
  </w:style>
  <w:style w:type="character" w:customStyle="1" w:styleId="s1">
    <w:name w:val="s1"/>
    <w:basedOn w:val="a0"/>
    <w:rsid w:val="00603572"/>
  </w:style>
  <w:style w:type="character" w:customStyle="1" w:styleId="s0">
    <w:name w:val="s0"/>
    <w:basedOn w:val="a0"/>
    <w:rsid w:val="00603572"/>
  </w:style>
  <w:style w:type="character" w:customStyle="1" w:styleId="s2">
    <w:name w:val="s2"/>
    <w:basedOn w:val="a0"/>
    <w:rsid w:val="00603572"/>
  </w:style>
  <w:style w:type="character" w:customStyle="1" w:styleId="hs-cta-node">
    <w:name w:val="hs-cta-node"/>
    <w:basedOn w:val="a0"/>
    <w:rsid w:val="00603572"/>
  </w:style>
  <w:style w:type="character" w:customStyle="1" w:styleId="formula">
    <w:name w:val="formula"/>
    <w:basedOn w:val="a0"/>
    <w:rsid w:val="00603572"/>
  </w:style>
  <w:style w:type="character" w:customStyle="1" w:styleId="indx">
    <w:name w:val="indx"/>
    <w:basedOn w:val="a0"/>
    <w:rsid w:val="00603572"/>
  </w:style>
  <w:style w:type="character" w:customStyle="1" w:styleId="mwe-math-mathml-inline">
    <w:name w:val="mwe-math-mathml-inline"/>
    <w:basedOn w:val="a0"/>
    <w:rsid w:val="00603572"/>
  </w:style>
  <w:style w:type="character" w:customStyle="1" w:styleId="reference-text">
    <w:name w:val="reference-text"/>
    <w:basedOn w:val="a0"/>
    <w:rsid w:val="00603572"/>
  </w:style>
  <w:style w:type="character" w:styleId="HTML0">
    <w:name w:val="HTML Cite"/>
    <w:basedOn w:val="a0"/>
    <w:uiPriority w:val="99"/>
    <w:semiHidden/>
    <w:unhideWhenUsed/>
    <w:rsid w:val="00603572"/>
    <w:rPr>
      <w:i/>
      <w:iCs/>
    </w:rPr>
  </w:style>
  <w:style w:type="character" w:customStyle="1" w:styleId="cs1-lock-free">
    <w:name w:val="cs1-lock-free"/>
    <w:basedOn w:val="a0"/>
    <w:rsid w:val="00603572"/>
  </w:style>
  <w:style w:type="character" w:customStyle="1" w:styleId="mw-cite-backlink">
    <w:name w:val="mw-cite-backlink"/>
    <w:basedOn w:val="a0"/>
    <w:rsid w:val="00603572"/>
  </w:style>
  <w:style w:type="character" w:customStyle="1" w:styleId="nowrap">
    <w:name w:val="nowrap"/>
    <w:basedOn w:val="a0"/>
    <w:rsid w:val="00603572"/>
  </w:style>
  <w:style w:type="paragraph" w:customStyle="1" w:styleId="kr">
    <w:name w:val="kr"/>
    <w:basedOn w:val="a"/>
    <w:rsid w:val="006035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ifyfull">
    <w:name w:val="justifyfull"/>
    <w:basedOn w:val="a"/>
    <w:rsid w:val="006035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mailrucssattributepostfix">
    <w:name w:val="s6_mailru_css_attribute_postfix"/>
    <w:basedOn w:val="a0"/>
    <w:rsid w:val="00603572"/>
  </w:style>
  <w:style w:type="paragraph" w:customStyle="1" w:styleId="TableParagraph">
    <w:name w:val="Table Paragraph"/>
    <w:basedOn w:val="a"/>
    <w:uiPriority w:val="1"/>
    <w:qFormat/>
    <w:rsid w:val="00603572"/>
    <w:pPr>
      <w:widowControl w:val="0"/>
      <w:autoSpaceDE w:val="0"/>
      <w:autoSpaceDN w:val="0"/>
      <w:spacing w:after="0" w:line="240" w:lineRule="auto"/>
    </w:pPr>
    <w:rPr>
      <w:rFonts w:ascii="Verdana" w:eastAsia="Verdana" w:hAnsi="Verdana" w:cs="Verdana"/>
    </w:rPr>
  </w:style>
  <w:style w:type="table" w:customStyle="1" w:styleId="TableNormal">
    <w:name w:val="Table Normal"/>
    <w:uiPriority w:val="2"/>
    <w:semiHidden/>
    <w:unhideWhenUsed/>
    <w:qFormat/>
    <w:rsid w:val="006035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l">
    <w:name w:val="hl"/>
    <w:basedOn w:val="a0"/>
    <w:rsid w:val="00FE1D93"/>
  </w:style>
  <w:style w:type="paragraph" w:customStyle="1" w:styleId="q-text">
    <w:name w:val="q-text"/>
    <w:basedOn w:val="a"/>
    <w:rsid w:val="00E40D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74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C17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474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744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C17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4744D"/>
    <w:rPr>
      <w:rFonts w:asciiTheme="majorHAnsi" w:eastAsiaTheme="majorEastAsia" w:hAnsiTheme="majorHAnsi" w:cstheme="majorBidi"/>
      <w:b/>
      <w:bCs/>
      <w:color w:val="4F81BD" w:themeColor="accent1"/>
    </w:rPr>
  </w:style>
  <w:style w:type="paragraph" w:styleId="a3">
    <w:name w:val="List Paragraph"/>
    <w:basedOn w:val="a"/>
    <w:link w:val="a4"/>
    <w:uiPriority w:val="34"/>
    <w:qFormat/>
    <w:rsid w:val="00CD0B20"/>
    <w:pPr>
      <w:ind w:left="720"/>
      <w:contextualSpacing/>
    </w:pPr>
  </w:style>
  <w:style w:type="character" w:customStyle="1" w:styleId="a4">
    <w:name w:val="Абзац списка Знак"/>
    <w:link w:val="a3"/>
    <w:uiPriority w:val="34"/>
    <w:rsid w:val="00603572"/>
  </w:style>
  <w:style w:type="character" w:styleId="a5">
    <w:name w:val="Emphasis"/>
    <w:basedOn w:val="a0"/>
    <w:uiPriority w:val="20"/>
    <w:qFormat/>
    <w:rsid w:val="00037024"/>
    <w:rPr>
      <w:i/>
      <w:iCs/>
    </w:rPr>
  </w:style>
  <w:style w:type="character" w:customStyle="1" w:styleId="hvr">
    <w:name w:val="hvr"/>
    <w:basedOn w:val="a0"/>
    <w:rsid w:val="009C1718"/>
  </w:style>
  <w:style w:type="character" w:styleId="a6">
    <w:name w:val="Hyperlink"/>
    <w:basedOn w:val="a0"/>
    <w:uiPriority w:val="99"/>
    <w:unhideWhenUsed/>
    <w:rsid w:val="009C1718"/>
    <w:rPr>
      <w:color w:val="0000FF"/>
      <w:u w:val="single"/>
    </w:rPr>
  </w:style>
  <w:style w:type="paragraph" w:styleId="a7">
    <w:name w:val="Normal (Web)"/>
    <w:aliases w:val="Обычный (Web) Знак,Обычный (Web) Знак Знак,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4 Зна"/>
    <w:basedOn w:val="a"/>
    <w:link w:val="a8"/>
    <w:uiPriority w:val="99"/>
    <w:unhideWhenUsed/>
    <w:qFormat/>
    <w:rsid w:val="009C1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Web) Знак Знак1,Обычный (Web) Знак Знак Знак,Обычный (Web)1 Знак,Знак Знак3 Знак,Обычный (Web) Знак1,Обычный (веб) Знак1 Знак,Обычный (веб) Знак Знак1 Знак,Знак Знак1 Знак Знак1,Обычный (веб) Знак Знак Знак Знак1"/>
    <w:link w:val="a7"/>
    <w:uiPriority w:val="99"/>
    <w:rsid w:val="00603572"/>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6F450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F450F"/>
  </w:style>
  <w:style w:type="paragraph" w:styleId="ab">
    <w:name w:val="footer"/>
    <w:basedOn w:val="a"/>
    <w:link w:val="ac"/>
    <w:uiPriority w:val="99"/>
    <w:unhideWhenUsed/>
    <w:rsid w:val="006F450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F450F"/>
  </w:style>
  <w:style w:type="paragraph" w:styleId="ad">
    <w:name w:val="Balloon Text"/>
    <w:basedOn w:val="a"/>
    <w:link w:val="ae"/>
    <w:uiPriority w:val="99"/>
    <w:semiHidden/>
    <w:unhideWhenUsed/>
    <w:rsid w:val="00277C1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77C12"/>
    <w:rPr>
      <w:rFonts w:ascii="Tahoma" w:hAnsi="Tahoma" w:cs="Tahoma"/>
      <w:sz w:val="16"/>
      <w:szCs w:val="16"/>
    </w:rPr>
  </w:style>
  <w:style w:type="character" w:customStyle="1" w:styleId="currentdocdiv">
    <w:name w:val="currentdocdiv"/>
    <w:basedOn w:val="a0"/>
    <w:rsid w:val="000838EB"/>
  </w:style>
  <w:style w:type="character" w:styleId="af">
    <w:name w:val="Strong"/>
    <w:basedOn w:val="a0"/>
    <w:uiPriority w:val="22"/>
    <w:qFormat/>
    <w:rsid w:val="00F77E14"/>
    <w:rPr>
      <w:b/>
      <w:bCs/>
    </w:rPr>
  </w:style>
  <w:style w:type="character" w:styleId="af0">
    <w:name w:val="Placeholder Text"/>
    <w:basedOn w:val="a0"/>
    <w:uiPriority w:val="99"/>
    <w:semiHidden/>
    <w:rsid w:val="0089009E"/>
    <w:rPr>
      <w:color w:val="808080"/>
    </w:rPr>
  </w:style>
  <w:style w:type="table" w:styleId="af1">
    <w:name w:val="Table Grid"/>
    <w:basedOn w:val="a1"/>
    <w:uiPriority w:val="59"/>
    <w:rsid w:val="00D84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28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2">
    <w:name w:val="Основной текст Знак"/>
    <w:basedOn w:val="a0"/>
    <w:link w:val="af3"/>
    <w:uiPriority w:val="1"/>
    <w:locked/>
    <w:rsid w:val="00603572"/>
    <w:rPr>
      <w:rFonts w:cs="Times New Roman"/>
      <w:sz w:val="28"/>
    </w:rPr>
  </w:style>
  <w:style w:type="paragraph" w:styleId="af3">
    <w:name w:val="Body Text"/>
    <w:basedOn w:val="a"/>
    <w:link w:val="af2"/>
    <w:uiPriority w:val="1"/>
    <w:qFormat/>
    <w:rsid w:val="00603572"/>
    <w:pPr>
      <w:spacing w:after="0" w:line="240" w:lineRule="auto"/>
    </w:pPr>
    <w:rPr>
      <w:rFonts w:cs="Times New Roman"/>
      <w:sz w:val="28"/>
    </w:rPr>
  </w:style>
  <w:style w:type="character" w:customStyle="1" w:styleId="11">
    <w:name w:val="Основной текст Знак1"/>
    <w:basedOn w:val="a0"/>
    <w:uiPriority w:val="99"/>
    <w:semiHidden/>
    <w:rsid w:val="00603572"/>
  </w:style>
  <w:style w:type="character" w:styleId="HTML">
    <w:name w:val="HTML Variable"/>
    <w:basedOn w:val="a0"/>
    <w:uiPriority w:val="99"/>
    <w:semiHidden/>
    <w:unhideWhenUsed/>
    <w:rsid w:val="00603572"/>
    <w:rPr>
      <w:i/>
      <w:iCs/>
    </w:rPr>
  </w:style>
  <w:style w:type="character" w:customStyle="1" w:styleId="s1">
    <w:name w:val="s1"/>
    <w:basedOn w:val="a0"/>
    <w:rsid w:val="00603572"/>
  </w:style>
  <w:style w:type="character" w:customStyle="1" w:styleId="s0">
    <w:name w:val="s0"/>
    <w:basedOn w:val="a0"/>
    <w:rsid w:val="00603572"/>
  </w:style>
  <w:style w:type="character" w:customStyle="1" w:styleId="s2">
    <w:name w:val="s2"/>
    <w:basedOn w:val="a0"/>
    <w:rsid w:val="00603572"/>
  </w:style>
  <w:style w:type="character" w:customStyle="1" w:styleId="hs-cta-node">
    <w:name w:val="hs-cta-node"/>
    <w:basedOn w:val="a0"/>
    <w:rsid w:val="00603572"/>
  </w:style>
  <w:style w:type="character" w:customStyle="1" w:styleId="formula">
    <w:name w:val="formula"/>
    <w:basedOn w:val="a0"/>
    <w:rsid w:val="00603572"/>
  </w:style>
  <w:style w:type="character" w:customStyle="1" w:styleId="indx">
    <w:name w:val="indx"/>
    <w:basedOn w:val="a0"/>
    <w:rsid w:val="00603572"/>
  </w:style>
  <w:style w:type="character" w:customStyle="1" w:styleId="mwe-math-mathml-inline">
    <w:name w:val="mwe-math-mathml-inline"/>
    <w:basedOn w:val="a0"/>
    <w:rsid w:val="00603572"/>
  </w:style>
  <w:style w:type="character" w:customStyle="1" w:styleId="reference-text">
    <w:name w:val="reference-text"/>
    <w:basedOn w:val="a0"/>
    <w:rsid w:val="00603572"/>
  </w:style>
  <w:style w:type="character" w:styleId="HTML0">
    <w:name w:val="HTML Cite"/>
    <w:basedOn w:val="a0"/>
    <w:uiPriority w:val="99"/>
    <w:semiHidden/>
    <w:unhideWhenUsed/>
    <w:rsid w:val="00603572"/>
    <w:rPr>
      <w:i/>
      <w:iCs/>
    </w:rPr>
  </w:style>
  <w:style w:type="character" w:customStyle="1" w:styleId="cs1-lock-free">
    <w:name w:val="cs1-lock-free"/>
    <w:basedOn w:val="a0"/>
    <w:rsid w:val="00603572"/>
  </w:style>
  <w:style w:type="character" w:customStyle="1" w:styleId="mw-cite-backlink">
    <w:name w:val="mw-cite-backlink"/>
    <w:basedOn w:val="a0"/>
    <w:rsid w:val="00603572"/>
  </w:style>
  <w:style w:type="character" w:customStyle="1" w:styleId="nowrap">
    <w:name w:val="nowrap"/>
    <w:basedOn w:val="a0"/>
    <w:rsid w:val="00603572"/>
  </w:style>
  <w:style w:type="paragraph" w:customStyle="1" w:styleId="kr">
    <w:name w:val="kr"/>
    <w:basedOn w:val="a"/>
    <w:rsid w:val="006035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ifyfull">
    <w:name w:val="justifyfull"/>
    <w:basedOn w:val="a"/>
    <w:rsid w:val="006035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mailrucssattributepostfix">
    <w:name w:val="s6_mailru_css_attribute_postfix"/>
    <w:basedOn w:val="a0"/>
    <w:rsid w:val="00603572"/>
  </w:style>
  <w:style w:type="paragraph" w:customStyle="1" w:styleId="TableParagraph">
    <w:name w:val="Table Paragraph"/>
    <w:basedOn w:val="a"/>
    <w:uiPriority w:val="1"/>
    <w:qFormat/>
    <w:rsid w:val="00603572"/>
    <w:pPr>
      <w:widowControl w:val="0"/>
      <w:autoSpaceDE w:val="0"/>
      <w:autoSpaceDN w:val="0"/>
      <w:spacing w:after="0" w:line="240" w:lineRule="auto"/>
    </w:pPr>
    <w:rPr>
      <w:rFonts w:ascii="Verdana" w:eastAsia="Verdana" w:hAnsi="Verdana" w:cs="Verdana"/>
    </w:rPr>
  </w:style>
  <w:style w:type="table" w:customStyle="1" w:styleId="TableNormal">
    <w:name w:val="Table Normal"/>
    <w:uiPriority w:val="2"/>
    <w:semiHidden/>
    <w:unhideWhenUsed/>
    <w:qFormat/>
    <w:rsid w:val="006035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l">
    <w:name w:val="hl"/>
    <w:basedOn w:val="a0"/>
    <w:rsid w:val="00FE1D93"/>
  </w:style>
  <w:style w:type="paragraph" w:customStyle="1" w:styleId="q-text">
    <w:name w:val="q-text"/>
    <w:basedOn w:val="a"/>
    <w:rsid w:val="00E40D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5261">
      <w:bodyDiv w:val="1"/>
      <w:marLeft w:val="0"/>
      <w:marRight w:val="0"/>
      <w:marTop w:val="0"/>
      <w:marBottom w:val="0"/>
      <w:divBdr>
        <w:top w:val="none" w:sz="0" w:space="0" w:color="auto"/>
        <w:left w:val="none" w:sz="0" w:space="0" w:color="auto"/>
        <w:bottom w:val="none" w:sz="0" w:space="0" w:color="auto"/>
        <w:right w:val="none" w:sz="0" w:space="0" w:color="auto"/>
      </w:divBdr>
    </w:div>
    <w:div w:id="151525960">
      <w:bodyDiv w:val="1"/>
      <w:marLeft w:val="0"/>
      <w:marRight w:val="0"/>
      <w:marTop w:val="0"/>
      <w:marBottom w:val="0"/>
      <w:divBdr>
        <w:top w:val="none" w:sz="0" w:space="0" w:color="auto"/>
        <w:left w:val="none" w:sz="0" w:space="0" w:color="auto"/>
        <w:bottom w:val="none" w:sz="0" w:space="0" w:color="auto"/>
        <w:right w:val="none" w:sz="0" w:space="0" w:color="auto"/>
      </w:divBdr>
    </w:div>
    <w:div w:id="208957400">
      <w:bodyDiv w:val="1"/>
      <w:marLeft w:val="0"/>
      <w:marRight w:val="0"/>
      <w:marTop w:val="0"/>
      <w:marBottom w:val="0"/>
      <w:divBdr>
        <w:top w:val="none" w:sz="0" w:space="0" w:color="auto"/>
        <w:left w:val="none" w:sz="0" w:space="0" w:color="auto"/>
        <w:bottom w:val="none" w:sz="0" w:space="0" w:color="auto"/>
        <w:right w:val="none" w:sz="0" w:space="0" w:color="auto"/>
      </w:divBdr>
    </w:div>
    <w:div w:id="352920388">
      <w:bodyDiv w:val="1"/>
      <w:marLeft w:val="0"/>
      <w:marRight w:val="0"/>
      <w:marTop w:val="0"/>
      <w:marBottom w:val="0"/>
      <w:divBdr>
        <w:top w:val="none" w:sz="0" w:space="0" w:color="auto"/>
        <w:left w:val="none" w:sz="0" w:space="0" w:color="auto"/>
        <w:bottom w:val="none" w:sz="0" w:space="0" w:color="auto"/>
        <w:right w:val="none" w:sz="0" w:space="0" w:color="auto"/>
      </w:divBdr>
      <w:divsChild>
        <w:div w:id="1224606330">
          <w:marLeft w:val="0"/>
          <w:marRight w:val="0"/>
          <w:marTop w:val="0"/>
          <w:marBottom w:val="360"/>
          <w:divBdr>
            <w:top w:val="none" w:sz="0" w:space="0" w:color="auto"/>
            <w:left w:val="none" w:sz="0" w:space="0" w:color="auto"/>
            <w:bottom w:val="none" w:sz="0" w:space="0" w:color="auto"/>
            <w:right w:val="none" w:sz="0" w:space="0" w:color="auto"/>
          </w:divBdr>
          <w:divsChild>
            <w:div w:id="20084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868">
      <w:bodyDiv w:val="1"/>
      <w:marLeft w:val="0"/>
      <w:marRight w:val="0"/>
      <w:marTop w:val="0"/>
      <w:marBottom w:val="0"/>
      <w:divBdr>
        <w:top w:val="none" w:sz="0" w:space="0" w:color="auto"/>
        <w:left w:val="none" w:sz="0" w:space="0" w:color="auto"/>
        <w:bottom w:val="none" w:sz="0" w:space="0" w:color="auto"/>
        <w:right w:val="none" w:sz="0" w:space="0" w:color="auto"/>
      </w:divBdr>
    </w:div>
    <w:div w:id="559831289">
      <w:bodyDiv w:val="1"/>
      <w:marLeft w:val="0"/>
      <w:marRight w:val="0"/>
      <w:marTop w:val="0"/>
      <w:marBottom w:val="0"/>
      <w:divBdr>
        <w:top w:val="none" w:sz="0" w:space="0" w:color="auto"/>
        <w:left w:val="none" w:sz="0" w:space="0" w:color="auto"/>
        <w:bottom w:val="none" w:sz="0" w:space="0" w:color="auto"/>
        <w:right w:val="none" w:sz="0" w:space="0" w:color="auto"/>
      </w:divBdr>
    </w:div>
    <w:div w:id="644234964">
      <w:bodyDiv w:val="1"/>
      <w:marLeft w:val="0"/>
      <w:marRight w:val="0"/>
      <w:marTop w:val="0"/>
      <w:marBottom w:val="0"/>
      <w:divBdr>
        <w:top w:val="none" w:sz="0" w:space="0" w:color="auto"/>
        <w:left w:val="none" w:sz="0" w:space="0" w:color="auto"/>
        <w:bottom w:val="none" w:sz="0" w:space="0" w:color="auto"/>
        <w:right w:val="none" w:sz="0" w:space="0" w:color="auto"/>
      </w:divBdr>
      <w:divsChild>
        <w:div w:id="974719359">
          <w:marLeft w:val="0"/>
          <w:marRight w:val="0"/>
          <w:marTop w:val="0"/>
          <w:marBottom w:val="450"/>
          <w:divBdr>
            <w:top w:val="none" w:sz="0" w:space="0" w:color="auto"/>
            <w:left w:val="none" w:sz="0" w:space="0" w:color="auto"/>
            <w:bottom w:val="none" w:sz="0" w:space="0" w:color="auto"/>
            <w:right w:val="none" w:sz="0" w:space="0" w:color="auto"/>
          </w:divBdr>
        </w:div>
        <w:div w:id="1366758664">
          <w:marLeft w:val="0"/>
          <w:marRight w:val="0"/>
          <w:marTop w:val="0"/>
          <w:marBottom w:val="600"/>
          <w:divBdr>
            <w:top w:val="none" w:sz="0" w:space="0" w:color="auto"/>
            <w:left w:val="none" w:sz="0" w:space="0" w:color="auto"/>
            <w:bottom w:val="none" w:sz="0" w:space="0" w:color="auto"/>
            <w:right w:val="none" w:sz="0" w:space="0" w:color="auto"/>
          </w:divBdr>
        </w:div>
        <w:div w:id="29768886">
          <w:marLeft w:val="0"/>
          <w:marRight w:val="0"/>
          <w:marTop w:val="0"/>
          <w:marBottom w:val="450"/>
          <w:divBdr>
            <w:top w:val="none" w:sz="0" w:space="0" w:color="auto"/>
            <w:left w:val="none" w:sz="0" w:space="0" w:color="auto"/>
            <w:bottom w:val="none" w:sz="0" w:space="0" w:color="auto"/>
            <w:right w:val="none" w:sz="0" w:space="0" w:color="auto"/>
          </w:divBdr>
          <w:divsChild>
            <w:div w:id="1583445197">
              <w:marLeft w:val="-225"/>
              <w:marRight w:val="-225"/>
              <w:marTop w:val="0"/>
              <w:marBottom w:val="0"/>
              <w:divBdr>
                <w:top w:val="none" w:sz="0" w:space="0" w:color="auto"/>
                <w:left w:val="none" w:sz="0" w:space="0" w:color="auto"/>
                <w:bottom w:val="none" w:sz="0" w:space="0" w:color="auto"/>
                <w:right w:val="none" w:sz="0" w:space="0" w:color="auto"/>
              </w:divBdr>
              <w:divsChild>
                <w:div w:id="1481724772">
                  <w:marLeft w:val="0"/>
                  <w:marRight w:val="0"/>
                  <w:marTop w:val="0"/>
                  <w:marBottom w:val="0"/>
                  <w:divBdr>
                    <w:top w:val="none" w:sz="0" w:space="0" w:color="auto"/>
                    <w:left w:val="none" w:sz="0" w:space="0" w:color="auto"/>
                    <w:bottom w:val="none" w:sz="0" w:space="0" w:color="auto"/>
                    <w:right w:val="none" w:sz="0" w:space="0" w:color="auto"/>
                  </w:divBdr>
                  <w:divsChild>
                    <w:div w:id="693117800">
                      <w:marLeft w:val="0"/>
                      <w:marRight w:val="0"/>
                      <w:marTop w:val="0"/>
                      <w:marBottom w:val="0"/>
                      <w:divBdr>
                        <w:top w:val="none" w:sz="0" w:space="0" w:color="auto"/>
                        <w:left w:val="none" w:sz="0" w:space="0" w:color="auto"/>
                        <w:bottom w:val="none" w:sz="0" w:space="0" w:color="auto"/>
                        <w:right w:val="none" w:sz="0" w:space="0" w:color="auto"/>
                      </w:divBdr>
                      <w:divsChild>
                        <w:div w:id="2127500968">
                          <w:marLeft w:val="0"/>
                          <w:marRight w:val="0"/>
                          <w:marTop w:val="0"/>
                          <w:marBottom w:val="0"/>
                          <w:divBdr>
                            <w:top w:val="none" w:sz="0" w:space="0" w:color="auto"/>
                            <w:left w:val="none" w:sz="0" w:space="0" w:color="auto"/>
                            <w:bottom w:val="none" w:sz="0" w:space="0" w:color="auto"/>
                            <w:right w:val="none" w:sz="0" w:space="0" w:color="auto"/>
                          </w:divBdr>
                          <w:divsChild>
                            <w:div w:id="1700085491">
                              <w:marLeft w:val="0"/>
                              <w:marRight w:val="0"/>
                              <w:marTop w:val="0"/>
                              <w:marBottom w:val="0"/>
                              <w:divBdr>
                                <w:top w:val="none" w:sz="0" w:space="0" w:color="auto"/>
                                <w:left w:val="none" w:sz="0" w:space="0" w:color="auto"/>
                                <w:bottom w:val="none" w:sz="0" w:space="0" w:color="auto"/>
                                <w:right w:val="none" w:sz="0" w:space="0" w:color="auto"/>
                              </w:divBdr>
                              <w:divsChild>
                                <w:div w:id="17899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5252">
                  <w:marLeft w:val="0"/>
                  <w:marRight w:val="0"/>
                  <w:marTop w:val="0"/>
                  <w:marBottom w:val="0"/>
                  <w:divBdr>
                    <w:top w:val="none" w:sz="0" w:space="0" w:color="auto"/>
                    <w:left w:val="none" w:sz="0" w:space="0" w:color="auto"/>
                    <w:bottom w:val="none" w:sz="0" w:space="0" w:color="auto"/>
                    <w:right w:val="none" w:sz="0" w:space="0" w:color="auto"/>
                  </w:divBdr>
                  <w:divsChild>
                    <w:div w:id="2120640734">
                      <w:marLeft w:val="0"/>
                      <w:marRight w:val="0"/>
                      <w:marTop w:val="0"/>
                      <w:marBottom w:val="0"/>
                      <w:divBdr>
                        <w:top w:val="none" w:sz="0" w:space="0" w:color="auto"/>
                        <w:left w:val="none" w:sz="0" w:space="0" w:color="auto"/>
                        <w:bottom w:val="none" w:sz="0" w:space="0" w:color="auto"/>
                        <w:right w:val="none" w:sz="0" w:space="0" w:color="auto"/>
                      </w:divBdr>
                      <w:divsChild>
                        <w:div w:id="193470706">
                          <w:marLeft w:val="0"/>
                          <w:marRight w:val="0"/>
                          <w:marTop w:val="0"/>
                          <w:marBottom w:val="0"/>
                          <w:divBdr>
                            <w:top w:val="none" w:sz="0" w:space="0" w:color="auto"/>
                            <w:left w:val="none" w:sz="0" w:space="0" w:color="auto"/>
                            <w:bottom w:val="none" w:sz="0" w:space="0" w:color="auto"/>
                            <w:right w:val="none" w:sz="0" w:space="0" w:color="auto"/>
                          </w:divBdr>
                          <w:divsChild>
                            <w:div w:id="765924303">
                              <w:marLeft w:val="0"/>
                              <w:marRight w:val="0"/>
                              <w:marTop w:val="0"/>
                              <w:marBottom w:val="0"/>
                              <w:divBdr>
                                <w:top w:val="none" w:sz="0" w:space="0" w:color="auto"/>
                                <w:left w:val="none" w:sz="0" w:space="0" w:color="auto"/>
                                <w:bottom w:val="none" w:sz="0" w:space="0" w:color="auto"/>
                                <w:right w:val="none" w:sz="0" w:space="0" w:color="auto"/>
                              </w:divBdr>
                              <w:divsChild>
                                <w:div w:id="134598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098686">
          <w:marLeft w:val="0"/>
          <w:marRight w:val="0"/>
          <w:marTop w:val="0"/>
          <w:marBottom w:val="600"/>
          <w:divBdr>
            <w:top w:val="none" w:sz="0" w:space="0" w:color="auto"/>
            <w:left w:val="none" w:sz="0" w:space="0" w:color="auto"/>
            <w:bottom w:val="none" w:sz="0" w:space="0" w:color="auto"/>
            <w:right w:val="none" w:sz="0" w:space="0" w:color="auto"/>
          </w:divBdr>
        </w:div>
        <w:div w:id="827015508">
          <w:marLeft w:val="0"/>
          <w:marRight w:val="0"/>
          <w:marTop w:val="0"/>
          <w:marBottom w:val="450"/>
          <w:divBdr>
            <w:top w:val="none" w:sz="0" w:space="0" w:color="auto"/>
            <w:left w:val="none" w:sz="0" w:space="0" w:color="auto"/>
            <w:bottom w:val="none" w:sz="0" w:space="0" w:color="auto"/>
            <w:right w:val="none" w:sz="0" w:space="0" w:color="auto"/>
          </w:divBdr>
        </w:div>
        <w:div w:id="1345862737">
          <w:marLeft w:val="0"/>
          <w:marRight w:val="0"/>
          <w:marTop w:val="0"/>
          <w:marBottom w:val="600"/>
          <w:divBdr>
            <w:top w:val="none" w:sz="0" w:space="0" w:color="auto"/>
            <w:left w:val="none" w:sz="0" w:space="0" w:color="auto"/>
            <w:bottom w:val="none" w:sz="0" w:space="0" w:color="auto"/>
            <w:right w:val="none" w:sz="0" w:space="0" w:color="auto"/>
          </w:divBdr>
        </w:div>
        <w:div w:id="29183083">
          <w:marLeft w:val="0"/>
          <w:marRight w:val="0"/>
          <w:marTop w:val="0"/>
          <w:marBottom w:val="450"/>
          <w:divBdr>
            <w:top w:val="none" w:sz="0" w:space="0" w:color="auto"/>
            <w:left w:val="none" w:sz="0" w:space="0" w:color="auto"/>
            <w:bottom w:val="none" w:sz="0" w:space="0" w:color="auto"/>
            <w:right w:val="none" w:sz="0" w:space="0" w:color="auto"/>
          </w:divBdr>
          <w:divsChild>
            <w:div w:id="618685757">
              <w:marLeft w:val="-225"/>
              <w:marRight w:val="-225"/>
              <w:marTop w:val="0"/>
              <w:marBottom w:val="0"/>
              <w:divBdr>
                <w:top w:val="none" w:sz="0" w:space="0" w:color="auto"/>
                <w:left w:val="none" w:sz="0" w:space="0" w:color="auto"/>
                <w:bottom w:val="none" w:sz="0" w:space="0" w:color="auto"/>
                <w:right w:val="none" w:sz="0" w:space="0" w:color="auto"/>
              </w:divBdr>
              <w:divsChild>
                <w:div w:id="852500836">
                  <w:marLeft w:val="0"/>
                  <w:marRight w:val="0"/>
                  <w:marTop w:val="0"/>
                  <w:marBottom w:val="0"/>
                  <w:divBdr>
                    <w:top w:val="none" w:sz="0" w:space="0" w:color="auto"/>
                    <w:left w:val="none" w:sz="0" w:space="0" w:color="auto"/>
                    <w:bottom w:val="none" w:sz="0" w:space="0" w:color="auto"/>
                    <w:right w:val="none" w:sz="0" w:space="0" w:color="auto"/>
                  </w:divBdr>
                  <w:divsChild>
                    <w:div w:id="143206664">
                      <w:marLeft w:val="0"/>
                      <w:marRight w:val="0"/>
                      <w:marTop w:val="0"/>
                      <w:marBottom w:val="0"/>
                      <w:divBdr>
                        <w:top w:val="none" w:sz="0" w:space="0" w:color="auto"/>
                        <w:left w:val="none" w:sz="0" w:space="0" w:color="auto"/>
                        <w:bottom w:val="none" w:sz="0" w:space="0" w:color="auto"/>
                        <w:right w:val="none" w:sz="0" w:space="0" w:color="auto"/>
                      </w:divBdr>
                      <w:divsChild>
                        <w:div w:id="405959551">
                          <w:marLeft w:val="0"/>
                          <w:marRight w:val="0"/>
                          <w:marTop w:val="0"/>
                          <w:marBottom w:val="0"/>
                          <w:divBdr>
                            <w:top w:val="none" w:sz="0" w:space="0" w:color="auto"/>
                            <w:left w:val="none" w:sz="0" w:space="0" w:color="auto"/>
                            <w:bottom w:val="none" w:sz="0" w:space="0" w:color="auto"/>
                            <w:right w:val="none" w:sz="0" w:space="0" w:color="auto"/>
                          </w:divBdr>
                          <w:divsChild>
                            <w:div w:id="881092692">
                              <w:marLeft w:val="0"/>
                              <w:marRight w:val="0"/>
                              <w:marTop w:val="0"/>
                              <w:marBottom w:val="0"/>
                              <w:divBdr>
                                <w:top w:val="none" w:sz="0" w:space="0" w:color="auto"/>
                                <w:left w:val="none" w:sz="0" w:space="0" w:color="auto"/>
                                <w:bottom w:val="none" w:sz="0" w:space="0" w:color="auto"/>
                                <w:right w:val="none" w:sz="0" w:space="0" w:color="auto"/>
                              </w:divBdr>
                              <w:divsChild>
                                <w:div w:id="20912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928473">
                  <w:marLeft w:val="0"/>
                  <w:marRight w:val="0"/>
                  <w:marTop w:val="0"/>
                  <w:marBottom w:val="0"/>
                  <w:divBdr>
                    <w:top w:val="none" w:sz="0" w:space="0" w:color="auto"/>
                    <w:left w:val="none" w:sz="0" w:space="0" w:color="auto"/>
                    <w:bottom w:val="none" w:sz="0" w:space="0" w:color="auto"/>
                    <w:right w:val="none" w:sz="0" w:space="0" w:color="auto"/>
                  </w:divBdr>
                  <w:divsChild>
                    <w:div w:id="888764414">
                      <w:marLeft w:val="0"/>
                      <w:marRight w:val="0"/>
                      <w:marTop w:val="0"/>
                      <w:marBottom w:val="0"/>
                      <w:divBdr>
                        <w:top w:val="none" w:sz="0" w:space="0" w:color="auto"/>
                        <w:left w:val="none" w:sz="0" w:space="0" w:color="auto"/>
                        <w:bottom w:val="none" w:sz="0" w:space="0" w:color="auto"/>
                        <w:right w:val="none" w:sz="0" w:space="0" w:color="auto"/>
                      </w:divBdr>
                      <w:divsChild>
                        <w:div w:id="1163087508">
                          <w:marLeft w:val="0"/>
                          <w:marRight w:val="0"/>
                          <w:marTop w:val="0"/>
                          <w:marBottom w:val="0"/>
                          <w:divBdr>
                            <w:top w:val="none" w:sz="0" w:space="0" w:color="auto"/>
                            <w:left w:val="none" w:sz="0" w:space="0" w:color="auto"/>
                            <w:bottom w:val="none" w:sz="0" w:space="0" w:color="auto"/>
                            <w:right w:val="none" w:sz="0" w:space="0" w:color="auto"/>
                          </w:divBdr>
                          <w:divsChild>
                            <w:div w:id="522406552">
                              <w:marLeft w:val="0"/>
                              <w:marRight w:val="0"/>
                              <w:marTop w:val="0"/>
                              <w:marBottom w:val="0"/>
                              <w:divBdr>
                                <w:top w:val="none" w:sz="0" w:space="0" w:color="auto"/>
                                <w:left w:val="none" w:sz="0" w:space="0" w:color="auto"/>
                                <w:bottom w:val="none" w:sz="0" w:space="0" w:color="auto"/>
                                <w:right w:val="none" w:sz="0" w:space="0" w:color="auto"/>
                              </w:divBdr>
                              <w:divsChild>
                                <w:div w:id="210653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939707">
          <w:marLeft w:val="0"/>
          <w:marRight w:val="0"/>
          <w:marTop w:val="0"/>
          <w:marBottom w:val="600"/>
          <w:divBdr>
            <w:top w:val="none" w:sz="0" w:space="0" w:color="auto"/>
            <w:left w:val="none" w:sz="0" w:space="0" w:color="auto"/>
            <w:bottom w:val="none" w:sz="0" w:space="0" w:color="auto"/>
            <w:right w:val="none" w:sz="0" w:space="0" w:color="auto"/>
          </w:divBdr>
        </w:div>
        <w:div w:id="709112959">
          <w:marLeft w:val="0"/>
          <w:marRight w:val="0"/>
          <w:marTop w:val="0"/>
          <w:marBottom w:val="450"/>
          <w:divBdr>
            <w:top w:val="none" w:sz="0" w:space="0" w:color="auto"/>
            <w:left w:val="none" w:sz="0" w:space="0" w:color="auto"/>
            <w:bottom w:val="none" w:sz="0" w:space="0" w:color="auto"/>
            <w:right w:val="none" w:sz="0" w:space="0" w:color="auto"/>
          </w:divBdr>
        </w:div>
        <w:div w:id="25909461">
          <w:marLeft w:val="0"/>
          <w:marRight w:val="0"/>
          <w:marTop w:val="0"/>
          <w:marBottom w:val="600"/>
          <w:divBdr>
            <w:top w:val="none" w:sz="0" w:space="0" w:color="auto"/>
            <w:left w:val="none" w:sz="0" w:space="0" w:color="auto"/>
            <w:bottom w:val="none" w:sz="0" w:space="0" w:color="auto"/>
            <w:right w:val="none" w:sz="0" w:space="0" w:color="auto"/>
          </w:divBdr>
        </w:div>
        <w:div w:id="53048440">
          <w:marLeft w:val="0"/>
          <w:marRight w:val="0"/>
          <w:marTop w:val="0"/>
          <w:marBottom w:val="450"/>
          <w:divBdr>
            <w:top w:val="none" w:sz="0" w:space="0" w:color="auto"/>
            <w:left w:val="none" w:sz="0" w:space="0" w:color="auto"/>
            <w:bottom w:val="none" w:sz="0" w:space="0" w:color="auto"/>
            <w:right w:val="none" w:sz="0" w:space="0" w:color="auto"/>
          </w:divBdr>
        </w:div>
        <w:div w:id="1562402611">
          <w:marLeft w:val="0"/>
          <w:marRight w:val="0"/>
          <w:marTop w:val="0"/>
          <w:marBottom w:val="600"/>
          <w:divBdr>
            <w:top w:val="none" w:sz="0" w:space="0" w:color="auto"/>
            <w:left w:val="none" w:sz="0" w:space="0" w:color="auto"/>
            <w:bottom w:val="none" w:sz="0" w:space="0" w:color="auto"/>
            <w:right w:val="none" w:sz="0" w:space="0" w:color="auto"/>
          </w:divBdr>
        </w:div>
        <w:div w:id="1167593661">
          <w:marLeft w:val="0"/>
          <w:marRight w:val="0"/>
          <w:marTop w:val="0"/>
          <w:marBottom w:val="450"/>
          <w:divBdr>
            <w:top w:val="none" w:sz="0" w:space="0" w:color="auto"/>
            <w:left w:val="none" w:sz="0" w:space="0" w:color="auto"/>
            <w:bottom w:val="none" w:sz="0" w:space="0" w:color="auto"/>
            <w:right w:val="none" w:sz="0" w:space="0" w:color="auto"/>
          </w:divBdr>
        </w:div>
        <w:div w:id="516427920">
          <w:marLeft w:val="0"/>
          <w:marRight w:val="0"/>
          <w:marTop w:val="0"/>
          <w:marBottom w:val="600"/>
          <w:divBdr>
            <w:top w:val="none" w:sz="0" w:space="0" w:color="auto"/>
            <w:left w:val="none" w:sz="0" w:space="0" w:color="auto"/>
            <w:bottom w:val="none" w:sz="0" w:space="0" w:color="auto"/>
            <w:right w:val="none" w:sz="0" w:space="0" w:color="auto"/>
          </w:divBdr>
        </w:div>
        <w:div w:id="1583642815">
          <w:marLeft w:val="0"/>
          <w:marRight w:val="0"/>
          <w:marTop w:val="0"/>
          <w:marBottom w:val="450"/>
          <w:divBdr>
            <w:top w:val="none" w:sz="0" w:space="0" w:color="auto"/>
            <w:left w:val="none" w:sz="0" w:space="0" w:color="auto"/>
            <w:bottom w:val="none" w:sz="0" w:space="0" w:color="auto"/>
            <w:right w:val="none" w:sz="0" w:space="0" w:color="auto"/>
          </w:divBdr>
        </w:div>
        <w:div w:id="1346592013">
          <w:marLeft w:val="0"/>
          <w:marRight w:val="0"/>
          <w:marTop w:val="0"/>
          <w:marBottom w:val="450"/>
          <w:divBdr>
            <w:top w:val="none" w:sz="0" w:space="0" w:color="auto"/>
            <w:left w:val="none" w:sz="0" w:space="0" w:color="auto"/>
            <w:bottom w:val="none" w:sz="0" w:space="0" w:color="auto"/>
            <w:right w:val="none" w:sz="0" w:space="0" w:color="auto"/>
          </w:divBdr>
        </w:div>
        <w:div w:id="1135879246">
          <w:marLeft w:val="0"/>
          <w:marRight w:val="0"/>
          <w:marTop w:val="0"/>
          <w:marBottom w:val="450"/>
          <w:divBdr>
            <w:top w:val="none" w:sz="0" w:space="0" w:color="auto"/>
            <w:left w:val="none" w:sz="0" w:space="0" w:color="auto"/>
            <w:bottom w:val="none" w:sz="0" w:space="0" w:color="auto"/>
            <w:right w:val="none" w:sz="0" w:space="0" w:color="auto"/>
          </w:divBdr>
        </w:div>
        <w:div w:id="1124079755">
          <w:marLeft w:val="0"/>
          <w:marRight w:val="0"/>
          <w:marTop w:val="0"/>
          <w:marBottom w:val="450"/>
          <w:divBdr>
            <w:top w:val="none" w:sz="0" w:space="0" w:color="auto"/>
            <w:left w:val="none" w:sz="0" w:space="0" w:color="auto"/>
            <w:bottom w:val="none" w:sz="0" w:space="0" w:color="auto"/>
            <w:right w:val="none" w:sz="0" w:space="0" w:color="auto"/>
          </w:divBdr>
          <w:divsChild>
            <w:div w:id="353575673">
              <w:marLeft w:val="-225"/>
              <w:marRight w:val="-225"/>
              <w:marTop w:val="0"/>
              <w:marBottom w:val="0"/>
              <w:divBdr>
                <w:top w:val="none" w:sz="0" w:space="0" w:color="auto"/>
                <w:left w:val="none" w:sz="0" w:space="0" w:color="auto"/>
                <w:bottom w:val="none" w:sz="0" w:space="0" w:color="auto"/>
                <w:right w:val="none" w:sz="0" w:space="0" w:color="auto"/>
              </w:divBdr>
              <w:divsChild>
                <w:div w:id="100227374">
                  <w:marLeft w:val="0"/>
                  <w:marRight w:val="0"/>
                  <w:marTop w:val="0"/>
                  <w:marBottom w:val="0"/>
                  <w:divBdr>
                    <w:top w:val="none" w:sz="0" w:space="0" w:color="auto"/>
                    <w:left w:val="none" w:sz="0" w:space="0" w:color="auto"/>
                    <w:bottom w:val="none" w:sz="0" w:space="0" w:color="auto"/>
                    <w:right w:val="none" w:sz="0" w:space="0" w:color="auto"/>
                  </w:divBdr>
                  <w:divsChild>
                    <w:div w:id="1134375546">
                      <w:marLeft w:val="0"/>
                      <w:marRight w:val="0"/>
                      <w:marTop w:val="0"/>
                      <w:marBottom w:val="0"/>
                      <w:divBdr>
                        <w:top w:val="none" w:sz="0" w:space="0" w:color="auto"/>
                        <w:left w:val="none" w:sz="0" w:space="0" w:color="auto"/>
                        <w:bottom w:val="none" w:sz="0" w:space="0" w:color="auto"/>
                        <w:right w:val="none" w:sz="0" w:space="0" w:color="auto"/>
                      </w:divBdr>
                      <w:divsChild>
                        <w:div w:id="1873609760">
                          <w:marLeft w:val="0"/>
                          <w:marRight w:val="0"/>
                          <w:marTop w:val="0"/>
                          <w:marBottom w:val="0"/>
                          <w:divBdr>
                            <w:top w:val="none" w:sz="0" w:space="0" w:color="auto"/>
                            <w:left w:val="none" w:sz="0" w:space="0" w:color="auto"/>
                            <w:bottom w:val="none" w:sz="0" w:space="0" w:color="auto"/>
                            <w:right w:val="none" w:sz="0" w:space="0" w:color="auto"/>
                          </w:divBdr>
                          <w:divsChild>
                            <w:div w:id="376666897">
                              <w:marLeft w:val="0"/>
                              <w:marRight w:val="0"/>
                              <w:marTop w:val="0"/>
                              <w:marBottom w:val="0"/>
                              <w:divBdr>
                                <w:top w:val="none" w:sz="0" w:space="0" w:color="auto"/>
                                <w:left w:val="none" w:sz="0" w:space="0" w:color="auto"/>
                                <w:bottom w:val="none" w:sz="0" w:space="0" w:color="auto"/>
                                <w:right w:val="none" w:sz="0" w:space="0" w:color="auto"/>
                              </w:divBdr>
                              <w:divsChild>
                                <w:div w:id="20501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845769">
                  <w:marLeft w:val="0"/>
                  <w:marRight w:val="0"/>
                  <w:marTop w:val="0"/>
                  <w:marBottom w:val="0"/>
                  <w:divBdr>
                    <w:top w:val="none" w:sz="0" w:space="0" w:color="auto"/>
                    <w:left w:val="none" w:sz="0" w:space="0" w:color="auto"/>
                    <w:bottom w:val="none" w:sz="0" w:space="0" w:color="auto"/>
                    <w:right w:val="none" w:sz="0" w:space="0" w:color="auto"/>
                  </w:divBdr>
                  <w:divsChild>
                    <w:div w:id="1230263186">
                      <w:marLeft w:val="0"/>
                      <w:marRight w:val="0"/>
                      <w:marTop w:val="0"/>
                      <w:marBottom w:val="0"/>
                      <w:divBdr>
                        <w:top w:val="none" w:sz="0" w:space="0" w:color="auto"/>
                        <w:left w:val="none" w:sz="0" w:space="0" w:color="auto"/>
                        <w:bottom w:val="none" w:sz="0" w:space="0" w:color="auto"/>
                        <w:right w:val="none" w:sz="0" w:space="0" w:color="auto"/>
                      </w:divBdr>
                      <w:divsChild>
                        <w:div w:id="891767355">
                          <w:marLeft w:val="0"/>
                          <w:marRight w:val="0"/>
                          <w:marTop w:val="0"/>
                          <w:marBottom w:val="0"/>
                          <w:divBdr>
                            <w:top w:val="none" w:sz="0" w:space="0" w:color="auto"/>
                            <w:left w:val="none" w:sz="0" w:space="0" w:color="auto"/>
                            <w:bottom w:val="none" w:sz="0" w:space="0" w:color="auto"/>
                            <w:right w:val="none" w:sz="0" w:space="0" w:color="auto"/>
                          </w:divBdr>
                          <w:divsChild>
                            <w:div w:id="1310134224">
                              <w:marLeft w:val="0"/>
                              <w:marRight w:val="0"/>
                              <w:marTop w:val="0"/>
                              <w:marBottom w:val="0"/>
                              <w:divBdr>
                                <w:top w:val="none" w:sz="0" w:space="0" w:color="auto"/>
                                <w:left w:val="none" w:sz="0" w:space="0" w:color="auto"/>
                                <w:bottom w:val="none" w:sz="0" w:space="0" w:color="auto"/>
                                <w:right w:val="none" w:sz="0" w:space="0" w:color="auto"/>
                              </w:divBdr>
                              <w:divsChild>
                                <w:div w:id="12515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623306">
      <w:bodyDiv w:val="1"/>
      <w:marLeft w:val="0"/>
      <w:marRight w:val="0"/>
      <w:marTop w:val="0"/>
      <w:marBottom w:val="0"/>
      <w:divBdr>
        <w:top w:val="none" w:sz="0" w:space="0" w:color="auto"/>
        <w:left w:val="none" w:sz="0" w:space="0" w:color="auto"/>
        <w:bottom w:val="none" w:sz="0" w:space="0" w:color="auto"/>
        <w:right w:val="none" w:sz="0" w:space="0" w:color="auto"/>
      </w:divBdr>
    </w:div>
    <w:div w:id="790635018">
      <w:bodyDiv w:val="1"/>
      <w:marLeft w:val="0"/>
      <w:marRight w:val="0"/>
      <w:marTop w:val="0"/>
      <w:marBottom w:val="0"/>
      <w:divBdr>
        <w:top w:val="none" w:sz="0" w:space="0" w:color="auto"/>
        <w:left w:val="none" w:sz="0" w:space="0" w:color="auto"/>
        <w:bottom w:val="none" w:sz="0" w:space="0" w:color="auto"/>
        <w:right w:val="none" w:sz="0" w:space="0" w:color="auto"/>
      </w:divBdr>
    </w:div>
    <w:div w:id="954097685">
      <w:bodyDiv w:val="1"/>
      <w:marLeft w:val="0"/>
      <w:marRight w:val="0"/>
      <w:marTop w:val="0"/>
      <w:marBottom w:val="0"/>
      <w:divBdr>
        <w:top w:val="none" w:sz="0" w:space="0" w:color="auto"/>
        <w:left w:val="none" w:sz="0" w:space="0" w:color="auto"/>
        <w:bottom w:val="none" w:sz="0" w:space="0" w:color="auto"/>
        <w:right w:val="none" w:sz="0" w:space="0" w:color="auto"/>
      </w:divBdr>
      <w:divsChild>
        <w:div w:id="545719538">
          <w:marLeft w:val="547"/>
          <w:marRight w:val="0"/>
          <w:marTop w:val="0"/>
          <w:marBottom w:val="0"/>
          <w:divBdr>
            <w:top w:val="none" w:sz="0" w:space="0" w:color="auto"/>
            <w:left w:val="none" w:sz="0" w:space="0" w:color="auto"/>
            <w:bottom w:val="none" w:sz="0" w:space="0" w:color="auto"/>
            <w:right w:val="none" w:sz="0" w:space="0" w:color="auto"/>
          </w:divBdr>
        </w:div>
      </w:divsChild>
    </w:div>
    <w:div w:id="989211706">
      <w:bodyDiv w:val="1"/>
      <w:marLeft w:val="0"/>
      <w:marRight w:val="0"/>
      <w:marTop w:val="0"/>
      <w:marBottom w:val="0"/>
      <w:divBdr>
        <w:top w:val="none" w:sz="0" w:space="0" w:color="auto"/>
        <w:left w:val="none" w:sz="0" w:space="0" w:color="auto"/>
        <w:bottom w:val="none" w:sz="0" w:space="0" w:color="auto"/>
        <w:right w:val="none" w:sz="0" w:space="0" w:color="auto"/>
      </w:divBdr>
      <w:divsChild>
        <w:div w:id="1394889338">
          <w:marLeft w:val="547"/>
          <w:marRight w:val="0"/>
          <w:marTop w:val="0"/>
          <w:marBottom w:val="0"/>
          <w:divBdr>
            <w:top w:val="none" w:sz="0" w:space="0" w:color="auto"/>
            <w:left w:val="none" w:sz="0" w:space="0" w:color="auto"/>
            <w:bottom w:val="none" w:sz="0" w:space="0" w:color="auto"/>
            <w:right w:val="none" w:sz="0" w:space="0" w:color="auto"/>
          </w:divBdr>
        </w:div>
      </w:divsChild>
    </w:div>
    <w:div w:id="989214258">
      <w:bodyDiv w:val="1"/>
      <w:marLeft w:val="0"/>
      <w:marRight w:val="0"/>
      <w:marTop w:val="0"/>
      <w:marBottom w:val="0"/>
      <w:divBdr>
        <w:top w:val="none" w:sz="0" w:space="0" w:color="auto"/>
        <w:left w:val="none" w:sz="0" w:space="0" w:color="auto"/>
        <w:bottom w:val="none" w:sz="0" w:space="0" w:color="auto"/>
        <w:right w:val="none" w:sz="0" w:space="0" w:color="auto"/>
      </w:divBdr>
      <w:divsChild>
        <w:div w:id="1232734935">
          <w:marLeft w:val="0"/>
          <w:marRight w:val="0"/>
          <w:marTop w:val="0"/>
          <w:marBottom w:val="0"/>
          <w:divBdr>
            <w:top w:val="none" w:sz="0" w:space="0" w:color="auto"/>
            <w:left w:val="none" w:sz="0" w:space="0" w:color="auto"/>
            <w:bottom w:val="none" w:sz="0" w:space="0" w:color="auto"/>
            <w:right w:val="none" w:sz="0" w:space="0" w:color="auto"/>
          </w:divBdr>
          <w:divsChild>
            <w:div w:id="1845126416">
              <w:marLeft w:val="0"/>
              <w:marRight w:val="0"/>
              <w:marTop w:val="0"/>
              <w:marBottom w:val="0"/>
              <w:divBdr>
                <w:top w:val="none" w:sz="0" w:space="0" w:color="auto"/>
                <w:left w:val="none" w:sz="0" w:space="0" w:color="auto"/>
                <w:bottom w:val="none" w:sz="0" w:space="0" w:color="auto"/>
                <w:right w:val="none" w:sz="0" w:space="0" w:color="auto"/>
              </w:divBdr>
              <w:divsChild>
                <w:div w:id="2141026681">
                  <w:marLeft w:val="0"/>
                  <w:marRight w:val="0"/>
                  <w:marTop w:val="0"/>
                  <w:marBottom w:val="0"/>
                  <w:divBdr>
                    <w:top w:val="none" w:sz="0" w:space="0" w:color="auto"/>
                    <w:left w:val="none" w:sz="0" w:space="0" w:color="auto"/>
                    <w:bottom w:val="none" w:sz="0" w:space="0" w:color="auto"/>
                    <w:right w:val="none" w:sz="0" w:space="0" w:color="auto"/>
                  </w:divBdr>
                  <w:divsChild>
                    <w:div w:id="138595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78705">
      <w:bodyDiv w:val="1"/>
      <w:marLeft w:val="0"/>
      <w:marRight w:val="0"/>
      <w:marTop w:val="0"/>
      <w:marBottom w:val="0"/>
      <w:divBdr>
        <w:top w:val="none" w:sz="0" w:space="0" w:color="auto"/>
        <w:left w:val="none" w:sz="0" w:space="0" w:color="auto"/>
        <w:bottom w:val="none" w:sz="0" w:space="0" w:color="auto"/>
        <w:right w:val="none" w:sz="0" w:space="0" w:color="auto"/>
      </w:divBdr>
    </w:div>
    <w:div w:id="1036390465">
      <w:bodyDiv w:val="1"/>
      <w:marLeft w:val="0"/>
      <w:marRight w:val="0"/>
      <w:marTop w:val="0"/>
      <w:marBottom w:val="0"/>
      <w:divBdr>
        <w:top w:val="none" w:sz="0" w:space="0" w:color="auto"/>
        <w:left w:val="none" w:sz="0" w:space="0" w:color="auto"/>
        <w:bottom w:val="none" w:sz="0" w:space="0" w:color="auto"/>
        <w:right w:val="none" w:sz="0" w:space="0" w:color="auto"/>
      </w:divBdr>
      <w:divsChild>
        <w:div w:id="1484615547">
          <w:marLeft w:val="0"/>
          <w:marRight w:val="0"/>
          <w:marTop w:val="0"/>
          <w:marBottom w:val="360"/>
          <w:divBdr>
            <w:top w:val="none" w:sz="0" w:space="0" w:color="auto"/>
            <w:left w:val="none" w:sz="0" w:space="0" w:color="auto"/>
            <w:bottom w:val="none" w:sz="0" w:space="0" w:color="auto"/>
            <w:right w:val="none" w:sz="0" w:space="0" w:color="auto"/>
          </w:divBdr>
          <w:divsChild>
            <w:div w:id="4119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6233">
      <w:bodyDiv w:val="1"/>
      <w:marLeft w:val="0"/>
      <w:marRight w:val="0"/>
      <w:marTop w:val="0"/>
      <w:marBottom w:val="0"/>
      <w:divBdr>
        <w:top w:val="none" w:sz="0" w:space="0" w:color="auto"/>
        <w:left w:val="none" w:sz="0" w:space="0" w:color="auto"/>
        <w:bottom w:val="none" w:sz="0" w:space="0" w:color="auto"/>
        <w:right w:val="none" w:sz="0" w:space="0" w:color="auto"/>
      </w:divBdr>
      <w:divsChild>
        <w:div w:id="158039981">
          <w:marLeft w:val="567"/>
          <w:marRight w:val="0"/>
          <w:marTop w:val="0"/>
          <w:marBottom w:val="0"/>
          <w:divBdr>
            <w:top w:val="none" w:sz="0" w:space="0" w:color="auto"/>
            <w:left w:val="none" w:sz="0" w:space="0" w:color="auto"/>
            <w:bottom w:val="none" w:sz="0" w:space="0" w:color="auto"/>
            <w:right w:val="none" w:sz="0" w:space="0" w:color="auto"/>
          </w:divBdr>
        </w:div>
        <w:div w:id="1098603868">
          <w:marLeft w:val="0"/>
          <w:marRight w:val="0"/>
          <w:marTop w:val="180"/>
          <w:marBottom w:val="0"/>
          <w:divBdr>
            <w:top w:val="none" w:sz="0" w:space="0" w:color="auto"/>
            <w:left w:val="none" w:sz="0" w:space="0" w:color="auto"/>
            <w:bottom w:val="none" w:sz="0" w:space="0" w:color="auto"/>
            <w:right w:val="none" w:sz="0" w:space="0" w:color="auto"/>
          </w:divBdr>
        </w:div>
      </w:divsChild>
    </w:div>
    <w:div w:id="1218468014">
      <w:bodyDiv w:val="1"/>
      <w:marLeft w:val="0"/>
      <w:marRight w:val="0"/>
      <w:marTop w:val="0"/>
      <w:marBottom w:val="0"/>
      <w:divBdr>
        <w:top w:val="none" w:sz="0" w:space="0" w:color="auto"/>
        <w:left w:val="none" w:sz="0" w:space="0" w:color="auto"/>
        <w:bottom w:val="none" w:sz="0" w:space="0" w:color="auto"/>
        <w:right w:val="none" w:sz="0" w:space="0" w:color="auto"/>
      </w:divBdr>
      <w:divsChild>
        <w:div w:id="431164738">
          <w:marLeft w:val="0"/>
          <w:marRight w:val="0"/>
          <w:marTop w:val="0"/>
          <w:marBottom w:val="360"/>
          <w:divBdr>
            <w:top w:val="none" w:sz="0" w:space="0" w:color="auto"/>
            <w:left w:val="none" w:sz="0" w:space="0" w:color="auto"/>
            <w:bottom w:val="none" w:sz="0" w:space="0" w:color="auto"/>
            <w:right w:val="none" w:sz="0" w:space="0" w:color="auto"/>
          </w:divBdr>
          <w:divsChild>
            <w:div w:id="1220825735">
              <w:marLeft w:val="0"/>
              <w:marRight w:val="0"/>
              <w:marTop w:val="0"/>
              <w:marBottom w:val="0"/>
              <w:divBdr>
                <w:top w:val="none" w:sz="0" w:space="0" w:color="auto"/>
                <w:left w:val="none" w:sz="0" w:space="0" w:color="auto"/>
                <w:bottom w:val="none" w:sz="0" w:space="0" w:color="auto"/>
                <w:right w:val="none" w:sz="0" w:space="0" w:color="auto"/>
              </w:divBdr>
              <w:divsChild>
                <w:div w:id="658309716">
                  <w:marLeft w:val="0"/>
                  <w:marRight w:val="0"/>
                  <w:marTop w:val="0"/>
                  <w:marBottom w:val="0"/>
                  <w:divBdr>
                    <w:top w:val="none" w:sz="0" w:space="0" w:color="auto"/>
                    <w:left w:val="none" w:sz="0" w:space="0" w:color="auto"/>
                    <w:bottom w:val="none" w:sz="0" w:space="0" w:color="auto"/>
                    <w:right w:val="none" w:sz="0" w:space="0" w:color="auto"/>
                  </w:divBdr>
                  <w:divsChild>
                    <w:div w:id="1739858801">
                      <w:marLeft w:val="0"/>
                      <w:marRight w:val="0"/>
                      <w:marTop w:val="0"/>
                      <w:marBottom w:val="0"/>
                      <w:divBdr>
                        <w:top w:val="none" w:sz="0" w:space="0" w:color="auto"/>
                        <w:left w:val="none" w:sz="0" w:space="0" w:color="auto"/>
                        <w:bottom w:val="none" w:sz="0" w:space="0" w:color="auto"/>
                        <w:right w:val="none" w:sz="0" w:space="0" w:color="auto"/>
                      </w:divBdr>
                      <w:divsChild>
                        <w:div w:id="1809515983">
                          <w:marLeft w:val="0"/>
                          <w:marRight w:val="0"/>
                          <w:marTop w:val="0"/>
                          <w:marBottom w:val="0"/>
                          <w:divBdr>
                            <w:top w:val="none" w:sz="0" w:space="0" w:color="auto"/>
                            <w:left w:val="none" w:sz="0" w:space="0" w:color="auto"/>
                            <w:bottom w:val="none" w:sz="0" w:space="0" w:color="auto"/>
                            <w:right w:val="none" w:sz="0" w:space="0" w:color="auto"/>
                          </w:divBdr>
                          <w:divsChild>
                            <w:div w:id="1105418619">
                              <w:marLeft w:val="0"/>
                              <w:marRight w:val="0"/>
                              <w:marTop w:val="0"/>
                              <w:marBottom w:val="0"/>
                              <w:divBdr>
                                <w:top w:val="none" w:sz="0" w:space="0" w:color="auto"/>
                                <w:left w:val="none" w:sz="0" w:space="0" w:color="auto"/>
                                <w:bottom w:val="none" w:sz="0" w:space="0" w:color="auto"/>
                                <w:right w:val="none" w:sz="0" w:space="0" w:color="auto"/>
                              </w:divBdr>
                              <w:divsChild>
                                <w:div w:id="667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3849">
      <w:bodyDiv w:val="1"/>
      <w:marLeft w:val="0"/>
      <w:marRight w:val="0"/>
      <w:marTop w:val="0"/>
      <w:marBottom w:val="0"/>
      <w:divBdr>
        <w:top w:val="none" w:sz="0" w:space="0" w:color="auto"/>
        <w:left w:val="none" w:sz="0" w:space="0" w:color="auto"/>
        <w:bottom w:val="none" w:sz="0" w:space="0" w:color="auto"/>
        <w:right w:val="none" w:sz="0" w:space="0" w:color="auto"/>
      </w:divBdr>
    </w:div>
    <w:div w:id="1314333235">
      <w:bodyDiv w:val="1"/>
      <w:marLeft w:val="0"/>
      <w:marRight w:val="0"/>
      <w:marTop w:val="0"/>
      <w:marBottom w:val="0"/>
      <w:divBdr>
        <w:top w:val="none" w:sz="0" w:space="0" w:color="auto"/>
        <w:left w:val="none" w:sz="0" w:space="0" w:color="auto"/>
        <w:bottom w:val="none" w:sz="0" w:space="0" w:color="auto"/>
        <w:right w:val="none" w:sz="0" w:space="0" w:color="auto"/>
      </w:divBdr>
    </w:div>
    <w:div w:id="1449474247">
      <w:bodyDiv w:val="1"/>
      <w:marLeft w:val="0"/>
      <w:marRight w:val="0"/>
      <w:marTop w:val="0"/>
      <w:marBottom w:val="0"/>
      <w:divBdr>
        <w:top w:val="none" w:sz="0" w:space="0" w:color="auto"/>
        <w:left w:val="none" w:sz="0" w:space="0" w:color="auto"/>
        <w:bottom w:val="none" w:sz="0" w:space="0" w:color="auto"/>
        <w:right w:val="none" w:sz="0" w:space="0" w:color="auto"/>
      </w:divBdr>
    </w:div>
    <w:div w:id="1510026543">
      <w:bodyDiv w:val="1"/>
      <w:marLeft w:val="0"/>
      <w:marRight w:val="0"/>
      <w:marTop w:val="0"/>
      <w:marBottom w:val="0"/>
      <w:divBdr>
        <w:top w:val="none" w:sz="0" w:space="0" w:color="auto"/>
        <w:left w:val="none" w:sz="0" w:space="0" w:color="auto"/>
        <w:bottom w:val="none" w:sz="0" w:space="0" w:color="auto"/>
        <w:right w:val="none" w:sz="0" w:space="0" w:color="auto"/>
      </w:divBdr>
    </w:div>
    <w:div w:id="1635283741">
      <w:bodyDiv w:val="1"/>
      <w:marLeft w:val="0"/>
      <w:marRight w:val="0"/>
      <w:marTop w:val="0"/>
      <w:marBottom w:val="0"/>
      <w:divBdr>
        <w:top w:val="none" w:sz="0" w:space="0" w:color="auto"/>
        <w:left w:val="none" w:sz="0" w:space="0" w:color="auto"/>
        <w:bottom w:val="none" w:sz="0" w:space="0" w:color="auto"/>
        <w:right w:val="none" w:sz="0" w:space="0" w:color="auto"/>
      </w:divBdr>
    </w:div>
    <w:div w:id="1713919122">
      <w:bodyDiv w:val="1"/>
      <w:marLeft w:val="0"/>
      <w:marRight w:val="0"/>
      <w:marTop w:val="0"/>
      <w:marBottom w:val="0"/>
      <w:divBdr>
        <w:top w:val="none" w:sz="0" w:space="0" w:color="auto"/>
        <w:left w:val="none" w:sz="0" w:space="0" w:color="auto"/>
        <w:bottom w:val="none" w:sz="0" w:space="0" w:color="auto"/>
        <w:right w:val="none" w:sz="0" w:space="0" w:color="auto"/>
      </w:divBdr>
    </w:div>
    <w:div w:id="1772622051">
      <w:bodyDiv w:val="1"/>
      <w:marLeft w:val="0"/>
      <w:marRight w:val="0"/>
      <w:marTop w:val="0"/>
      <w:marBottom w:val="0"/>
      <w:divBdr>
        <w:top w:val="none" w:sz="0" w:space="0" w:color="auto"/>
        <w:left w:val="none" w:sz="0" w:space="0" w:color="auto"/>
        <w:bottom w:val="none" w:sz="0" w:space="0" w:color="auto"/>
        <w:right w:val="none" w:sz="0" w:space="0" w:color="auto"/>
      </w:divBdr>
      <w:divsChild>
        <w:div w:id="2042168262">
          <w:marLeft w:val="0"/>
          <w:marRight w:val="0"/>
          <w:marTop w:val="180"/>
          <w:marBottom w:val="0"/>
          <w:divBdr>
            <w:top w:val="none" w:sz="0" w:space="0" w:color="auto"/>
            <w:left w:val="none" w:sz="0" w:space="0" w:color="auto"/>
            <w:bottom w:val="none" w:sz="0" w:space="0" w:color="auto"/>
            <w:right w:val="none" w:sz="0" w:space="0" w:color="auto"/>
          </w:divBdr>
        </w:div>
        <w:div w:id="1287809598">
          <w:marLeft w:val="0"/>
          <w:marRight w:val="0"/>
          <w:marTop w:val="180"/>
          <w:marBottom w:val="0"/>
          <w:divBdr>
            <w:top w:val="none" w:sz="0" w:space="0" w:color="auto"/>
            <w:left w:val="none" w:sz="0" w:space="0" w:color="auto"/>
            <w:bottom w:val="none" w:sz="0" w:space="0" w:color="auto"/>
            <w:right w:val="none" w:sz="0" w:space="0" w:color="auto"/>
          </w:divBdr>
        </w:div>
      </w:divsChild>
    </w:div>
    <w:div w:id="1831556449">
      <w:bodyDiv w:val="1"/>
      <w:marLeft w:val="0"/>
      <w:marRight w:val="0"/>
      <w:marTop w:val="0"/>
      <w:marBottom w:val="0"/>
      <w:divBdr>
        <w:top w:val="none" w:sz="0" w:space="0" w:color="auto"/>
        <w:left w:val="none" w:sz="0" w:space="0" w:color="auto"/>
        <w:bottom w:val="none" w:sz="0" w:space="0" w:color="auto"/>
        <w:right w:val="none" w:sz="0" w:space="0" w:color="auto"/>
      </w:divBdr>
    </w:div>
    <w:div w:id="1887177708">
      <w:bodyDiv w:val="1"/>
      <w:marLeft w:val="0"/>
      <w:marRight w:val="0"/>
      <w:marTop w:val="0"/>
      <w:marBottom w:val="0"/>
      <w:divBdr>
        <w:top w:val="none" w:sz="0" w:space="0" w:color="auto"/>
        <w:left w:val="none" w:sz="0" w:space="0" w:color="auto"/>
        <w:bottom w:val="none" w:sz="0" w:space="0" w:color="auto"/>
        <w:right w:val="none" w:sz="0" w:space="0" w:color="auto"/>
      </w:divBdr>
    </w:div>
    <w:div w:id="1892686720">
      <w:bodyDiv w:val="1"/>
      <w:marLeft w:val="0"/>
      <w:marRight w:val="0"/>
      <w:marTop w:val="0"/>
      <w:marBottom w:val="0"/>
      <w:divBdr>
        <w:top w:val="none" w:sz="0" w:space="0" w:color="auto"/>
        <w:left w:val="none" w:sz="0" w:space="0" w:color="auto"/>
        <w:bottom w:val="none" w:sz="0" w:space="0" w:color="auto"/>
        <w:right w:val="none" w:sz="0" w:space="0" w:color="auto"/>
      </w:divBdr>
      <w:divsChild>
        <w:div w:id="1194030115">
          <w:marLeft w:val="0"/>
          <w:marRight w:val="0"/>
          <w:marTop w:val="0"/>
          <w:marBottom w:val="0"/>
          <w:divBdr>
            <w:top w:val="none" w:sz="0" w:space="0" w:color="auto"/>
            <w:left w:val="none" w:sz="0" w:space="0" w:color="auto"/>
            <w:bottom w:val="none" w:sz="0" w:space="0" w:color="auto"/>
            <w:right w:val="none" w:sz="0" w:space="0" w:color="auto"/>
          </w:divBdr>
          <w:divsChild>
            <w:div w:id="7934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3110">
      <w:bodyDiv w:val="1"/>
      <w:marLeft w:val="0"/>
      <w:marRight w:val="0"/>
      <w:marTop w:val="0"/>
      <w:marBottom w:val="0"/>
      <w:divBdr>
        <w:top w:val="none" w:sz="0" w:space="0" w:color="auto"/>
        <w:left w:val="none" w:sz="0" w:space="0" w:color="auto"/>
        <w:bottom w:val="none" w:sz="0" w:space="0" w:color="auto"/>
        <w:right w:val="none" w:sz="0" w:space="0" w:color="auto"/>
      </w:divBdr>
      <w:divsChild>
        <w:div w:id="850342233">
          <w:marLeft w:val="0"/>
          <w:marRight w:val="0"/>
          <w:marTop w:val="0"/>
          <w:marBottom w:val="0"/>
          <w:divBdr>
            <w:top w:val="none" w:sz="0" w:space="0" w:color="auto"/>
            <w:left w:val="none" w:sz="0" w:space="0" w:color="auto"/>
            <w:bottom w:val="none" w:sz="0" w:space="0" w:color="auto"/>
            <w:right w:val="none" w:sz="0" w:space="0" w:color="auto"/>
          </w:divBdr>
        </w:div>
        <w:div w:id="1072775606">
          <w:marLeft w:val="0"/>
          <w:marRight w:val="0"/>
          <w:marTop w:val="0"/>
          <w:marBottom w:val="0"/>
          <w:divBdr>
            <w:top w:val="none" w:sz="0" w:space="0" w:color="auto"/>
            <w:left w:val="none" w:sz="0" w:space="0" w:color="auto"/>
            <w:bottom w:val="none" w:sz="0" w:space="0" w:color="auto"/>
            <w:right w:val="none" w:sz="0" w:space="0" w:color="auto"/>
          </w:divBdr>
        </w:div>
        <w:div w:id="195237990">
          <w:marLeft w:val="0"/>
          <w:marRight w:val="0"/>
          <w:marTop w:val="0"/>
          <w:marBottom w:val="0"/>
          <w:divBdr>
            <w:top w:val="none" w:sz="0" w:space="0" w:color="auto"/>
            <w:left w:val="none" w:sz="0" w:space="0" w:color="auto"/>
            <w:bottom w:val="none" w:sz="0" w:space="0" w:color="auto"/>
            <w:right w:val="none" w:sz="0" w:space="0" w:color="auto"/>
          </w:divBdr>
        </w:div>
        <w:div w:id="140269423">
          <w:marLeft w:val="0"/>
          <w:marRight w:val="0"/>
          <w:marTop w:val="0"/>
          <w:marBottom w:val="0"/>
          <w:divBdr>
            <w:top w:val="none" w:sz="0" w:space="0" w:color="auto"/>
            <w:left w:val="none" w:sz="0" w:space="0" w:color="auto"/>
            <w:bottom w:val="none" w:sz="0" w:space="0" w:color="auto"/>
            <w:right w:val="none" w:sz="0" w:space="0" w:color="auto"/>
          </w:divBdr>
        </w:div>
      </w:divsChild>
    </w:div>
    <w:div w:id="2022268682">
      <w:bodyDiv w:val="1"/>
      <w:marLeft w:val="0"/>
      <w:marRight w:val="0"/>
      <w:marTop w:val="0"/>
      <w:marBottom w:val="0"/>
      <w:divBdr>
        <w:top w:val="none" w:sz="0" w:space="0" w:color="auto"/>
        <w:left w:val="none" w:sz="0" w:space="0" w:color="auto"/>
        <w:bottom w:val="none" w:sz="0" w:space="0" w:color="auto"/>
        <w:right w:val="none" w:sz="0" w:space="0" w:color="auto"/>
      </w:divBdr>
      <w:divsChild>
        <w:div w:id="1623658233">
          <w:marLeft w:val="547"/>
          <w:marRight w:val="0"/>
          <w:marTop w:val="0"/>
          <w:marBottom w:val="0"/>
          <w:divBdr>
            <w:top w:val="none" w:sz="0" w:space="0" w:color="auto"/>
            <w:left w:val="none" w:sz="0" w:space="0" w:color="auto"/>
            <w:bottom w:val="none" w:sz="0" w:space="0" w:color="auto"/>
            <w:right w:val="none" w:sz="0" w:space="0" w:color="auto"/>
          </w:divBdr>
        </w:div>
      </w:divsChild>
    </w:div>
    <w:div w:id="2031098729">
      <w:bodyDiv w:val="1"/>
      <w:marLeft w:val="0"/>
      <w:marRight w:val="0"/>
      <w:marTop w:val="0"/>
      <w:marBottom w:val="0"/>
      <w:divBdr>
        <w:top w:val="none" w:sz="0" w:space="0" w:color="auto"/>
        <w:left w:val="none" w:sz="0" w:space="0" w:color="auto"/>
        <w:bottom w:val="none" w:sz="0" w:space="0" w:color="auto"/>
        <w:right w:val="none" w:sz="0" w:space="0" w:color="auto"/>
      </w:divBdr>
      <w:divsChild>
        <w:div w:id="1105270381">
          <w:marLeft w:val="0"/>
          <w:marRight w:val="0"/>
          <w:marTop w:val="0"/>
          <w:marBottom w:val="0"/>
          <w:divBdr>
            <w:top w:val="none" w:sz="0" w:space="0" w:color="auto"/>
            <w:left w:val="none" w:sz="0" w:space="0" w:color="auto"/>
            <w:bottom w:val="none" w:sz="0" w:space="0" w:color="auto"/>
            <w:right w:val="none" w:sz="0" w:space="0" w:color="auto"/>
          </w:divBdr>
        </w:div>
        <w:div w:id="1705328011">
          <w:marLeft w:val="0"/>
          <w:marRight w:val="0"/>
          <w:marTop w:val="0"/>
          <w:marBottom w:val="0"/>
          <w:divBdr>
            <w:top w:val="none" w:sz="0" w:space="0" w:color="auto"/>
            <w:left w:val="none" w:sz="0" w:space="0" w:color="auto"/>
            <w:bottom w:val="none" w:sz="0" w:space="0" w:color="auto"/>
            <w:right w:val="none" w:sz="0" w:space="0" w:color="auto"/>
          </w:divBdr>
        </w:div>
        <w:div w:id="674261199">
          <w:marLeft w:val="0"/>
          <w:marRight w:val="0"/>
          <w:marTop w:val="0"/>
          <w:marBottom w:val="0"/>
          <w:divBdr>
            <w:top w:val="none" w:sz="0" w:space="0" w:color="auto"/>
            <w:left w:val="none" w:sz="0" w:space="0" w:color="auto"/>
            <w:bottom w:val="none" w:sz="0" w:space="0" w:color="auto"/>
            <w:right w:val="none" w:sz="0" w:space="0" w:color="auto"/>
          </w:divBdr>
        </w:div>
      </w:divsChild>
    </w:div>
    <w:div w:id="2070683969">
      <w:bodyDiv w:val="1"/>
      <w:marLeft w:val="0"/>
      <w:marRight w:val="0"/>
      <w:marTop w:val="0"/>
      <w:marBottom w:val="0"/>
      <w:divBdr>
        <w:top w:val="none" w:sz="0" w:space="0" w:color="auto"/>
        <w:left w:val="none" w:sz="0" w:space="0" w:color="auto"/>
        <w:bottom w:val="none" w:sz="0" w:space="0" w:color="auto"/>
        <w:right w:val="none" w:sz="0" w:space="0" w:color="auto"/>
      </w:divBdr>
    </w:div>
    <w:div w:id="2085911035">
      <w:bodyDiv w:val="1"/>
      <w:marLeft w:val="0"/>
      <w:marRight w:val="0"/>
      <w:marTop w:val="0"/>
      <w:marBottom w:val="0"/>
      <w:divBdr>
        <w:top w:val="none" w:sz="0" w:space="0" w:color="auto"/>
        <w:left w:val="none" w:sz="0" w:space="0" w:color="auto"/>
        <w:bottom w:val="none" w:sz="0" w:space="0" w:color="auto"/>
        <w:right w:val="none" w:sz="0" w:space="0" w:color="auto"/>
      </w:divBdr>
    </w:div>
    <w:div w:id="209381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hyperlink" Target="https://uk.linkedin.com/in/paul-davies?trk=author_mini-profile_title" TargetMode="Externa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openxmlformats.org/officeDocument/2006/relationships/image" Target="media/image1.emf"/><Relationship Id="rId68" Type="http://schemas.openxmlformats.org/officeDocument/2006/relationships/image" Target="media/image5.emf"/><Relationship Id="rId84" Type="http://schemas.openxmlformats.org/officeDocument/2006/relationships/chart" Target="charts/chart21.xml"/><Relationship Id="rId89" Type="http://schemas.openxmlformats.org/officeDocument/2006/relationships/chart" Target="charts/chart26.xml"/><Relationship Id="rId112" Type="http://schemas.openxmlformats.org/officeDocument/2006/relationships/hyperlink" Target="https://en.wikipedia.org/wiki/ISBN_(identifier)" TargetMode="External"/><Relationship Id="rId133" Type="http://schemas.openxmlformats.org/officeDocument/2006/relationships/hyperlink" Target="https://kapital.kz/finance/92918/ob-yem-depozitov-v-2020-godu-prevysil-22-trln-tenge.html" TargetMode="External"/><Relationship Id="rId138" Type="http://schemas.openxmlformats.org/officeDocument/2006/relationships/fontTable" Target="fontTable.xml"/><Relationship Id="rId16" Type="http://schemas.openxmlformats.org/officeDocument/2006/relationships/diagramQuickStyle" Target="diagrams/quickStyle2.xml"/><Relationship Id="rId107" Type="http://schemas.openxmlformats.org/officeDocument/2006/relationships/hyperlink" Target="http://ej.kubagro.ru/2017/06/pdf/48.pdf" TargetMode="Externa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chart" Target="charts/chart5.xml"/><Relationship Id="rId58" Type="http://schemas.openxmlformats.org/officeDocument/2006/relationships/chart" Target="charts/chart10.xml"/><Relationship Id="rId74" Type="http://schemas.openxmlformats.org/officeDocument/2006/relationships/image" Target="media/image30.emf"/><Relationship Id="rId79" Type="http://schemas.openxmlformats.org/officeDocument/2006/relationships/chart" Target="charts/chart16.xml"/><Relationship Id="rId102" Type="http://schemas.openxmlformats.org/officeDocument/2006/relationships/diagramQuickStyle" Target="diagrams/quickStyle10.xml"/><Relationship Id="rId123" Type="http://schemas.openxmlformats.org/officeDocument/2006/relationships/hyperlink" Target="https://nationalbank.kz/ru/news/svedeniya-o-strukture-vkladov/rubrics/1592" TargetMode="External"/><Relationship Id="rId128" Type="http://schemas.openxmlformats.org/officeDocument/2006/relationships/hyperlink" Target="https://nationalbank.kz/ru/interestratesofbanksonat/stavki-voznagrazhdeniya-bankov-po-privlechennym-depozitampo-srokam-i-vidam-valyut" TargetMode="External"/><Relationship Id="rId5" Type="http://schemas.openxmlformats.org/officeDocument/2006/relationships/settings" Target="settings.xml"/><Relationship Id="rId90" Type="http://schemas.openxmlformats.org/officeDocument/2006/relationships/chart" Target="charts/chart27.xml"/><Relationship Id="rId95" Type="http://schemas.openxmlformats.org/officeDocument/2006/relationships/diagramColors" Target="diagrams/colors9.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microsoft.com/office/2007/relationships/diagramDrawing" Target="diagrams/drawing8.xml"/><Relationship Id="rId64" Type="http://schemas.openxmlformats.org/officeDocument/2006/relationships/chart" Target="charts/chart15.xml"/><Relationship Id="rId69" Type="http://schemas.openxmlformats.org/officeDocument/2006/relationships/image" Target="media/image6.emf"/><Relationship Id="rId113" Type="http://schemas.openxmlformats.org/officeDocument/2006/relationships/hyperlink" Target="https://en.wikipedia.org/wiki/Special:BookSources/978-0273765738" TargetMode="External"/><Relationship Id="rId118" Type="http://schemas.openxmlformats.org/officeDocument/2006/relationships/hyperlink" Target="https://www.linkedin.com/pulse/funding-financing-policy-confusion-paul-davies" TargetMode="External"/><Relationship Id="rId134" Type="http://schemas.openxmlformats.org/officeDocument/2006/relationships/hyperlink" Target="https://doi.org/10.1007/s11306-019-1622-2" TargetMode="Externa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xml"/><Relationship Id="rId72" Type="http://schemas.openxmlformats.org/officeDocument/2006/relationships/chart" Target="charts/chart150.xml"/><Relationship Id="rId80" Type="http://schemas.openxmlformats.org/officeDocument/2006/relationships/chart" Target="charts/chart17.xml"/><Relationship Id="rId85" Type="http://schemas.openxmlformats.org/officeDocument/2006/relationships/chart" Target="charts/chart22.xml"/><Relationship Id="rId93" Type="http://schemas.openxmlformats.org/officeDocument/2006/relationships/diagramLayout" Target="diagrams/layout9.xml"/><Relationship Id="rId98" Type="http://schemas.microsoft.com/office/2007/relationships/hdphoto" Target="NULL"/><Relationship Id="rId121" Type="http://schemas.openxmlformats.org/officeDocument/2006/relationships/hyperlink" Target="https://nationalbank.kz/ru/news/svedeniya-o-strukture-vkladov/rubrics/1592"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chart" Target="charts/chart11.xml"/><Relationship Id="rId67" Type="http://schemas.openxmlformats.org/officeDocument/2006/relationships/image" Target="media/image4.emf"/><Relationship Id="rId103" Type="http://schemas.openxmlformats.org/officeDocument/2006/relationships/diagramColors" Target="diagrams/colors10.xml"/><Relationship Id="rId108" Type="http://schemas.openxmlformats.org/officeDocument/2006/relationships/hyperlink" Target="https://financial-dictionary.thefreedictionary.com/funding" TargetMode="External"/><Relationship Id="rId116" Type="http://schemas.openxmlformats.org/officeDocument/2006/relationships/hyperlink" Target="http://www.differencebetween.net/business/difference-between-funding-and-financing/" TargetMode="External"/><Relationship Id="rId124" Type="http://schemas.openxmlformats.org/officeDocument/2006/relationships/hyperlink" Target="https://nationalbank.kz/ru/news/svedeniya-o-strukture-vkladov/rubrics/1592" TargetMode="External"/><Relationship Id="rId129" Type="http://schemas.openxmlformats.org/officeDocument/2006/relationships/hyperlink" Target="https://arxiv.org/pdf/1706.04059.pdf" TargetMode="External"/><Relationship Id="rId137" Type="http://schemas.openxmlformats.org/officeDocument/2006/relationships/footer" Target="footer1.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chart" Target="charts/chart6.xml"/><Relationship Id="rId62" Type="http://schemas.openxmlformats.org/officeDocument/2006/relationships/chart" Target="charts/chart14.xml"/><Relationship Id="rId70" Type="http://schemas.openxmlformats.org/officeDocument/2006/relationships/image" Target="media/image7.emf"/><Relationship Id="rId75" Type="http://schemas.openxmlformats.org/officeDocument/2006/relationships/image" Target="media/image40.emf"/><Relationship Id="rId83" Type="http://schemas.openxmlformats.org/officeDocument/2006/relationships/chart" Target="charts/chart20.xml"/><Relationship Id="rId88" Type="http://schemas.openxmlformats.org/officeDocument/2006/relationships/chart" Target="charts/chart25.xml"/><Relationship Id="rId91" Type="http://schemas.openxmlformats.org/officeDocument/2006/relationships/chart" Target="charts/chart28.xml"/><Relationship Id="rId96" Type="http://schemas.microsoft.com/office/2007/relationships/diagramDrawing" Target="diagrams/drawing9.xml"/><Relationship Id="rId111" Type="http://schemas.openxmlformats.org/officeDocument/2006/relationships/hyperlink" Target="https://en.wikipedia.org/wiki/Frederic_Mishkin" TargetMode="External"/><Relationship Id="rId132" Type="http://schemas.openxmlformats.org/officeDocument/2006/relationships/hyperlink" Target="https://doi.org/10.1155/2019/217363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chart" Target="charts/chart1.xml"/><Relationship Id="rId57" Type="http://schemas.openxmlformats.org/officeDocument/2006/relationships/chart" Target="charts/chart9.xml"/><Relationship Id="rId106" Type="http://schemas.openxmlformats.org/officeDocument/2006/relationships/hyperlink" Target="https://exclusiveejournal.sk/files/files/10/54/53/896653d1a6c844e4b16c221f7866f1ad/896653d1a6c844e4b16c221f7866f1ad.pdf" TargetMode="External"/><Relationship Id="rId114" Type="http://schemas.openxmlformats.org/officeDocument/2006/relationships/hyperlink" Target="https://www.elibrary.ru/publisher_books.asp?publishid=20832" TargetMode="External"/><Relationship Id="rId119" Type="http://schemas.openxmlformats.org/officeDocument/2006/relationships/hyperlink" Target="https://wikidiff.com/funding/financing" TargetMode="External"/><Relationship Id="rId127" Type="http://schemas.openxmlformats.org/officeDocument/2006/relationships/hyperlink" Target="http://sci-conf.com.ua" TargetMode="Externa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chart" Target="charts/chart4.xml"/><Relationship Id="rId60" Type="http://schemas.openxmlformats.org/officeDocument/2006/relationships/chart" Target="charts/chart12.xml"/><Relationship Id="rId65" Type="http://schemas.openxmlformats.org/officeDocument/2006/relationships/image" Target="media/image2.emf"/><Relationship Id="rId73" Type="http://schemas.openxmlformats.org/officeDocument/2006/relationships/image" Target="media/image20.emf"/><Relationship Id="rId78" Type="http://schemas.openxmlformats.org/officeDocument/2006/relationships/image" Target="media/image70.emf"/><Relationship Id="rId81" Type="http://schemas.openxmlformats.org/officeDocument/2006/relationships/chart" Target="charts/chart18.xml"/><Relationship Id="rId86" Type="http://schemas.openxmlformats.org/officeDocument/2006/relationships/chart" Target="charts/chart23.xml"/><Relationship Id="rId94" Type="http://schemas.openxmlformats.org/officeDocument/2006/relationships/diagramQuickStyle" Target="diagrams/quickStyle9.xml"/><Relationship Id="rId99" Type="http://schemas.openxmlformats.org/officeDocument/2006/relationships/chart" Target="charts/chart29.xml"/><Relationship Id="rId101" Type="http://schemas.openxmlformats.org/officeDocument/2006/relationships/diagramLayout" Target="diagrams/layout10.xml"/><Relationship Id="rId122" Type="http://schemas.openxmlformats.org/officeDocument/2006/relationships/hyperlink" Target="https://nationalbank.kz/ru/news/svedeniya-o-strukture-vkladov/rubrics/1592" TargetMode="External"/><Relationship Id="rId130" Type="http://schemas.openxmlformats.org/officeDocument/2006/relationships/hyperlink" Target="http://online.sfsu.edu/efc/classes/biol710/manova/MANOVAnewest.pdf" TargetMode="External"/><Relationship Id="rId135" Type="http://schemas.openxmlformats.org/officeDocument/2006/relationships/hyperlink" Target="https://www.researchgate.net/deref/http%3A%2F%2Fdx.doi.org%2F10.1111%2F1759-3441.12222?_sg%5B0%5D=xu1zb6KumTNSo-G9ZyHdcp-Gyy1HtIgFrETCJ1b97BpcDaNL28wQYiOsyXeu9l-ulH7JQggNm4GDtOnuDRYYgk6ZWw.8KOW33v59Fdegqzo2mrm-_lvlTO7lb0yIJ8aHC1xQQJCpy8WfOZ33YBfa7qatGEKZnFVaown8D9V9VwuS_5zIQ" TargetMode="Externa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openxmlformats.org/officeDocument/2006/relationships/hyperlink" Target="https://en.wikipedia.org/wiki/ISBN_(identifier)" TargetMode="External"/><Relationship Id="rId34" Type="http://schemas.openxmlformats.org/officeDocument/2006/relationships/diagramData" Target="diagrams/data6.xml"/><Relationship Id="rId50" Type="http://schemas.openxmlformats.org/officeDocument/2006/relationships/chart" Target="charts/chart2.xml"/><Relationship Id="rId55" Type="http://schemas.openxmlformats.org/officeDocument/2006/relationships/chart" Target="charts/chart7.xml"/><Relationship Id="rId76" Type="http://schemas.openxmlformats.org/officeDocument/2006/relationships/image" Target="media/image50.emf"/><Relationship Id="rId97" Type="http://schemas.openxmlformats.org/officeDocument/2006/relationships/image" Target="media/image8.png"/><Relationship Id="rId104" Type="http://schemas.microsoft.com/office/2007/relationships/diagramDrawing" Target="diagrams/drawing10.xml"/><Relationship Id="rId120" Type="http://schemas.openxmlformats.org/officeDocument/2006/relationships/hyperlink" Target="https://wcj.world.ru/PDF/04MZ317.pdf" TargetMode="External"/><Relationship Id="rId125" Type="http://schemas.openxmlformats.org/officeDocument/2006/relationships/hyperlink" Target="https://nationalbank.kz/ru/news/svedeniya-o-vypolnenii-normativov/rubrics/1586" TargetMode="External"/><Relationship Id="rId7" Type="http://schemas.openxmlformats.org/officeDocument/2006/relationships/footnotes" Target="footnotes.xml"/><Relationship Id="rId71" Type="http://schemas.openxmlformats.org/officeDocument/2006/relationships/image" Target="media/image10.emf"/><Relationship Id="rId92" Type="http://schemas.openxmlformats.org/officeDocument/2006/relationships/diagramData" Target="diagrams/data9.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image" Target="media/image3.emf"/><Relationship Id="rId87" Type="http://schemas.openxmlformats.org/officeDocument/2006/relationships/chart" Target="charts/chart24.xml"/><Relationship Id="rId110" Type="http://schemas.openxmlformats.org/officeDocument/2006/relationships/hyperlink" Target="https://en.wikipedia.org/wiki/Special:BookSources/978-3-319-78524-0" TargetMode="External"/><Relationship Id="rId115" Type="http://schemas.openxmlformats.org/officeDocument/2006/relationships/hyperlink" Target="http://www.differencebetween.net/business/difference-between-funding-and-financing/" TargetMode="External"/><Relationship Id="rId131" Type="http://schemas.openxmlformats.org/officeDocument/2006/relationships/hyperlink" Target="https://en.wikipedia.org/wiki/Journal_of_Multivariate_Analysis" TargetMode="External"/><Relationship Id="rId136" Type="http://schemas.openxmlformats.org/officeDocument/2006/relationships/hyperlink" Target="https://doi.org/10.32014/2019.2518-1483.83" TargetMode="External"/><Relationship Id="rId61" Type="http://schemas.openxmlformats.org/officeDocument/2006/relationships/chart" Target="charts/chart13.xml"/><Relationship Id="rId82" Type="http://schemas.openxmlformats.org/officeDocument/2006/relationships/chart" Target="charts/chart19.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chart" Target="charts/chart8.xml"/><Relationship Id="rId77" Type="http://schemas.openxmlformats.org/officeDocument/2006/relationships/image" Target="media/image60.emf"/><Relationship Id="rId100" Type="http://schemas.openxmlformats.org/officeDocument/2006/relationships/diagramData" Target="diagrams/data10.xml"/><Relationship Id="rId105" Type="http://schemas.openxmlformats.org/officeDocument/2006/relationships/hyperlink" Target="https://www.akorda.kz/ru/official_documents/strategies_and_programs" TargetMode="External"/><Relationship Id="rId126" Type="http://schemas.openxmlformats.org/officeDocument/2006/relationships/hyperlink" Target="https://doi.org/10.32014/2019.2224-5294.11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9;&#1090;&#1072;&#1090;&#1100;&#1080;\&#1050;&#1085;&#1080;&#1075;&#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9;&#1090;&#1072;&#1090;&#1100;&#1080;\&#1050;&#1085;&#1080;&#1075;&#107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9;&#1090;&#1072;&#1090;&#1100;&#1080;\&#1050;&#1085;&#1080;&#1075;&#107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2021-03-15_16_53_5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2021-03-15_16_53_5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8;&#1072;&#1089;&#1095;&#1077;&#1090;&#1099;.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8;&#1072;&#1089;&#1095;&#1077;&#1090;&#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9;&#1090;&#1072;&#1090;&#1100;&#1080;\&#1050;&#1085;&#1080;&#1075;&#107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9;&#1090;&#1072;&#1090;&#1100;&#1080;\&#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7;&#1074;&#1077;&#1076;&#1077;&#1085;&#1080;&#1103;%20&#1086;%20&#1089;&#1090;&#1088;&#1091;&#1082;&#1090;&#1091;&#1088;&#1077;%20&#1074;&#1082;&#1083;&#1072;&#1076;&#1086;&#1074;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5;&#1077;&#1090;&#1090;&#1086;%20&#1092;&#1086;&#1085;&#1076;&#1080;&#108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9;&#1090;&#1072;&#1090;&#1100;&#1080;\&#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ahir\Desktop\&#1092;&#1086;&#1085;&#1076;&#1080;&#1088;&#1086;&#1074;&#1072;&#1085;&#1080;&#1077;\&#1089;&#1090;&#1072;&#1090;&#1100;&#1080;\&#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sz="1100" i="1"/>
                </a:pPr>
                <a:endParaRPr lang="ru-RU"/>
              </a:p>
            </c:txPr>
            <c:showLegendKey val="0"/>
            <c:showVal val="1"/>
            <c:showCatName val="0"/>
            <c:showSerName val="0"/>
            <c:showPercent val="0"/>
            <c:showBubbleSize val="0"/>
            <c:showLeaderLines val="0"/>
          </c:dLbls>
          <c:cat>
            <c:strRef>
              <c:f>Лист1!$A$1:$G$1</c:f>
              <c:strCache>
                <c:ptCount val="7"/>
                <c:pt idx="0">
                  <c:v>01.01.2015 г.</c:v>
                </c:pt>
                <c:pt idx="1">
                  <c:v>01.01.2016 г.</c:v>
                </c:pt>
                <c:pt idx="2">
                  <c:v>01.01.2017 г.</c:v>
                </c:pt>
                <c:pt idx="3">
                  <c:v>01.01.2018 г.</c:v>
                </c:pt>
                <c:pt idx="4">
                  <c:v>01.01.2019 г.</c:v>
                </c:pt>
                <c:pt idx="5">
                  <c:v>01.01.2020 г.</c:v>
                </c:pt>
                <c:pt idx="6">
                  <c:v>01.01.2021 г.</c:v>
                </c:pt>
              </c:strCache>
            </c:strRef>
          </c:cat>
          <c:val>
            <c:numRef>
              <c:f>Лист1!$A$2:$G$2</c:f>
              <c:numCache>
                <c:formatCode>General</c:formatCode>
                <c:ptCount val="7"/>
                <c:pt idx="0">
                  <c:v>38</c:v>
                </c:pt>
                <c:pt idx="1">
                  <c:v>35</c:v>
                </c:pt>
                <c:pt idx="2">
                  <c:v>33</c:v>
                </c:pt>
                <c:pt idx="3">
                  <c:v>32</c:v>
                </c:pt>
                <c:pt idx="4">
                  <c:v>28</c:v>
                </c:pt>
                <c:pt idx="5">
                  <c:v>27</c:v>
                </c:pt>
                <c:pt idx="6">
                  <c:v>26</c:v>
                </c:pt>
              </c:numCache>
            </c:numRef>
          </c:val>
        </c:ser>
        <c:dLbls>
          <c:showLegendKey val="0"/>
          <c:showVal val="0"/>
          <c:showCatName val="0"/>
          <c:showSerName val="0"/>
          <c:showPercent val="0"/>
          <c:showBubbleSize val="0"/>
        </c:dLbls>
        <c:gapWidth val="150"/>
        <c:axId val="221214976"/>
        <c:axId val="221216768"/>
      </c:barChart>
      <c:lineChart>
        <c:grouping val="standard"/>
        <c:varyColors val="0"/>
        <c:ser>
          <c:idx val="1"/>
          <c:order val="1"/>
          <c:cat>
            <c:strRef>
              <c:f>Лист1!$A$1:$G$1</c:f>
              <c:strCache>
                <c:ptCount val="7"/>
                <c:pt idx="0">
                  <c:v>01.01.2015 г.</c:v>
                </c:pt>
                <c:pt idx="1">
                  <c:v>01.01.2016 г.</c:v>
                </c:pt>
                <c:pt idx="2">
                  <c:v>01.01.2017 г.</c:v>
                </c:pt>
                <c:pt idx="3">
                  <c:v>01.01.2018 г.</c:v>
                </c:pt>
                <c:pt idx="4">
                  <c:v>01.01.2019 г.</c:v>
                </c:pt>
                <c:pt idx="5">
                  <c:v>01.01.2020 г.</c:v>
                </c:pt>
                <c:pt idx="6">
                  <c:v>01.01.2021 г.</c:v>
                </c:pt>
              </c:strCache>
            </c:strRef>
          </c:cat>
          <c:val>
            <c:numRef>
              <c:f>Лист1!$A$3:$G$3</c:f>
              <c:numCache>
                <c:formatCode>General</c:formatCode>
                <c:ptCount val="7"/>
                <c:pt idx="0">
                  <c:v>38</c:v>
                </c:pt>
                <c:pt idx="1">
                  <c:v>35</c:v>
                </c:pt>
                <c:pt idx="2">
                  <c:v>33</c:v>
                </c:pt>
                <c:pt idx="3">
                  <c:v>32</c:v>
                </c:pt>
                <c:pt idx="4">
                  <c:v>28</c:v>
                </c:pt>
                <c:pt idx="5">
                  <c:v>27</c:v>
                </c:pt>
                <c:pt idx="6">
                  <c:v>26</c:v>
                </c:pt>
              </c:numCache>
            </c:numRef>
          </c:val>
          <c:smooth val="0"/>
        </c:ser>
        <c:dLbls>
          <c:showLegendKey val="0"/>
          <c:showVal val="0"/>
          <c:showCatName val="0"/>
          <c:showSerName val="0"/>
          <c:showPercent val="0"/>
          <c:showBubbleSize val="0"/>
        </c:dLbls>
        <c:marker val="1"/>
        <c:smooth val="0"/>
        <c:axId val="221219840"/>
        <c:axId val="221218304"/>
      </c:lineChart>
      <c:catAx>
        <c:axId val="221214976"/>
        <c:scaling>
          <c:orientation val="minMax"/>
        </c:scaling>
        <c:delete val="0"/>
        <c:axPos val="b"/>
        <c:majorTickMark val="out"/>
        <c:minorTickMark val="none"/>
        <c:tickLblPos val="nextTo"/>
        <c:crossAx val="221216768"/>
        <c:crosses val="autoZero"/>
        <c:auto val="1"/>
        <c:lblAlgn val="ctr"/>
        <c:lblOffset val="100"/>
        <c:noMultiLvlLbl val="0"/>
      </c:catAx>
      <c:valAx>
        <c:axId val="221216768"/>
        <c:scaling>
          <c:orientation val="minMax"/>
        </c:scaling>
        <c:delete val="0"/>
        <c:axPos val="l"/>
        <c:majorGridlines/>
        <c:numFmt formatCode="General" sourceLinked="1"/>
        <c:majorTickMark val="out"/>
        <c:minorTickMark val="none"/>
        <c:tickLblPos val="nextTo"/>
        <c:crossAx val="221214976"/>
        <c:crosses val="autoZero"/>
        <c:crossBetween val="between"/>
      </c:valAx>
      <c:valAx>
        <c:axId val="221218304"/>
        <c:scaling>
          <c:orientation val="minMax"/>
        </c:scaling>
        <c:delete val="0"/>
        <c:axPos val="r"/>
        <c:numFmt formatCode="General" sourceLinked="1"/>
        <c:majorTickMark val="out"/>
        <c:minorTickMark val="none"/>
        <c:tickLblPos val="nextTo"/>
        <c:crossAx val="221219840"/>
        <c:crosses val="max"/>
        <c:crossBetween val="between"/>
      </c:valAx>
      <c:catAx>
        <c:axId val="221219840"/>
        <c:scaling>
          <c:orientation val="minMax"/>
        </c:scaling>
        <c:delete val="1"/>
        <c:axPos val="b"/>
        <c:majorTickMark val="out"/>
        <c:minorTickMark val="none"/>
        <c:tickLblPos val="none"/>
        <c:crossAx val="221218304"/>
        <c:crosses val="autoZero"/>
        <c:auto val="1"/>
        <c:lblAlgn val="ctr"/>
        <c:lblOffset val="100"/>
        <c:noMultiLvlLbl val="0"/>
      </c:cat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943822239611394E-2"/>
          <c:y val="2.6909813356663828E-2"/>
          <c:w val="0.91370421088668263"/>
          <c:h val="0.66415404805168665"/>
        </c:manualLayout>
      </c:layout>
      <c:lineChart>
        <c:grouping val="standard"/>
        <c:varyColors val="0"/>
        <c:ser>
          <c:idx val="0"/>
          <c:order val="0"/>
          <c:tx>
            <c:strRef>
              <c:f>Лист6!$A$2</c:f>
              <c:strCache>
                <c:ptCount val="1"/>
                <c:pt idx="0">
                  <c:v>юридических лиц</c:v>
                </c:pt>
              </c:strCache>
            </c:strRef>
          </c:tx>
          <c:dLbls>
            <c:dLbl>
              <c:idx val="0"/>
              <c:layout>
                <c:manualLayout>
                  <c:x val="-3.5196687370600409E-2"/>
                  <c:y val="7.407407407407407E-2"/>
                </c:manualLayout>
              </c:layout>
              <c:showLegendKey val="0"/>
              <c:showVal val="1"/>
              <c:showCatName val="0"/>
              <c:showSerName val="0"/>
              <c:showPercent val="0"/>
              <c:showBubbleSize val="0"/>
            </c:dLbl>
            <c:dLbl>
              <c:idx val="1"/>
              <c:layout>
                <c:manualLayout>
                  <c:x val="-5.1759834368530017E-2"/>
                  <c:y val="5.5555555555555455E-2"/>
                </c:manualLayout>
              </c:layout>
              <c:showLegendKey val="0"/>
              <c:showVal val="1"/>
              <c:showCatName val="0"/>
              <c:showSerName val="0"/>
              <c:showPercent val="0"/>
              <c:showBubbleSize val="0"/>
            </c:dLbl>
            <c:dLbl>
              <c:idx val="2"/>
              <c:layout>
                <c:manualLayout>
                  <c:x val="-4.1407867494824016E-2"/>
                  <c:y val="6.4814814814814964E-2"/>
                </c:manualLayout>
              </c:layout>
              <c:showLegendKey val="0"/>
              <c:showVal val="1"/>
              <c:showCatName val="0"/>
              <c:showSerName val="0"/>
              <c:showPercent val="0"/>
              <c:showBubbleSize val="0"/>
            </c:dLbl>
            <c:dLbl>
              <c:idx val="3"/>
              <c:layout>
                <c:manualLayout>
                  <c:x val="-4.5548654244306423E-2"/>
                  <c:y val="4.1666666666666664E-2"/>
                </c:manualLayout>
              </c:layout>
              <c:showLegendKey val="0"/>
              <c:showVal val="1"/>
              <c:showCatName val="0"/>
              <c:showSerName val="0"/>
              <c:showPercent val="0"/>
              <c:showBubbleSize val="0"/>
            </c:dLbl>
            <c:dLbl>
              <c:idx val="4"/>
              <c:layout>
                <c:manualLayout>
                  <c:x val="-2.4844720496894412E-2"/>
                  <c:y val="-5.5555555555555455E-2"/>
                </c:manualLayout>
              </c:layout>
              <c:showLegendKey val="0"/>
              <c:showVal val="1"/>
              <c:showCatName val="0"/>
              <c:showSerName val="0"/>
              <c:showPercent val="0"/>
              <c:showBubbleSize val="0"/>
            </c:dLbl>
            <c:dLbl>
              <c:idx val="5"/>
              <c:layout>
                <c:manualLayout>
                  <c:x val="-2.6915113871635612E-2"/>
                  <c:y val="-5.55555555555554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trendline>
            <c:spPr>
              <a:ln w="25400">
                <a:solidFill>
                  <a:srgbClr val="00B050"/>
                </a:solidFill>
                <a:prstDash val="dash"/>
                <a:tailEnd type="stealth"/>
              </a:ln>
            </c:spPr>
            <c:trendlineType val="poly"/>
            <c:order val="4"/>
            <c:forward val="2"/>
            <c:dispRSqr val="1"/>
            <c:dispEq val="1"/>
            <c:trendlineLbl>
              <c:layout>
                <c:manualLayout>
                  <c:x val="7.3028480135635385E-2"/>
                  <c:y val="0.51037294501367247"/>
                </c:manualLayout>
              </c:layout>
              <c:numFmt formatCode="General" sourceLinked="0"/>
              <c:txPr>
                <a:bodyPr/>
                <a:lstStyle/>
                <a:p>
                  <a:pPr>
                    <a:defRPr i="1"/>
                  </a:pPr>
                  <a:endParaRPr lang="ru-RU"/>
                </a:p>
              </c:txPr>
            </c:trendlineLbl>
          </c:trendline>
          <c:cat>
            <c:strRef>
              <c:f>Лист6!$B$1:$H$1</c:f>
              <c:strCache>
                <c:ptCount val="7"/>
                <c:pt idx="0">
                  <c:v>2014 г.</c:v>
                </c:pt>
                <c:pt idx="1">
                  <c:v>2015 г.</c:v>
                </c:pt>
                <c:pt idx="2">
                  <c:v>2016 г.</c:v>
                </c:pt>
                <c:pt idx="3">
                  <c:v>2017 г.</c:v>
                </c:pt>
                <c:pt idx="4">
                  <c:v>2018 г.</c:v>
                </c:pt>
                <c:pt idx="5">
                  <c:v>2019 г.</c:v>
                </c:pt>
                <c:pt idx="6">
                  <c:v>2020 г.</c:v>
                </c:pt>
              </c:strCache>
            </c:strRef>
          </c:cat>
          <c:val>
            <c:numRef>
              <c:f>Лист6!$B$2:$H$2</c:f>
              <c:numCache>
                <c:formatCode>General</c:formatCode>
                <c:ptCount val="7"/>
                <c:pt idx="0">
                  <c:v>4193.8</c:v>
                </c:pt>
                <c:pt idx="1">
                  <c:v>5231.3</c:v>
                </c:pt>
                <c:pt idx="2">
                  <c:v>5307.3</c:v>
                </c:pt>
                <c:pt idx="3">
                  <c:v>4571.3</c:v>
                </c:pt>
                <c:pt idx="4">
                  <c:v>3834.7</c:v>
                </c:pt>
                <c:pt idx="5" formatCode="#,##0.00">
                  <c:v>4088.7</c:v>
                </c:pt>
                <c:pt idx="6" formatCode="#,##0.00">
                  <c:v>5255.8</c:v>
                </c:pt>
              </c:numCache>
            </c:numRef>
          </c:val>
          <c:smooth val="0"/>
        </c:ser>
        <c:ser>
          <c:idx val="1"/>
          <c:order val="1"/>
          <c:tx>
            <c:strRef>
              <c:f>Лист6!$A$3</c:f>
              <c:strCache>
                <c:ptCount val="1"/>
                <c:pt idx="0">
                  <c:v>физических лиц</c:v>
                </c:pt>
              </c:strCache>
            </c:strRef>
          </c:tx>
          <c:dLbls>
            <c:dLbl>
              <c:idx val="0"/>
              <c:layout>
                <c:manualLayout>
                  <c:x val="-4.9689440993788823E-2"/>
                  <c:y val="-5.5555555555555455E-2"/>
                </c:manualLayout>
              </c:layout>
              <c:showLegendKey val="0"/>
              <c:showVal val="1"/>
              <c:showCatName val="0"/>
              <c:showSerName val="0"/>
              <c:showPercent val="0"/>
              <c:showBubbleSize val="0"/>
            </c:dLbl>
            <c:dLbl>
              <c:idx val="1"/>
              <c:layout>
                <c:manualLayout>
                  <c:x val="-4.5548654244306423E-2"/>
                  <c:y val="-5.5555555555555455E-2"/>
                </c:manualLayout>
              </c:layout>
              <c:showLegendKey val="0"/>
              <c:showVal val="1"/>
              <c:showCatName val="0"/>
              <c:showSerName val="0"/>
              <c:showPercent val="0"/>
              <c:showBubbleSize val="0"/>
            </c:dLbl>
            <c:dLbl>
              <c:idx val="2"/>
              <c:layout>
                <c:manualLayout>
                  <c:x val="-4.1407867494824016E-2"/>
                  <c:y val="-5.555555555555549E-2"/>
                </c:manualLayout>
              </c:layout>
              <c:showLegendKey val="0"/>
              <c:showVal val="1"/>
              <c:showCatName val="0"/>
              <c:showSerName val="0"/>
              <c:showPercent val="0"/>
              <c:showBubbleSize val="0"/>
            </c:dLbl>
            <c:dLbl>
              <c:idx val="3"/>
              <c:layout>
                <c:manualLayout>
                  <c:x val="-3.1055900621118092E-2"/>
                  <c:y val="-7.4074074074074028E-2"/>
                </c:manualLayout>
              </c:layout>
              <c:showLegendKey val="0"/>
              <c:showVal val="1"/>
              <c:showCatName val="0"/>
              <c:showSerName val="0"/>
              <c:showPercent val="0"/>
              <c:showBubbleSize val="0"/>
            </c:dLbl>
            <c:dLbl>
              <c:idx val="4"/>
              <c:layout>
                <c:manualLayout>
                  <c:x val="-3.9337474120082809E-2"/>
                  <c:y val="-5.0925925925925923E-2"/>
                </c:manualLayout>
              </c:layout>
              <c:showLegendKey val="0"/>
              <c:showVal val="1"/>
              <c:showCatName val="0"/>
              <c:showSerName val="0"/>
              <c:showPercent val="0"/>
              <c:showBubbleSize val="0"/>
            </c:dLbl>
            <c:dLbl>
              <c:idx val="5"/>
              <c:layout>
                <c:manualLayout>
                  <c:x val="-4.1407867494824016E-2"/>
                  <c:y val="-5.5555555555555455E-2"/>
                </c:manualLayout>
              </c:layout>
              <c:showLegendKey val="0"/>
              <c:showVal val="1"/>
              <c:showCatName val="0"/>
              <c:showSerName val="0"/>
              <c:showPercent val="0"/>
              <c:showBubbleSize val="0"/>
            </c:dLbl>
            <c:dLbl>
              <c:idx val="6"/>
              <c:layout>
                <c:manualLayout>
                  <c:x val="-4.3478260869565223E-2"/>
                  <c:y val="-6.0185185185185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trendline>
            <c:spPr>
              <a:ln w="25400">
                <a:solidFill>
                  <a:srgbClr val="FFC000"/>
                </a:solidFill>
                <a:prstDash val="dash"/>
                <a:tailEnd type="stealth"/>
              </a:ln>
            </c:spPr>
            <c:trendlineType val="poly"/>
            <c:order val="3"/>
            <c:forward val="2"/>
            <c:dispRSqr val="1"/>
            <c:dispEq val="1"/>
            <c:trendlineLbl>
              <c:layout>
                <c:manualLayout>
                  <c:x val="-0.36641267667628574"/>
                  <c:y val="7.638281325945382E-3"/>
                </c:manualLayout>
              </c:layout>
              <c:numFmt formatCode="General" sourceLinked="0"/>
              <c:txPr>
                <a:bodyPr/>
                <a:lstStyle/>
                <a:p>
                  <a:pPr>
                    <a:defRPr i="1"/>
                  </a:pPr>
                  <a:endParaRPr lang="ru-RU"/>
                </a:p>
              </c:txPr>
            </c:trendlineLbl>
          </c:trendline>
          <c:cat>
            <c:strRef>
              <c:f>Лист6!$B$1:$H$1</c:f>
              <c:strCache>
                <c:ptCount val="7"/>
                <c:pt idx="0">
                  <c:v>2014 г.</c:v>
                </c:pt>
                <c:pt idx="1">
                  <c:v>2015 г.</c:v>
                </c:pt>
                <c:pt idx="2">
                  <c:v>2016 г.</c:v>
                </c:pt>
                <c:pt idx="3">
                  <c:v>2017 г.</c:v>
                </c:pt>
                <c:pt idx="4">
                  <c:v>2018 г.</c:v>
                </c:pt>
                <c:pt idx="5">
                  <c:v>2019 г.</c:v>
                </c:pt>
                <c:pt idx="6">
                  <c:v>2020 г.</c:v>
                </c:pt>
              </c:strCache>
            </c:strRef>
          </c:cat>
          <c:val>
            <c:numRef>
              <c:f>Лист6!$B$3:$H$3</c:f>
              <c:numCache>
                <c:formatCode>General</c:formatCode>
                <c:ptCount val="7"/>
                <c:pt idx="0">
                  <c:v>3727.8</c:v>
                </c:pt>
                <c:pt idx="1">
                  <c:v>6073.5</c:v>
                </c:pt>
                <c:pt idx="2">
                  <c:v>6876.9000000000005</c:v>
                </c:pt>
                <c:pt idx="3">
                  <c:v>7103.1000000000013</c:v>
                </c:pt>
                <c:pt idx="4">
                  <c:v>7404.1000000000013</c:v>
                </c:pt>
                <c:pt idx="5">
                  <c:v>7661.4</c:v>
                </c:pt>
                <c:pt idx="6" formatCode="#,##0.00">
                  <c:v>8004.4</c:v>
                </c:pt>
              </c:numCache>
            </c:numRef>
          </c:val>
          <c:smooth val="0"/>
        </c:ser>
        <c:dLbls>
          <c:showLegendKey val="0"/>
          <c:showVal val="0"/>
          <c:showCatName val="0"/>
          <c:showSerName val="0"/>
          <c:showPercent val="0"/>
          <c:showBubbleSize val="0"/>
        </c:dLbls>
        <c:marker val="1"/>
        <c:smooth val="0"/>
        <c:axId val="222244224"/>
        <c:axId val="222274688"/>
      </c:lineChart>
      <c:catAx>
        <c:axId val="222244224"/>
        <c:scaling>
          <c:orientation val="minMax"/>
        </c:scaling>
        <c:delete val="0"/>
        <c:axPos val="b"/>
        <c:majorTickMark val="out"/>
        <c:minorTickMark val="none"/>
        <c:tickLblPos val="nextTo"/>
        <c:crossAx val="222274688"/>
        <c:crosses val="autoZero"/>
        <c:auto val="1"/>
        <c:lblAlgn val="ctr"/>
        <c:lblOffset val="100"/>
        <c:noMultiLvlLbl val="0"/>
      </c:catAx>
      <c:valAx>
        <c:axId val="222274688"/>
        <c:scaling>
          <c:orientation val="minMax"/>
        </c:scaling>
        <c:delete val="0"/>
        <c:axPos val="l"/>
        <c:majorGridlines/>
        <c:numFmt formatCode="General" sourceLinked="1"/>
        <c:majorTickMark val="out"/>
        <c:minorTickMark val="none"/>
        <c:tickLblPos val="nextTo"/>
        <c:crossAx val="222244224"/>
        <c:crosses val="autoZero"/>
        <c:crossBetween val="between"/>
      </c:valAx>
    </c:plotArea>
    <c:legend>
      <c:legendPos val="b"/>
      <c:layout>
        <c:manualLayout>
          <c:xMode val="edge"/>
          <c:yMode val="edge"/>
          <c:x val="6.2111801242235604E-4"/>
          <c:y val="0.84986876640420062"/>
          <c:w val="0.99937888198757752"/>
          <c:h val="0.15013123359580102"/>
        </c:manualLayout>
      </c:layout>
      <c:overlay val="0"/>
      <c:txPr>
        <a:bodyPr/>
        <a:lstStyle/>
        <a:p>
          <a:pPr>
            <a:defRPr sz="1000"/>
          </a:pPr>
          <a:endParaRPr lang="ru-RU"/>
        </a:p>
      </c:txPr>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9453083989501507E-2"/>
          <c:y val="3.9106499399439464E-2"/>
          <c:w val="0.64846883202099892"/>
          <c:h val="0.802683615819209"/>
        </c:manualLayout>
      </c:layout>
      <c:bar3DChart>
        <c:barDir val="col"/>
        <c:grouping val="percentStacked"/>
        <c:varyColors val="0"/>
        <c:ser>
          <c:idx val="0"/>
          <c:order val="0"/>
          <c:tx>
            <c:strRef>
              <c:f>[Книга1.xlsx]Лист4!$A$9</c:f>
              <c:strCache>
                <c:ptCount val="1"/>
                <c:pt idx="0">
                  <c:v>текущие счета</c:v>
                </c:pt>
              </c:strCache>
            </c:strRef>
          </c:tx>
          <c:invertIfNegative val="0"/>
          <c:dLbls>
            <c:txPr>
              <a:bodyPr/>
              <a:lstStyle/>
              <a:p>
                <a:pPr>
                  <a:defRPr sz="1100"/>
                </a:pPr>
                <a:endParaRPr lang="ru-RU"/>
              </a:p>
            </c:txPr>
            <c:showLegendKey val="0"/>
            <c:showVal val="1"/>
            <c:showCatName val="0"/>
            <c:showSerName val="0"/>
            <c:showPercent val="0"/>
            <c:showBubbleSize val="0"/>
            <c:showLeaderLines val="0"/>
          </c:dLbls>
          <c:cat>
            <c:strRef>
              <c:f>[Книга1.xlsx]Лист4!$B$8:$H$8</c:f>
              <c:strCache>
                <c:ptCount val="7"/>
                <c:pt idx="0">
                  <c:v>2014 г.</c:v>
                </c:pt>
                <c:pt idx="1">
                  <c:v>2015 г.</c:v>
                </c:pt>
                <c:pt idx="2">
                  <c:v>2016 г.</c:v>
                </c:pt>
                <c:pt idx="3">
                  <c:v>2017 г.</c:v>
                </c:pt>
                <c:pt idx="4">
                  <c:v>2018 г.</c:v>
                </c:pt>
                <c:pt idx="5">
                  <c:v>2019 г.</c:v>
                </c:pt>
                <c:pt idx="6">
                  <c:v>2020 г.</c:v>
                </c:pt>
              </c:strCache>
            </c:strRef>
          </c:cat>
          <c:val>
            <c:numRef>
              <c:f>[Книга1.xlsx]Лист4!$B$9:$H$9</c:f>
              <c:numCache>
                <c:formatCode>0.00</c:formatCode>
                <c:ptCount val="7"/>
                <c:pt idx="0">
                  <c:v>26.715707867148232</c:v>
                </c:pt>
                <c:pt idx="1">
                  <c:v>24.649633773573978</c:v>
                </c:pt>
                <c:pt idx="2">
                  <c:v>27.02708963089075</c:v>
                </c:pt>
                <c:pt idx="3">
                  <c:v>27.288750337220058</c:v>
                </c:pt>
                <c:pt idx="4">
                  <c:v>31.216921903420758</c:v>
                </c:pt>
                <c:pt idx="5" formatCode="General">
                  <c:v>30.9</c:v>
                </c:pt>
                <c:pt idx="6" formatCode="General">
                  <c:v>30.4</c:v>
                </c:pt>
              </c:numCache>
            </c:numRef>
          </c:val>
        </c:ser>
        <c:ser>
          <c:idx val="1"/>
          <c:order val="1"/>
          <c:tx>
            <c:strRef>
              <c:f>[Книга1.xlsx]Лист4!$A$10</c:f>
              <c:strCache>
                <c:ptCount val="1"/>
                <c:pt idx="0">
                  <c:v>вклады до востребования</c:v>
                </c:pt>
              </c:strCache>
            </c:strRef>
          </c:tx>
          <c:spPr>
            <a:solidFill>
              <a:srgbClr val="FFC000"/>
            </a:solidFill>
          </c:spPr>
          <c:invertIfNegative val="0"/>
          <c:dLbls>
            <c:txPr>
              <a:bodyPr/>
              <a:lstStyle/>
              <a:p>
                <a:pPr>
                  <a:defRPr sz="1100"/>
                </a:pPr>
                <a:endParaRPr lang="ru-RU"/>
              </a:p>
            </c:txPr>
            <c:showLegendKey val="0"/>
            <c:showVal val="1"/>
            <c:showCatName val="0"/>
            <c:showSerName val="0"/>
            <c:showPercent val="0"/>
            <c:showBubbleSize val="0"/>
            <c:showLeaderLines val="0"/>
          </c:dLbls>
          <c:cat>
            <c:strRef>
              <c:f>[Книга1.xlsx]Лист4!$B$8:$H$8</c:f>
              <c:strCache>
                <c:ptCount val="7"/>
                <c:pt idx="0">
                  <c:v>2014 г.</c:v>
                </c:pt>
                <c:pt idx="1">
                  <c:v>2015 г.</c:v>
                </c:pt>
                <c:pt idx="2">
                  <c:v>2016 г.</c:v>
                </c:pt>
                <c:pt idx="3">
                  <c:v>2017 г.</c:v>
                </c:pt>
                <c:pt idx="4">
                  <c:v>2018 г.</c:v>
                </c:pt>
                <c:pt idx="5">
                  <c:v>2019 г.</c:v>
                </c:pt>
                <c:pt idx="6">
                  <c:v>2020 г.</c:v>
                </c:pt>
              </c:strCache>
            </c:strRef>
          </c:cat>
          <c:val>
            <c:numRef>
              <c:f>[Книга1.xlsx]Лист4!$B$10:$H$10</c:f>
              <c:numCache>
                <c:formatCode>0.00</c:formatCode>
                <c:ptCount val="7"/>
                <c:pt idx="0">
                  <c:v>2.8358734913223467</c:v>
                </c:pt>
                <c:pt idx="1">
                  <c:v>2.2127381432993061</c:v>
                </c:pt>
                <c:pt idx="2">
                  <c:v>1.82412007921893</c:v>
                </c:pt>
                <c:pt idx="3">
                  <c:v>2.0886664068822878</c:v>
                </c:pt>
                <c:pt idx="4">
                  <c:v>2.1181716833890749</c:v>
                </c:pt>
                <c:pt idx="5" formatCode="General">
                  <c:v>2.5</c:v>
                </c:pt>
                <c:pt idx="6" formatCode="General">
                  <c:v>2.9</c:v>
                </c:pt>
              </c:numCache>
            </c:numRef>
          </c:val>
        </c:ser>
        <c:ser>
          <c:idx val="2"/>
          <c:order val="2"/>
          <c:tx>
            <c:strRef>
              <c:f>[Книга1.xlsx]Лист4!$A$11</c:f>
              <c:strCache>
                <c:ptCount val="1"/>
                <c:pt idx="0">
                  <c:v>срочные вклады</c:v>
                </c:pt>
              </c:strCache>
            </c:strRef>
          </c:tx>
          <c:invertIfNegative val="0"/>
          <c:dLbls>
            <c:txPr>
              <a:bodyPr/>
              <a:lstStyle/>
              <a:p>
                <a:pPr>
                  <a:defRPr sz="1100"/>
                </a:pPr>
                <a:endParaRPr lang="ru-RU"/>
              </a:p>
            </c:txPr>
            <c:showLegendKey val="0"/>
            <c:showVal val="1"/>
            <c:showCatName val="0"/>
            <c:showSerName val="0"/>
            <c:showPercent val="0"/>
            <c:showBubbleSize val="0"/>
            <c:showLeaderLines val="0"/>
          </c:dLbls>
          <c:cat>
            <c:strRef>
              <c:f>[Книга1.xlsx]Лист4!$B$8:$H$8</c:f>
              <c:strCache>
                <c:ptCount val="7"/>
                <c:pt idx="0">
                  <c:v>2014 г.</c:v>
                </c:pt>
                <c:pt idx="1">
                  <c:v>2015 г.</c:v>
                </c:pt>
                <c:pt idx="2">
                  <c:v>2016 г.</c:v>
                </c:pt>
                <c:pt idx="3">
                  <c:v>2017 г.</c:v>
                </c:pt>
                <c:pt idx="4">
                  <c:v>2018 г.</c:v>
                </c:pt>
                <c:pt idx="5">
                  <c:v>2019 г.</c:v>
                </c:pt>
                <c:pt idx="6">
                  <c:v>2020 г.</c:v>
                </c:pt>
              </c:strCache>
            </c:strRef>
          </c:cat>
          <c:val>
            <c:numRef>
              <c:f>[Книга1.xlsx]Лист4!$B$11:$H$11</c:f>
              <c:numCache>
                <c:formatCode>0.00</c:formatCode>
                <c:ptCount val="7"/>
                <c:pt idx="0">
                  <c:v>69.787683904501804</c:v>
                </c:pt>
                <c:pt idx="1">
                  <c:v>72.442983383637397</c:v>
                </c:pt>
                <c:pt idx="2">
                  <c:v>70.556964664188342</c:v>
                </c:pt>
                <c:pt idx="3">
                  <c:v>69.988309702946552</c:v>
                </c:pt>
                <c:pt idx="4">
                  <c:v>65.94378923898374</c:v>
                </c:pt>
                <c:pt idx="5" formatCode="General">
                  <c:v>65.900000000000006</c:v>
                </c:pt>
                <c:pt idx="6" formatCode="General">
                  <c:v>61.5</c:v>
                </c:pt>
              </c:numCache>
            </c:numRef>
          </c:val>
        </c:ser>
        <c:ser>
          <c:idx val="3"/>
          <c:order val="3"/>
          <c:tx>
            <c:strRef>
              <c:f>[Книга1.xlsx]Лист4!$A$12</c:f>
              <c:strCache>
                <c:ptCount val="1"/>
                <c:pt idx="0">
                  <c:v>сберегательные вклады</c:v>
                </c:pt>
              </c:strCache>
            </c:strRef>
          </c:tx>
          <c:invertIfNegative val="0"/>
          <c:dLbls>
            <c:dLbl>
              <c:idx val="6"/>
              <c:showLegendKey val="0"/>
              <c:showVal val="1"/>
              <c:showCatName val="0"/>
              <c:showSerName val="0"/>
              <c:showPercent val="0"/>
              <c:showBubbleSize val="0"/>
            </c:dLbl>
            <c:showLegendKey val="0"/>
            <c:showVal val="0"/>
            <c:showCatName val="0"/>
            <c:showSerName val="0"/>
            <c:showPercent val="0"/>
            <c:showBubbleSize val="0"/>
          </c:dLbls>
          <c:cat>
            <c:strRef>
              <c:f>[Книга1.xlsx]Лист4!$B$8:$H$8</c:f>
              <c:strCache>
                <c:ptCount val="7"/>
                <c:pt idx="0">
                  <c:v>2014 г.</c:v>
                </c:pt>
                <c:pt idx="1">
                  <c:v>2015 г.</c:v>
                </c:pt>
                <c:pt idx="2">
                  <c:v>2016 г.</c:v>
                </c:pt>
                <c:pt idx="3">
                  <c:v>2017 г.</c:v>
                </c:pt>
                <c:pt idx="4">
                  <c:v>2018 г.</c:v>
                </c:pt>
                <c:pt idx="5">
                  <c:v>2019 г.</c:v>
                </c:pt>
                <c:pt idx="6">
                  <c:v>2020 г.</c:v>
                </c:pt>
              </c:strCache>
            </c:strRef>
          </c:cat>
          <c:val>
            <c:numRef>
              <c:f>[Книга1.xlsx]Лист4!$B$12:$H$12</c:f>
              <c:numCache>
                <c:formatCode>General</c:formatCode>
                <c:ptCount val="7"/>
                <c:pt idx="6">
                  <c:v>4.5</c:v>
                </c:pt>
              </c:numCache>
            </c:numRef>
          </c:val>
        </c:ser>
        <c:ser>
          <c:idx val="4"/>
          <c:order val="4"/>
          <c:tx>
            <c:strRef>
              <c:f>[Книга1.xlsx]Лист4!$A$13</c:f>
              <c:strCache>
                <c:ptCount val="1"/>
                <c:pt idx="0">
                  <c:v>условные вклады</c:v>
                </c:pt>
              </c:strCache>
            </c:strRef>
          </c:tx>
          <c:invertIfNegative val="0"/>
          <c:dLbls>
            <c:dLbl>
              <c:idx val="0"/>
              <c:layout>
                <c:manualLayout>
                  <c:x val="0"/>
                  <c:y val="-4.1666666666666664E-2"/>
                </c:manualLayout>
              </c:layout>
              <c:showLegendKey val="0"/>
              <c:showVal val="1"/>
              <c:showCatName val="0"/>
              <c:showSerName val="0"/>
              <c:showPercent val="0"/>
              <c:showBubbleSize val="0"/>
            </c:dLbl>
            <c:dLbl>
              <c:idx val="1"/>
              <c:layout>
                <c:manualLayout>
                  <c:x val="2.0833333333333385E-3"/>
                  <c:y val="-4.1666666666666664E-2"/>
                </c:manualLayout>
              </c:layout>
              <c:showLegendKey val="0"/>
              <c:showVal val="1"/>
              <c:showCatName val="0"/>
              <c:showSerName val="0"/>
              <c:showPercent val="0"/>
              <c:showBubbleSize val="0"/>
            </c:dLbl>
            <c:dLbl>
              <c:idx val="2"/>
              <c:layout>
                <c:manualLayout>
                  <c:x val="0"/>
                  <c:y val="-3.7037037037037056E-2"/>
                </c:manualLayout>
              </c:layout>
              <c:showLegendKey val="0"/>
              <c:showVal val="1"/>
              <c:showCatName val="0"/>
              <c:showSerName val="0"/>
              <c:showPercent val="0"/>
              <c:showBubbleSize val="0"/>
            </c:dLbl>
            <c:dLbl>
              <c:idx val="3"/>
              <c:layout>
                <c:manualLayout>
                  <c:x val="0"/>
                  <c:y val="-4.1666666666666664E-2"/>
                </c:manualLayout>
              </c:layout>
              <c:showLegendKey val="0"/>
              <c:showVal val="1"/>
              <c:showCatName val="0"/>
              <c:showSerName val="0"/>
              <c:showPercent val="0"/>
              <c:showBubbleSize val="0"/>
            </c:dLbl>
            <c:dLbl>
              <c:idx val="4"/>
              <c:layout>
                <c:manualLayout>
                  <c:x val="8.3333333333333367E-3"/>
                  <c:y val="-3.2407407407407489E-2"/>
                </c:manualLayout>
              </c:layout>
              <c:showLegendKey val="0"/>
              <c:showVal val="1"/>
              <c:showCatName val="0"/>
              <c:showSerName val="0"/>
              <c:showPercent val="0"/>
              <c:showBubbleSize val="0"/>
            </c:dLbl>
            <c:dLbl>
              <c:idx val="5"/>
              <c:layout>
                <c:manualLayout>
                  <c:x val="4.1666666666667395E-3"/>
                  <c:y val="-4.6296296296296412E-2"/>
                </c:manualLayout>
              </c:layout>
              <c:showLegendKey val="0"/>
              <c:showVal val="1"/>
              <c:showCatName val="0"/>
              <c:showSerName val="0"/>
              <c:showPercent val="0"/>
              <c:showBubbleSize val="0"/>
            </c:dLbl>
            <c:dLbl>
              <c:idx val="6"/>
              <c:layout>
                <c:manualLayout>
                  <c:x val="6.2500000000000099E-3"/>
                  <c:y val="-4.1666666666666664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[Книга1.xlsx]Лист4!$B$8:$H$8</c:f>
              <c:strCache>
                <c:ptCount val="7"/>
                <c:pt idx="0">
                  <c:v>2014 г.</c:v>
                </c:pt>
                <c:pt idx="1">
                  <c:v>2015 г.</c:v>
                </c:pt>
                <c:pt idx="2">
                  <c:v>2016 г.</c:v>
                </c:pt>
                <c:pt idx="3">
                  <c:v>2017 г.</c:v>
                </c:pt>
                <c:pt idx="4">
                  <c:v>2018 г.</c:v>
                </c:pt>
                <c:pt idx="5">
                  <c:v>2019 г.</c:v>
                </c:pt>
                <c:pt idx="6">
                  <c:v>2020 г.</c:v>
                </c:pt>
              </c:strCache>
            </c:strRef>
          </c:cat>
          <c:val>
            <c:numRef>
              <c:f>[Книга1.xlsx]Лист4!$B$13:$H$13</c:f>
              <c:numCache>
                <c:formatCode>0.00</c:formatCode>
                <c:ptCount val="7"/>
                <c:pt idx="0">
                  <c:v>0.66161571667694641</c:v>
                </c:pt>
                <c:pt idx="1">
                  <c:v>0.69464469948927121</c:v>
                </c:pt>
                <c:pt idx="2">
                  <c:v>0.59182562570214159</c:v>
                </c:pt>
                <c:pt idx="3">
                  <c:v>0.6342735529510507</c:v>
                </c:pt>
                <c:pt idx="4">
                  <c:v>0.72170392536525252</c:v>
                </c:pt>
                <c:pt idx="5" formatCode="General">
                  <c:v>0.8</c:v>
                </c:pt>
                <c:pt idx="6" formatCode="General">
                  <c:v>0.70000000000000062</c:v>
                </c:pt>
              </c:numCache>
            </c:numRef>
          </c:val>
        </c:ser>
        <c:dLbls>
          <c:showLegendKey val="0"/>
          <c:showVal val="0"/>
          <c:showCatName val="0"/>
          <c:showSerName val="0"/>
          <c:showPercent val="0"/>
          <c:showBubbleSize val="0"/>
        </c:dLbls>
        <c:gapWidth val="150"/>
        <c:shape val="cylinder"/>
        <c:axId val="222307456"/>
        <c:axId val="222343168"/>
        <c:axId val="0"/>
      </c:bar3DChart>
      <c:catAx>
        <c:axId val="222307456"/>
        <c:scaling>
          <c:orientation val="minMax"/>
        </c:scaling>
        <c:delete val="0"/>
        <c:axPos val="b"/>
        <c:majorTickMark val="out"/>
        <c:minorTickMark val="none"/>
        <c:tickLblPos val="nextTo"/>
        <c:txPr>
          <a:bodyPr/>
          <a:lstStyle/>
          <a:p>
            <a:pPr>
              <a:defRPr sz="1100"/>
            </a:pPr>
            <a:endParaRPr lang="ru-RU"/>
          </a:p>
        </c:txPr>
        <c:crossAx val="222343168"/>
        <c:crosses val="autoZero"/>
        <c:auto val="1"/>
        <c:lblAlgn val="ctr"/>
        <c:lblOffset val="100"/>
        <c:noMultiLvlLbl val="0"/>
      </c:catAx>
      <c:valAx>
        <c:axId val="222343168"/>
        <c:scaling>
          <c:orientation val="minMax"/>
        </c:scaling>
        <c:delete val="0"/>
        <c:axPos val="l"/>
        <c:majorGridlines/>
        <c:numFmt formatCode="0%" sourceLinked="1"/>
        <c:majorTickMark val="out"/>
        <c:minorTickMark val="none"/>
        <c:tickLblPos val="nextTo"/>
        <c:crossAx val="222307456"/>
        <c:crosses val="autoZero"/>
        <c:crossBetween val="between"/>
      </c:valAx>
    </c:plotArea>
    <c:legend>
      <c:legendPos val="r"/>
      <c:layout>
        <c:manualLayout>
          <c:xMode val="edge"/>
          <c:yMode val="edge"/>
          <c:x val="0.74083858267716562"/>
          <c:y val="0.30365522018081081"/>
          <c:w val="0.25916141732283482"/>
          <c:h val="0.3926891951006136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033874979110877E-2"/>
          <c:y val="5.0925925925925923E-2"/>
          <c:w val="0.71486691504385924"/>
          <c:h val="0.79840172741008764"/>
        </c:manualLayout>
      </c:layout>
      <c:barChart>
        <c:barDir val="col"/>
        <c:grouping val="stacked"/>
        <c:varyColors val="0"/>
        <c:ser>
          <c:idx val="0"/>
          <c:order val="0"/>
          <c:tx>
            <c:strRef>
              <c:f>[Книга1.xlsx]Лист11!$A$2</c:f>
              <c:strCache>
                <c:ptCount val="1"/>
                <c:pt idx="0">
                  <c:v>ФЛ</c:v>
                </c:pt>
              </c:strCache>
            </c:strRef>
          </c:tx>
          <c:spPr>
            <a:solidFill>
              <a:srgbClr val="FFC000"/>
            </a:solidFill>
          </c:spPr>
          <c:invertIfNegative val="0"/>
          <c:dLbls>
            <c:txPr>
              <a:bodyPr/>
              <a:lstStyle/>
              <a:p>
                <a:pPr>
                  <a:defRPr sz="1050"/>
                </a:pPr>
                <a:endParaRPr lang="ru-RU"/>
              </a:p>
            </c:txPr>
            <c:showLegendKey val="0"/>
            <c:showVal val="1"/>
            <c:showCatName val="0"/>
            <c:showSerName val="0"/>
            <c:showPercent val="0"/>
            <c:showBubbleSize val="0"/>
            <c:showLeaderLines val="0"/>
          </c:dLbls>
          <c:cat>
            <c:strRef>
              <c:f>[Книга1.xlsx]Лист11!$B$1:$L$1</c:f>
              <c:strCache>
                <c:ptCount val="11"/>
                <c:pt idx="0">
                  <c:v>2010 г.</c:v>
                </c:pt>
                <c:pt idx="1">
                  <c:v>2011 г.</c:v>
                </c:pt>
                <c:pt idx="2">
                  <c:v>2012 г.</c:v>
                </c:pt>
                <c:pt idx="3">
                  <c:v>2013 г.</c:v>
                </c:pt>
                <c:pt idx="4">
                  <c:v>2014 г.</c:v>
                </c:pt>
                <c:pt idx="5">
                  <c:v>2015 г.</c:v>
                </c:pt>
                <c:pt idx="6">
                  <c:v>2016 г.</c:v>
                </c:pt>
                <c:pt idx="7">
                  <c:v>2017 г.</c:v>
                </c:pt>
                <c:pt idx="8">
                  <c:v>2018 г.</c:v>
                </c:pt>
                <c:pt idx="9">
                  <c:v>2019 г.</c:v>
                </c:pt>
                <c:pt idx="10">
                  <c:v>2020 г.</c:v>
                </c:pt>
              </c:strCache>
            </c:strRef>
          </c:cat>
          <c:val>
            <c:numRef>
              <c:f>[Книга1.xlsx]Лист11!$B$2:$L$2</c:f>
              <c:numCache>
                <c:formatCode>General</c:formatCode>
                <c:ptCount val="11"/>
                <c:pt idx="0">
                  <c:v>2.25</c:v>
                </c:pt>
                <c:pt idx="1">
                  <c:v>2.7600000000000002</c:v>
                </c:pt>
                <c:pt idx="2">
                  <c:v>3.42</c:v>
                </c:pt>
                <c:pt idx="3">
                  <c:v>3.9499999999999997</c:v>
                </c:pt>
                <c:pt idx="4">
                  <c:v>4.4400000000000004</c:v>
                </c:pt>
                <c:pt idx="5">
                  <c:v>6.89</c:v>
                </c:pt>
                <c:pt idx="6">
                  <c:v>7.91</c:v>
                </c:pt>
                <c:pt idx="7">
                  <c:v>8.23</c:v>
                </c:pt>
                <c:pt idx="8">
                  <c:v>8.77</c:v>
                </c:pt>
                <c:pt idx="9">
                  <c:v>9.31</c:v>
                </c:pt>
                <c:pt idx="10">
                  <c:v>10.94</c:v>
                </c:pt>
              </c:numCache>
            </c:numRef>
          </c:val>
        </c:ser>
        <c:ser>
          <c:idx val="1"/>
          <c:order val="1"/>
          <c:tx>
            <c:strRef>
              <c:f>[Книга1.xlsx]Лист11!$A$3</c:f>
              <c:strCache>
                <c:ptCount val="1"/>
                <c:pt idx="0">
                  <c:v>ЮЛ</c:v>
                </c:pt>
              </c:strCache>
            </c:strRef>
          </c:tx>
          <c:spPr>
            <a:solidFill>
              <a:srgbClr val="00B0F0"/>
            </a:solidFill>
          </c:spPr>
          <c:invertIfNegative val="0"/>
          <c:dLbls>
            <c:dLbl>
              <c:idx val="3"/>
              <c:layout>
                <c:manualLayout>
                  <c:x val="0"/>
                  <c:y val="4.1666666666666664E-2"/>
                </c:manualLayout>
              </c:layout>
              <c:showLegendKey val="0"/>
              <c:showVal val="1"/>
              <c:showCatName val="0"/>
              <c:showSerName val="0"/>
              <c:showPercent val="0"/>
              <c:showBubbleSize val="0"/>
            </c:dLbl>
            <c:dLbl>
              <c:idx val="4"/>
              <c:layout>
                <c:manualLayout>
                  <c:x val="0"/>
                  <c:y val="6.0185185185185147E-2"/>
                </c:manualLayout>
              </c:layout>
              <c:showLegendKey val="0"/>
              <c:showVal val="1"/>
              <c:showCatName val="0"/>
              <c:showSerName val="0"/>
              <c:showPercent val="0"/>
              <c:showBubbleSize val="0"/>
            </c:dLbl>
            <c:dLbl>
              <c:idx val="5"/>
              <c:layout>
                <c:manualLayout>
                  <c:x val="0"/>
                  <c:y val="8.3333333333333343E-2"/>
                </c:manualLayout>
              </c:layout>
              <c:showLegendKey val="0"/>
              <c:showVal val="1"/>
              <c:showCatName val="0"/>
              <c:showSerName val="0"/>
              <c:showPercent val="0"/>
              <c:showBubbleSize val="0"/>
            </c:dLbl>
            <c:dLbl>
              <c:idx val="6"/>
              <c:layout>
                <c:manualLayout>
                  <c:x val="0"/>
                  <c:y val="0.11574074074074094"/>
                </c:manualLayout>
              </c:layout>
              <c:showLegendKey val="0"/>
              <c:showVal val="1"/>
              <c:showCatName val="0"/>
              <c:showSerName val="0"/>
              <c:showPercent val="0"/>
              <c:showBubbleSize val="0"/>
            </c:dLbl>
            <c:dLbl>
              <c:idx val="7"/>
              <c:layout>
                <c:manualLayout>
                  <c:x val="2.0807324178110788E-3"/>
                  <c:y val="-0.17129629629629686"/>
                </c:manualLayout>
              </c:layout>
              <c:showLegendKey val="0"/>
              <c:showVal val="1"/>
              <c:showCatName val="0"/>
              <c:showSerName val="0"/>
              <c:showPercent val="0"/>
              <c:showBubbleSize val="0"/>
            </c:dLbl>
            <c:dLbl>
              <c:idx val="8"/>
              <c:layout>
                <c:manualLayout>
                  <c:x val="2.0807324178110016E-3"/>
                  <c:y val="-0.16666666666666666"/>
                </c:manualLayout>
              </c:layout>
              <c:showLegendKey val="0"/>
              <c:showVal val="1"/>
              <c:showCatName val="0"/>
              <c:showSerName val="0"/>
              <c:showPercent val="0"/>
              <c:showBubbleSize val="0"/>
            </c:dLbl>
            <c:dLbl>
              <c:idx val="9"/>
              <c:layout>
                <c:manualLayout>
                  <c:x val="0"/>
                  <c:y val="-0.18518518518518554"/>
                </c:manualLayout>
              </c:layout>
              <c:showLegendKey val="0"/>
              <c:showVal val="1"/>
              <c:showCatName val="0"/>
              <c:showSerName val="0"/>
              <c:showPercent val="0"/>
              <c:showBubbleSize val="0"/>
            </c:dLbl>
            <c:dLbl>
              <c:idx val="10"/>
              <c:layout>
                <c:manualLayout>
                  <c:x val="0"/>
                  <c:y val="-0.20370370370370369"/>
                </c:manualLayout>
              </c:layout>
              <c:showLegendKey val="0"/>
              <c:showVal val="1"/>
              <c:showCatName val="0"/>
              <c:showSerName val="0"/>
              <c:showPercent val="0"/>
              <c:showBubbleSize val="0"/>
            </c:dLbl>
            <c:txPr>
              <a:bodyPr/>
              <a:lstStyle/>
              <a:p>
                <a:pPr>
                  <a:defRPr sz="1050"/>
                </a:pPr>
                <a:endParaRPr lang="ru-RU"/>
              </a:p>
            </c:txPr>
            <c:showLegendKey val="0"/>
            <c:showVal val="1"/>
            <c:showCatName val="0"/>
            <c:showSerName val="0"/>
            <c:showPercent val="0"/>
            <c:showBubbleSize val="0"/>
            <c:showLeaderLines val="0"/>
          </c:dLbls>
          <c:cat>
            <c:strRef>
              <c:f>[Книга1.xlsx]Лист11!$B$1:$L$1</c:f>
              <c:strCache>
                <c:ptCount val="11"/>
                <c:pt idx="0">
                  <c:v>2010 г.</c:v>
                </c:pt>
                <c:pt idx="1">
                  <c:v>2011 г.</c:v>
                </c:pt>
                <c:pt idx="2">
                  <c:v>2012 г.</c:v>
                </c:pt>
                <c:pt idx="3">
                  <c:v>2013 г.</c:v>
                </c:pt>
                <c:pt idx="4">
                  <c:v>2014 г.</c:v>
                </c:pt>
                <c:pt idx="5">
                  <c:v>2015 г.</c:v>
                </c:pt>
                <c:pt idx="6">
                  <c:v>2016 г.</c:v>
                </c:pt>
                <c:pt idx="7">
                  <c:v>2017 г.</c:v>
                </c:pt>
                <c:pt idx="8">
                  <c:v>2018 г.</c:v>
                </c:pt>
                <c:pt idx="9">
                  <c:v>2019 г.</c:v>
                </c:pt>
                <c:pt idx="10">
                  <c:v>2020 г.</c:v>
                </c:pt>
              </c:strCache>
            </c:strRef>
          </c:cat>
          <c:val>
            <c:numRef>
              <c:f>[Книга1.xlsx]Лист11!$B$3:$L$3</c:f>
              <c:numCache>
                <c:formatCode>General</c:formatCode>
                <c:ptCount val="11"/>
                <c:pt idx="0">
                  <c:v>4.5999999999999996</c:v>
                </c:pt>
                <c:pt idx="1">
                  <c:v>5.03</c:v>
                </c:pt>
                <c:pt idx="2">
                  <c:v>5.1199999999999966</c:v>
                </c:pt>
                <c:pt idx="3">
                  <c:v>5.9</c:v>
                </c:pt>
                <c:pt idx="4">
                  <c:v>6.91</c:v>
                </c:pt>
                <c:pt idx="5">
                  <c:v>8.7199999999999989</c:v>
                </c:pt>
                <c:pt idx="6">
                  <c:v>9.3600000000000048</c:v>
                </c:pt>
                <c:pt idx="7">
                  <c:v>8.4500000000000028</c:v>
                </c:pt>
                <c:pt idx="8">
                  <c:v>8.27</c:v>
                </c:pt>
                <c:pt idx="9">
                  <c:v>8.66</c:v>
                </c:pt>
                <c:pt idx="10">
                  <c:v>10.62</c:v>
                </c:pt>
              </c:numCache>
            </c:numRef>
          </c:val>
        </c:ser>
        <c:dLbls>
          <c:showLegendKey val="0"/>
          <c:showVal val="0"/>
          <c:showCatName val="0"/>
          <c:showSerName val="0"/>
          <c:showPercent val="0"/>
          <c:showBubbleSize val="0"/>
        </c:dLbls>
        <c:gapWidth val="150"/>
        <c:overlap val="100"/>
        <c:axId val="222376704"/>
        <c:axId val="222378240"/>
      </c:barChart>
      <c:lineChart>
        <c:grouping val="standard"/>
        <c:varyColors val="0"/>
        <c:ser>
          <c:idx val="2"/>
          <c:order val="2"/>
          <c:tx>
            <c:strRef>
              <c:f>[Книга1.xlsx]Лист11!$A$4</c:f>
              <c:strCache>
                <c:ptCount val="1"/>
                <c:pt idx="0">
                  <c:v>ФЛ изм</c:v>
                </c:pt>
              </c:strCache>
            </c:strRef>
          </c:tx>
          <c:dLbls>
            <c:dLbl>
              <c:idx val="1"/>
              <c:layout>
                <c:manualLayout>
                  <c:x val="-4.3695380774032386E-2"/>
                  <c:y val="-3.2407407407407489E-2"/>
                </c:manualLayout>
              </c:layout>
              <c:showLegendKey val="0"/>
              <c:showVal val="1"/>
              <c:showCatName val="0"/>
              <c:showSerName val="0"/>
              <c:showPercent val="0"/>
              <c:showBubbleSize val="0"/>
            </c:dLbl>
            <c:dLbl>
              <c:idx val="2"/>
              <c:layout>
                <c:manualLayout>
                  <c:x val="-2.7049521431543912E-2"/>
                  <c:y val="-3.7037037037037056E-2"/>
                </c:manualLayout>
              </c:layout>
              <c:showLegendKey val="0"/>
              <c:showVal val="1"/>
              <c:showCatName val="0"/>
              <c:showSerName val="0"/>
              <c:showPercent val="0"/>
              <c:showBubbleSize val="0"/>
            </c:dLbl>
            <c:dLbl>
              <c:idx val="3"/>
              <c:layout>
                <c:manualLayout>
                  <c:x val="-2.7049521431543912E-2"/>
                  <c:y val="1.3888888888888926E-2"/>
                </c:manualLayout>
              </c:layout>
              <c:showLegendKey val="0"/>
              <c:showVal val="1"/>
              <c:showCatName val="0"/>
              <c:showSerName val="0"/>
              <c:showPercent val="0"/>
              <c:showBubbleSize val="0"/>
            </c:dLbl>
            <c:dLbl>
              <c:idx val="4"/>
              <c:layout>
                <c:manualLayout>
                  <c:x val="-3.1210986267166042E-2"/>
                  <c:y val="3.2407407407407489E-2"/>
                </c:manualLayout>
              </c:layout>
              <c:showLegendKey val="0"/>
              <c:showVal val="1"/>
              <c:showCatName val="0"/>
              <c:showSerName val="0"/>
              <c:showPercent val="0"/>
              <c:showBubbleSize val="0"/>
            </c:dLbl>
            <c:dLbl>
              <c:idx val="5"/>
              <c:layout>
                <c:manualLayout>
                  <c:x val="-3.3291718684977226E-2"/>
                  <c:y val="0"/>
                </c:manualLayout>
              </c:layout>
              <c:showLegendKey val="0"/>
              <c:showVal val="1"/>
              <c:showCatName val="0"/>
              <c:showSerName val="0"/>
              <c:showPercent val="0"/>
              <c:showBubbleSize val="0"/>
            </c:dLbl>
            <c:dLbl>
              <c:idx val="6"/>
              <c:layout>
                <c:manualLayout>
                  <c:x val="-2.7049521431543912E-2"/>
                  <c:y val="-3.2407407407407489E-2"/>
                </c:manualLayout>
              </c:layout>
              <c:showLegendKey val="0"/>
              <c:showVal val="1"/>
              <c:showCatName val="0"/>
              <c:showSerName val="0"/>
              <c:showPercent val="0"/>
              <c:showBubbleSize val="0"/>
            </c:dLbl>
            <c:dLbl>
              <c:idx val="8"/>
              <c:layout>
                <c:manualLayout>
                  <c:x val="-2.288805659592185E-2"/>
                  <c:y val="-2.7777777777777891E-2"/>
                </c:manualLayout>
              </c:layout>
              <c:showLegendKey val="0"/>
              <c:showVal val="1"/>
              <c:showCatName val="0"/>
              <c:showSerName val="0"/>
              <c:showPercent val="0"/>
              <c:showBubbleSize val="0"/>
            </c:dLbl>
            <c:dLbl>
              <c:idx val="9"/>
              <c:layout>
                <c:manualLayout>
                  <c:x val="-1.8726591760299643E-2"/>
                  <c:y val="-4.6296296296296412E-2"/>
                </c:manualLayout>
              </c:layout>
              <c:showLegendKey val="0"/>
              <c:showVal val="1"/>
              <c:showCatName val="0"/>
              <c:showSerName val="0"/>
              <c:showPercent val="0"/>
              <c:showBubbleSize val="0"/>
            </c:dLbl>
            <c:dLbl>
              <c:idx val="10"/>
              <c:layout>
                <c:manualLayout>
                  <c:x val="-1.8726591760299643E-2"/>
                  <c:y val="3.2407407407407489E-2"/>
                </c:manualLayout>
              </c:layout>
              <c:showLegendKey val="0"/>
              <c:showVal val="1"/>
              <c:showCatName val="0"/>
              <c:showSerName val="0"/>
              <c:showPercent val="0"/>
              <c:showBubbleSize val="0"/>
            </c:dLbl>
            <c:spPr>
              <a:solidFill>
                <a:srgbClr val="92D050"/>
              </a:solidFill>
            </c:spPr>
            <c:txPr>
              <a:bodyPr/>
              <a:lstStyle/>
              <a:p>
                <a:pPr>
                  <a:defRPr b="1" i="1"/>
                </a:pPr>
                <a:endParaRPr lang="ru-RU"/>
              </a:p>
            </c:txPr>
            <c:showLegendKey val="0"/>
            <c:showVal val="1"/>
            <c:showCatName val="0"/>
            <c:showSerName val="0"/>
            <c:showPercent val="0"/>
            <c:showBubbleSize val="0"/>
            <c:showLeaderLines val="0"/>
          </c:dLbls>
          <c:cat>
            <c:strRef>
              <c:f>[Книга1.xlsx]Лист11!$B$1:$L$1</c:f>
              <c:strCache>
                <c:ptCount val="11"/>
                <c:pt idx="0">
                  <c:v>2010 г.</c:v>
                </c:pt>
                <c:pt idx="1">
                  <c:v>2011 г.</c:v>
                </c:pt>
                <c:pt idx="2">
                  <c:v>2012 г.</c:v>
                </c:pt>
                <c:pt idx="3">
                  <c:v>2013 г.</c:v>
                </c:pt>
                <c:pt idx="4">
                  <c:v>2014 г.</c:v>
                </c:pt>
                <c:pt idx="5">
                  <c:v>2015 г.</c:v>
                </c:pt>
                <c:pt idx="6">
                  <c:v>2016 г.</c:v>
                </c:pt>
                <c:pt idx="7">
                  <c:v>2017 г.</c:v>
                </c:pt>
                <c:pt idx="8">
                  <c:v>2018 г.</c:v>
                </c:pt>
                <c:pt idx="9">
                  <c:v>2019 г.</c:v>
                </c:pt>
                <c:pt idx="10">
                  <c:v>2020 г.</c:v>
                </c:pt>
              </c:strCache>
            </c:strRef>
          </c:cat>
          <c:val>
            <c:numRef>
              <c:f>[Книга1.xlsx]Лист11!$B$4:$L$4</c:f>
              <c:numCache>
                <c:formatCode>General</c:formatCode>
                <c:ptCount val="11"/>
                <c:pt idx="1">
                  <c:v>0.50999999999999979</c:v>
                </c:pt>
                <c:pt idx="2">
                  <c:v>0.66000000000000159</c:v>
                </c:pt>
                <c:pt idx="3">
                  <c:v>0.53000000000000025</c:v>
                </c:pt>
                <c:pt idx="4">
                  <c:v>0.49000000000000032</c:v>
                </c:pt>
                <c:pt idx="5">
                  <c:v>2.4499999999999993</c:v>
                </c:pt>
                <c:pt idx="6">
                  <c:v>1.0200000000000005</c:v>
                </c:pt>
                <c:pt idx="7">
                  <c:v>0.32000000000000089</c:v>
                </c:pt>
                <c:pt idx="8">
                  <c:v>0.53999999999999915</c:v>
                </c:pt>
                <c:pt idx="9">
                  <c:v>0.54000000000000092</c:v>
                </c:pt>
                <c:pt idx="10">
                  <c:v>1.6299999999999966</c:v>
                </c:pt>
              </c:numCache>
            </c:numRef>
          </c:val>
          <c:smooth val="0"/>
        </c:ser>
        <c:ser>
          <c:idx val="3"/>
          <c:order val="3"/>
          <c:tx>
            <c:strRef>
              <c:f>[Книга1.xlsx]Лист11!$A$5</c:f>
              <c:strCache>
                <c:ptCount val="1"/>
                <c:pt idx="0">
                  <c:v>ЮЛ изм</c:v>
                </c:pt>
              </c:strCache>
            </c:strRef>
          </c:tx>
          <c:dLbls>
            <c:dLbl>
              <c:idx val="4"/>
              <c:layout>
                <c:manualLayout>
                  <c:x val="-5.6179775280898771E-2"/>
                  <c:y val="-5.5555555555555455E-2"/>
                </c:manualLayout>
              </c:layout>
              <c:showLegendKey val="0"/>
              <c:showVal val="1"/>
              <c:showCatName val="0"/>
              <c:showSerName val="0"/>
              <c:showPercent val="0"/>
              <c:showBubbleSize val="0"/>
            </c:dLbl>
            <c:dLbl>
              <c:idx val="5"/>
              <c:layout>
                <c:manualLayout>
                  <c:x val="-2.7049521431543912E-2"/>
                  <c:y val="-4.6296296296296424E-3"/>
                </c:manualLayout>
              </c:layout>
              <c:showLegendKey val="0"/>
              <c:showVal val="1"/>
              <c:showCatName val="0"/>
              <c:showSerName val="0"/>
              <c:showPercent val="0"/>
              <c:showBubbleSize val="0"/>
            </c:dLbl>
            <c:dLbl>
              <c:idx val="6"/>
              <c:layout>
                <c:manualLayout>
                  <c:x val="-6.2421972534332092E-2"/>
                  <c:y val="-4.6296296296296424E-3"/>
                </c:manualLayout>
              </c:layout>
              <c:showLegendKey val="0"/>
              <c:showVal val="1"/>
              <c:showCatName val="0"/>
              <c:showSerName val="0"/>
              <c:showPercent val="0"/>
              <c:showBubbleSize val="0"/>
            </c:dLbl>
            <c:dLbl>
              <c:idx val="7"/>
              <c:layout>
                <c:manualLayout>
                  <c:x val="-3.7453183520599433E-2"/>
                  <c:y val="6.0185185185185147E-2"/>
                </c:manualLayout>
              </c:layout>
              <c:showLegendKey val="0"/>
              <c:showVal val="1"/>
              <c:showCatName val="0"/>
              <c:showSerName val="0"/>
              <c:showPercent val="0"/>
              <c:showBubbleSize val="0"/>
            </c:dLbl>
            <c:dLbl>
              <c:idx val="9"/>
              <c:layout>
                <c:manualLayout>
                  <c:x val="-1.6645859342488627E-2"/>
                  <c:y val="2.7777777777777891E-2"/>
                </c:manualLayout>
              </c:layout>
              <c:showLegendKey val="0"/>
              <c:showVal val="1"/>
              <c:showCatName val="0"/>
              <c:showSerName val="0"/>
              <c:showPercent val="0"/>
              <c:showBubbleSize val="0"/>
            </c:dLbl>
            <c:dLbl>
              <c:idx val="10"/>
              <c:layout>
                <c:manualLayout>
                  <c:x val="-1.8726591760299643E-2"/>
                  <c:y val="-1.8518518518518552E-2"/>
                </c:manualLayout>
              </c:layout>
              <c:showLegendKey val="0"/>
              <c:showVal val="1"/>
              <c:showCatName val="0"/>
              <c:showSerName val="0"/>
              <c:showPercent val="0"/>
              <c:showBubbleSize val="0"/>
            </c:dLbl>
            <c:spPr>
              <a:solidFill>
                <a:srgbClr val="7030A0"/>
              </a:solidFill>
            </c:spPr>
            <c:txPr>
              <a:bodyPr/>
              <a:lstStyle/>
              <a:p>
                <a:pPr>
                  <a:defRPr i="1">
                    <a:solidFill>
                      <a:schemeClr val="bg1"/>
                    </a:solidFill>
                  </a:defRPr>
                </a:pPr>
                <a:endParaRPr lang="ru-RU"/>
              </a:p>
            </c:txPr>
            <c:showLegendKey val="0"/>
            <c:showVal val="1"/>
            <c:showCatName val="0"/>
            <c:showSerName val="0"/>
            <c:showPercent val="0"/>
            <c:showBubbleSize val="0"/>
            <c:showLeaderLines val="0"/>
          </c:dLbls>
          <c:cat>
            <c:strRef>
              <c:f>[Книга1.xlsx]Лист11!$B$1:$L$1</c:f>
              <c:strCache>
                <c:ptCount val="11"/>
                <c:pt idx="0">
                  <c:v>2010 г.</c:v>
                </c:pt>
                <c:pt idx="1">
                  <c:v>2011 г.</c:v>
                </c:pt>
                <c:pt idx="2">
                  <c:v>2012 г.</c:v>
                </c:pt>
                <c:pt idx="3">
                  <c:v>2013 г.</c:v>
                </c:pt>
                <c:pt idx="4">
                  <c:v>2014 г.</c:v>
                </c:pt>
                <c:pt idx="5">
                  <c:v>2015 г.</c:v>
                </c:pt>
                <c:pt idx="6">
                  <c:v>2016 г.</c:v>
                </c:pt>
                <c:pt idx="7">
                  <c:v>2017 г.</c:v>
                </c:pt>
                <c:pt idx="8">
                  <c:v>2018 г.</c:v>
                </c:pt>
                <c:pt idx="9">
                  <c:v>2019 г.</c:v>
                </c:pt>
                <c:pt idx="10">
                  <c:v>2020 г.</c:v>
                </c:pt>
              </c:strCache>
            </c:strRef>
          </c:cat>
          <c:val>
            <c:numRef>
              <c:f>[Книга1.xlsx]Лист11!$B$5:$L$5</c:f>
              <c:numCache>
                <c:formatCode>General</c:formatCode>
                <c:ptCount val="11"/>
                <c:pt idx="1">
                  <c:v>0.43000000000000088</c:v>
                </c:pt>
                <c:pt idx="2">
                  <c:v>9.0000000000000024E-2</c:v>
                </c:pt>
                <c:pt idx="3">
                  <c:v>0.78000000000000025</c:v>
                </c:pt>
                <c:pt idx="4">
                  <c:v>1.009999999999996</c:v>
                </c:pt>
                <c:pt idx="5">
                  <c:v>1.8100000000000005</c:v>
                </c:pt>
                <c:pt idx="6">
                  <c:v>0.64</c:v>
                </c:pt>
                <c:pt idx="7">
                  <c:v>-0.91000000000000014</c:v>
                </c:pt>
                <c:pt idx="8">
                  <c:v>-0.18000000000000013</c:v>
                </c:pt>
                <c:pt idx="9">
                  <c:v>0.39000000000000118</c:v>
                </c:pt>
                <c:pt idx="10">
                  <c:v>1.9599999999999969</c:v>
                </c:pt>
              </c:numCache>
            </c:numRef>
          </c:val>
          <c:smooth val="0"/>
        </c:ser>
        <c:dLbls>
          <c:showLegendKey val="0"/>
          <c:showVal val="0"/>
          <c:showCatName val="0"/>
          <c:showSerName val="0"/>
          <c:showPercent val="0"/>
          <c:showBubbleSize val="0"/>
        </c:dLbls>
        <c:marker val="1"/>
        <c:smooth val="0"/>
        <c:axId val="222426624"/>
        <c:axId val="222425088"/>
      </c:lineChart>
      <c:catAx>
        <c:axId val="222376704"/>
        <c:scaling>
          <c:orientation val="minMax"/>
        </c:scaling>
        <c:delete val="0"/>
        <c:axPos val="b"/>
        <c:majorTickMark val="out"/>
        <c:minorTickMark val="none"/>
        <c:tickLblPos val="nextTo"/>
        <c:txPr>
          <a:bodyPr/>
          <a:lstStyle/>
          <a:p>
            <a:pPr>
              <a:defRPr sz="1100"/>
            </a:pPr>
            <a:endParaRPr lang="ru-RU"/>
          </a:p>
        </c:txPr>
        <c:crossAx val="222378240"/>
        <c:crosses val="autoZero"/>
        <c:auto val="1"/>
        <c:lblAlgn val="ctr"/>
        <c:lblOffset val="100"/>
        <c:noMultiLvlLbl val="0"/>
      </c:catAx>
      <c:valAx>
        <c:axId val="222378240"/>
        <c:scaling>
          <c:orientation val="minMax"/>
        </c:scaling>
        <c:delete val="0"/>
        <c:axPos val="l"/>
        <c:majorGridlines/>
        <c:numFmt formatCode="General" sourceLinked="1"/>
        <c:majorTickMark val="out"/>
        <c:minorTickMark val="none"/>
        <c:tickLblPos val="nextTo"/>
        <c:crossAx val="222376704"/>
        <c:crosses val="autoZero"/>
        <c:crossBetween val="between"/>
      </c:valAx>
      <c:valAx>
        <c:axId val="222425088"/>
        <c:scaling>
          <c:orientation val="minMax"/>
        </c:scaling>
        <c:delete val="0"/>
        <c:axPos val="r"/>
        <c:numFmt formatCode="General" sourceLinked="1"/>
        <c:majorTickMark val="out"/>
        <c:minorTickMark val="none"/>
        <c:tickLblPos val="nextTo"/>
        <c:crossAx val="222426624"/>
        <c:crosses val="max"/>
        <c:crossBetween val="between"/>
      </c:valAx>
      <c:catAx>
        <c:axId val="222426624"/>
        <c:scaling>
          <c:orientation val="minMax"/>
        </c:scaling>
        <c:delete val="1"/>
        <c:axPos val="b"/>
        <c:majorTickMark val="out"/>
        <c:minorTickMark val="none"/>
        <c:tickLblPos val="none"/>
        <c:crossAx val="222425088"/>
        <c:crosses val="autoZero"/>
        <c:auto val="1"/>
        <c:lblAlgn val="ctr"/>
        <c:lblOffset val="100"/>
        <c:noMultiLvlLbl val="0"/>
      </c:catAx>
    </c:plotArea>
    <c:legend>
      <c:legendPos val="r"/>
      <c:layout>
        <c:manualLayout>
          <c:xMode val="edge"/>
          <c:yMode val="edge"/>
          <c:x val="0.86435705368289795"/>
          <c:y val="0.34292432195975647"/>
          <c:w val="0.13564294631710389"/>
          <c:h val="0.3141513560804899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20"/>
      <c:rAngAx val="0"/>
      <c:perspective val="0"/>
    </c:view3D>
    <c:floor>
      <c:thickness val="0"/>
    </c:floor>
    <c:sideWall>
      <c:thickness val="0"/>
    </c:sideWall>
    <c:backWall>
      <c:thickness val="0"/>
    </c:backWall>
    <c:plotArea>
      <c:layout>
        <c:manualLayout>
          <c:layoutTarget val="inner"/>
          <c:xMode val="edge"/>
          <c:yMode val="edge"/>
          <c:x val="4.1167654969054793E-2"/>
          <c:y val="2.6596927545440116E-2"/>
          <c:w val="0.9588323450309435"/>
          <c:h val="0.61933542486876669"/>
        </c:manualLayout>
      </c:layout>
      <c:bar3DChart>
        <c:barDir val="col"/>
        <c:grouping val="clustered"/>
        <c:varyColors val="0"/>
        <c:ser>
          <c:idx val="0"/>
          <c:order val="0"/>
          <c:tx>
            <c:strRef>
              <c:f>'[2021-03-15_16_53_59.xlsx]Worksheet'!$A$5</c:f>
              <c:strCache>
                <c:ptCount val="1"/>
                <c:pt idx="0">
                  <c:v>до востребования</c:v>
                </c:pt>
              </c:strCache>
            </c:strRef>
          </c:tx>
          <c:invertIfNegative val="0"/>
          <c:dLbls>
            <c:dLbl>
              <c:idx val="5"/>
              <c:layout>
                <c:manualLayout>
                  <c:x val="-2.05761316872428E-3"/>
                  <c:y val="3.8424591738712779E-2"/>
                </c:manualLayout>
              </c:layout>
              <c:showLegendKey val="0"/>
              <c:showVal val="1"/>
              <c:showCatName val="0"/>
              <c:showSerName val="0"/>
              <c:showPercent val="0"/>
              <c:showBubbleSize val="0"/>
            </c:dLbl>
            <c:dLbl>
              <c:idx val="7"/>
              <c:layout>
                <c:manualLayout>
                  <c:x val="-6.1728395061727637E-3"/>
                  <c:y val="3.3621517771373795E-2"/>
                </c:manualLayout>
              </c:layout>
              <c:showLegendKey val="0"/>
              <c:showVal val="1"/>
              <c:showCatName val="0"/>
              <c:showSerName val="0"/>
              <c:showPercent val="0"/>
              <c:showBubbleSize val="0"/>
            </c:dLbl>
            <c:dLbl>
              <c:idx val="9"/>
              <c:delete val="1"/>
            </c:dLbl>
            <c:dLbl>
              <c:idx val="11"/>
              <c:layout>
                <c:manualLayout>
                  <c:x val="0"/>
                  <c:y val="3.3621517771373795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multiLvlStrRef>
              <c:f>'[2021-03-15_16_53_59.xlsx]Worksheet'!$B$3:$M$4</c:f>
              <c:multiLvlStrCache>
                <c:ptCount val="12"/>
                <c:lvl>
                  <c:pt idx="0">
                    <c:v>KZT</c:v>
                  </c:pt>
                  <c:pt idx="1">
                    <c:v>СКВ</c:v>
                  </c:pt>
                  <c:pt idx="2">
                    <c:v>KZT</c:v>
                  </c:pt>
                  <c:pt idx="3">
                    <c:v>СКВ</c:v>
                  </c:pt>
                  <c:pt idx="4">
                    <c:v>KZT</c:v>
                  </c:pt>
                  <c:pt idx="5">
                    <c:v>СКВ</c:v>
                  </c:pt>
                  <c:pt idx="6">
                    <c:v>KZT</c:v>
                  </c:pt>
                  <c:pt idx="7">
                    <c:v>СКВ</c:v>
                  </c:pt>
                  <c:pt idx="8">
                    <c:v>KZT</c:v>
                  </c:pt>
                  <c:pt idx="9">
                    <c:v>СКВ</c:v>
                  </c:pt>
                  <c:pt idx="10">
                    <c:v>KZT</c:v>
                  </c:pt>
                  <c:pt idx="11">
                    <c:v>СКВ</c:v>
                  </c:pt>
                </c:lvl>
                <c:lvl>
                  <c:pt idx="0">
                    <c:v> 01.01.2016 г.</c:v>
                  </c:pt>
                  <c:pt idx="2">
                    <c:v> 01.01.2017 г.</c:v>
                  </c:pt>
                  <c:pt idx="4">
                    <c:v> 01.01.2018 г.</c:v>
                  </c:pt>
                  <c:pt idx="6">
                    <c:v> 01.01.2019 г.</c:v>
                  </c:pt>
                  <c:pt idx="8">
                    <c:v> 01.01.2020 г.</c:v>
                  </c:pt>
                  <c:pt idx="10">
                    <c:v> 01.01.2021 г.</c:v>
                  </c:pt>
                </c:lvl>
              </c:multiLvlStrCache>
            </c:multiLvlStrRef>
          </c:cat>
          <c:val>
            <c:numRef>
              <c:f>'[2021-03-15_16_53_59.xlsx]Worksheet'!$B$5:$M$5</c:f>
              <c:numCache>
                <c:formatCode>General</c:formatCode>
                <c:ptCount val="12"/>
                <c:pt idx="0">
                  <c:v>3.3</c:v>
                </c:pt>
                <c:pt idx="1">
                  <c:v>0.30000000000000032</c:v>
                </c:pt>
                <c:pt idx="2">
                  <c:v>4.5</c:v>
                </c:pt>
                <c:pt idx="3">
                  <c:v>0.30000000000000032</c:v>
                </c:pt>
                <c:pt idx="4">
                  <c:v>4.5999999999999996</c:v>
                </c:pt>
                <c:pt idx="5">
                  <c:v>0.30000000000000032</c:v>
                </c:pt>
                <c:pt idx="6">
                  <c:v>0.70000000000000062</c:v>
                </c:pt>
                <c:pt idx="7">
                  <c:v>0.1</c:v>
                </c:pt>
                <c:pt idx="8">
                  <c:v>0.1</c:v>
                </c:pt>
                <c:pt idx="9">
                  <c:v>0.1</c:v>
                </c:pt>
                <c:pt idx="10">
                  <c:v>0.1</c:v>
                </c:pt>
                <c:pt idx="11">
                  <c:v>0.1</c:v>
                </c:pt>
              </c:numCache>
            </c:numRef>
          </c:val>
        </c:ser>
        <c:ser>
          <c:idx val="1"/>
          <c:order val="1"/>
          <c:tx>
            <c:strRef>
              <c:f>'[2021-03-15_16_53_59.xlsx]Worksheet'!$A$6</c:f>
              <c:strCache>
                <c:ptCount val="1"/>
                <c:pt idx="0">
                  <c:v>условные</c:v>
                </c:pt>
              </c:strCache>
            </c:strRef>
          </c:tx>
          <c:invertIfNegative val="0"/>
          <c:dLbls>
            <c:dLbl>
              <c:idx val="1"/>
              <c:layout>
                <c:manualLayout>
                  <c:x val="-6.1728395061728392E-3"/>
                  <c:y val="4.8030739673390971E-2"/>
                </c:manualLayout>
              </c:layout>
              <c:showLegendKey val="0"/>
              <c:showVal val="1"/>
              <c:showCatName val="0"/>
              <c:showSerName val="0"/>
              <c:showPercent val="0"/>
              <c:showBubbleSize val="0"/>
            </c:dLbl>
            <c:dLbl>
              <c:idx val="2"/>
              <c:layout>
                <c:manualLayout>
                  <c:x val="2.05761316872428E-3"/>
                  <c:y val="4.3227665706051875E-2"/>
                </c:manualLayout>
              </c:layout>
              <c:showLegendKey val="0"/>
              <c:showVal val="1"/>
              <c:showCatName val="0"/>
              <c:showSerName val="0"/>
              <c:showPercent val="0"/>
              <c:showBubbleSize val="0"/>
            </c:dLbl>
            <c:dLbl>
              <c:idx val="4"/>
              <c:layout>
                <c:manualLayout>
                  <c:x val="2.05761316872428E-3"/>
                  <c:y val="4.3227665706051875E-2"/>
                </c:manualLayout>
              </c:layout>
              <c:showLegendKey val="0"/>
              <c:showVal val="1"/>
              <c:showCatName val="0"/>
              <c:showSerName val="0"/>
              <c:showPercent val="0"/>
              <c:showBubbleSize val="0"/>
            </c:dLbl>
            <c:dLbl>
              <c:idx val="9"/>
              <c:delete val="1"/>
            </c:dLbl>
            <c:dLbl>
              <c:idx val="11"/>
              <c:delete val="1"/>
            </c:dLbl>
            <c:txPr>
              <a:bodyPr/>
              <a:lstStyle/>
              <a:p>
                <a:pPr>
                  <a:defRPr sz="1100"/>
                </a:pPr>
                <a:endParaRPr lang="ru-RU"/>
              </a:p>
            </c:txPr>
            <c:showLegendKey val="0"/>
            <c:showVal val="1"/>
            <c:showCatName val="0"/>
            <c:showSerName val="0"/>
            <c:showPercent val="0"/>
            <c:showBubbleSize val="0"/>
            <c:showLeaderLines val="0"/>
          </c:dLbls>
          <c:cat>
            <c:multiLvlStrRef>
              <c:f>'[2021-03-15_16_53_59.xlsx]Worksheet'!$B$3:$M$4</c:f>
              <c:multiLvlStrCache>
                <c:ptCount val="12"/>
                <c:lvl>
                  <c:pt idx="0">
                    <c:v>KZT</c:v>
                  </c:pt>
                  <c:pt idx="1">
                    <c:v>СКВ</c:v>
                  </c:pt>
                  <c:pt idx="2">
                    <c:v>KZT</c:v>
                  </c:pt>
                  <c:pt idx="3">
                    <c:v>СКВ</c:v>
                  </c:pt>
                  <c:pt idx="4">
                    <c:v>KZT</c:v>
                  </c:pt>
                  <c:pt idx="5">
                    <c:v>СКВ</c:v>
                  </c:pt>
                  <c:pt idx="6">
                    <c:v>KZT</c:v>
                  </c:pt>
                  <c:pt idx="7">
                    <c:v>СКВ</c:v>
                  </c:pt>
                  <c:pt idx="8">
                    <c:v>KZT</c:v>
                  </c:pt>
                  <c:pt idx="9">
                    <c:v>СКВ</c:v>
                  </c:pt>
                  <c:pt idx="10">
                    <c:v>KZT</c:v>
                  </c:pt>
                  <c:pt idx="11">
                    <c:v>СКВ</c:v>
                  </c:pt>
                </c:lvl>
                <c:lvl>
                  <c:pt idx="0">
                    <c:v> 01.01.2016 г.</c:v>
                  </c:pt>
                  <c:pt idx="2">
                    <c:v> 01.01.2017 г.</c:v>
                  </c:pt>
                  <c:pt idx="4">
                    <c:v> 01.01.2018 г.</c:v>
                  </c:pt>
                  <c:pt idx="6">
                    <c:v> 01.01.2019 г.</c:v>
                  </c:pt>
                  <c:pt idx="8">
                    <c:v> 01.01.2020 г.</c:v>
                  </c:pt>
                  <c:pt idx="10">
                    <c:v> 01.01.2021 г.</c:v>
                  </c:pt>
                </c:lvl>
              </c:multiLvlStrCache>
            </c:multiLvlStrRef>
          </c:cat>
          <c:val>
            <c:numRef>
              <c:f>'[2021-03-15_16_53_59.xlsx]Worksheet'!$B$6:$M$6</c:f>
              <c:numCache>
                <c:formatCode>General</c:formatCode>
                <c:ptCount val="12"/>
                <c:pt idx="0">
                  <c:v>6.5</c:v>
                </c:pt>
                <c:pt idx="1">
                  <c:v>3.3</c:v>
                </c:pt>
                <c:pt idx="2">
                  <c:v>4.3</c:v>
                </c:pt>
                <c:pt idx="3">
                  <c:v>1.6</c:v>
                </c:pt>
                <c:pt idx="4">
                  <c:v>4</c:v>
                </c:pt>
                <c:pt idx="5">
                  <c:v>0.4</c:v>
                </c:pt>
                <c:pt idx="6">
                  <c:v>3.1</c:v>
                </c:pt>
                <c:pt idx="7">
                  <c:v>0.4</c:v>
                </c:pt>
                <c:pt idx="8">
                  <c:v>3.1</c:v>
                </c:pt>
                <c:pt idx="9">
                  <c:v>0.1</c:v>
                </c:pt>
                <c:pt idx="10">
                  <c:v>3.6</c:v>
                </c:pt>
                <c:pt idx="11">
                  <c:v>0.1</c:v>
                </c:pt>
              </c:numCache>
            </c:numRef>
          </c:val>
        </c:ser>
        <c:ser>
          <c:idx val="2"/>
          <c:order val="2"/>
          <c:tx>
            <c:strRef>
              <c:f>'[2021-03-15_16_53_59.xlsx]Worksheet'!$A$7</c:f>
              <c:strCache>
                <c:ptCount val="1"/>
                <c:pt idx="0">
                  <c:v>срочные до 1 года</c:v>
                </c:pt>
              </c:strCache>
            </c:strRef>
          </c:tx>
          <c:invertIfNegative val="0"/>
          <c:dLbls>
            <c:dLbl>
              <c:idx val="4"/>
              <c:layout>
                <c:manualLayout>
                  <c:x val="0"/>
                  <c:y val="5.2833813640730164E-2"/>
                </c:manualLayout>
              </c:layout>
              <c:showLegendKey val="0"/>
              <c:showVal val="1"/>
              <c:showCatName val="0"/>
              <c:showSerName val="0"/>
              <c:showPercent val="0"/>
              <c:showBubbleSize val="0"/>
            </c:dLbl>
            <c:dLbl>
              <c:idx val="9"/>
              <c:layout>
                <c:manualLayout>
                  <c:x val="-4.11522633744856E-3"/>
                  <c:y val="2.8818443804034581E-2"/>
                </c:manualLayout>
              </c:layout>
              <c:showLegendKey val="0"/>
              <c:showVal val="1"/>
              <c:showCatName val="0"/>
              <c:showSerName val="0"/>
              <c:showPercent val="0"/>
              <c:showBubbleSize val="0"/>
            </c:dLbl>
            <c:dLbl>
              <c:idx val="10"/>
              <c:layout>
                <c:manualLayout>
                  <c:x val="0"/>
                  <c:y val="6.7243035542747381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multiLvlStrRef>
              <c:f>'[2021-03-15_16_53_59.xlsx]Worksheet'!$B$3:$M$4</c:f>
              <c:multiLvlStrCache>
                <c:ptCount val="12"/>
                <c:lvl>
                  <c:pt idx="0">
                    <c:v>KZT</c:v>
                  </c:pt>
                  <c:pt idx="1">
                    <c:v>СКВ</c:v>
                  </c:pt>
                  <c:pt idx="2">
                    <c:v>KZT</c:v>
                  </c:pt>
                  <c:pt idx="3">
                    <c:v>СКВ</c:v>
                  </c:pt>
                  <c:pt idx="4">
                    <c:v>KZT</c:v>
                  </c:pt>
                  <c:pt idx="5">
                    <c:v>СКВ</c:v>
                  </c:pt>
                  <c:pt idx="6">
                    <c:v>KZT</c:v>
                  </c:pt>
                  <c:pt idx="7">
                    <c:v>СКВ</c:v>
                  </c:pt>
                  <c:pt idx="8">
                    <c:v>KZT</c:v>
                  </c:pt>
                  <c:pt idx="9">
                    <c:v>СКВ</c:v>
                  </c:pt>
                  <c:pt idx="10">
                    <c:v>KZT</c:v>
                  </c:pt>
                  <c:pt idx="11">
                    <c:v>СКВ</c:v>
                  </c:pt>
                </c:lvl>
                <c:lvl>
                  <c:pt idx="0">
                    <c:v> 01.01.2016 г.</c:v>
                  </c:pt>
                  <c:pt idx="2">
                    <c:v> 01.01.2017 г.</c:v>
                  </c:pt>
                  <c:pt idx="4">
                    <c:v> 01.01.2018 г.</c:v>
                  </c:pt>
                  <c:pt idx="6">
                    <c:v> 01.01.2019 г.</c:v>
                  </c:pt>
                  <c:pt idx="8">
                    <c:v> 01.01.2020 г.</c:v>
                  </c:pt>
                  <c:pt idx="10">
                    <c:v> 01.01.2021 г.</c:v>
                  </c:pt>
                </c:lvl>
              </c:multiLvlStrCache>
            </c:multiLvlStrRef>
          </c:cat>
          <c:val>
            <c:numRef>
              <c:f>'[2021-03-15_16_53_59.xlsx]Worksheet'!$B$7:$M$7</c:f>
              <c:numCache>
                <c:formatCode>General</c:formatCode>
                <c:ptCount val="12"/>
                <c:pt idx="0">
                  <c:v>12.2</c:v>
                </c:pt>
                <c:pt idx="1">
                  <c:v>3.5</c:v>
                </c:pt>
                <c:pt idx="2">
                  <c:v>10.4</c:v>
                </c:pt>
                <c:pt idx="3">
                  <c:v>2.5</c:v>
                </c:pt>
                <c:pt idx="4">
                  <c:v>9.2000000000000011</c:v>
                </c:pt>
                <c:pt idx="5">
                  <c:v>1.3</c:v>
                </c:pt>
                <c:pt idx="6">
                  <c:v>7.5</c:v>
                </c:pt>
                <c:pt idx="7">
                  <c:v>1.1000000000000001</c:v>
                </c:pt>
                <c:pt idx="8">
                  <c:v>7.8</c:v>
                </c:pt>
                <c:pt idx="9">
                  <c:v>1</c:v>
                </c:pt>
                <c:pt idx="10">
                  <c:v>7.5</c:v>
                </c:pt>
                <c:pt idx="11">
                  <c:v>0.5</c:v>
                </c:pt>
              </c:numCache>
            </c:numRef>
          </c:val>
        </c:ser>
        <c:ser>
          <c:idx val="3"/>
          <c:order val="3"/>
          <c:tx>
            <c:strRef>
              <c:f>'[2021-03-15_16_53_59.xlsx]Worksheet'!$A$8</c:f>
              <c:strCache>
                <c:ptCount val="1"/>
                <c:pt idx="0">
                  <c:v>срочные свыше 5 лет</c:v>
                </c:pt>
              </c:strCache>
            </c:strRef>
          </c:tx>
          <c:spPr>
            <a:solidFill>
              <a:srgbClr val="FFC000"/>
            </a:solidFill>
          </c:spPr>
          <c:invertIfNegative val="0"/>
          <c:dLbls>
            <c:dLbl>
              <c:idx val="3"/>
              <c:layout>
                <c:manualLayout>
                  <c:x val="6.1728395061728392E-3"/>
                  <c:y val="6.2439961575408334E-2"/>
                </c:manualLayout>
              </c:layout>
              <c:showLegendKey val="0"/>
              <c:showVal val="1"/>
              <c:showCatName val="0"/>
              <c:showSerName val="0"/>
              <c:showPercent val="0"/>
              <c:showBubbleSize val="0"/>
            </c:dLbl>
            <c:dLbl>
              <c:idx val="8"/>
              <c:layout>
                <c:manualLayout>
                  <c:x val="8.23045267489712E-3"/>
                  <c:y val="7.2046109510086498E-2"/>
                </c:manualLayout>
              </c:layout>
              <c:showLegendKey val="0"/>
              <c:showVal val="1"/>
              <c:showCatName val="0"/>
              <c:showSerName val="0"/>
              <c:showPercent val="0"/>
              <c:showBubbleSize val="0"/>
            </c:dLbl>
            <c:dLbl>
              <c:idx val="9"/>
              <c:layout>
                <c:manualLayout>
                  <c:x val="6.1728395061728392E-3"/>
                  <c:y val="1.9212295869356393E-2"/>
                </c:manualLayout>
              </c:layout>
              <c:showLegendKey val="0"/>
              <c:showVal val="1"/>
              <c:showCatName val="0"/>
              <c:showSerName val="0"/>
              <c:showPercent val="0"/>
              <c:showBubbleSize val="0"/>
            </c:dLbl>
            <c:dLbl>
              <c:idx val="10"/>
              <c:layout>
                <c:manualLayout>
                  <c:x val="1.0288065843621401E-2"/>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multiLvlStrRef>
              <c:f>'[2021-03-15_16_53_59.xlsx]Worksheet'!$B$3:$M$4</c:f>
              <c:multiLvlStrCache>
                <c:ptCount val="12"/>
                <c:lvl>
                  <c:pt idx="0">
                    <c:v>KZT</c:v>
                  </c:pt>
                  <c:pt idx="1">
                    <c:v>СКВ</c:v>
                  </c:pt>
                  <c:pt idx="2">
                    <c:v>KZT</c:v>
                  </c:pt>
                  <c:pt idx="3">
                    <c:v>СКВ</c:v>
                  </c:pt>
                  <c:pt idx="4">
                    <c:v>KZT</c:v>
                  </c:pt>
                  <c:pt idx="5">
                    <c:v>СКВ</c:v>
                  </c:pt>
                  <c:pt idx="6">
                    <c:v>KZT</c:v>
                  </c:pt>
                  <c:pt idx="7">
                    <c:v>СКВ</c:v>
                  </c:pt>
                  <c:pt idx="8">
                    <c:v>KZT</c:v>
                  </c:pt>
                  <c:pt idx="9">
                    <c:v>СКВ</c:v>
                  </c:pt>
                  <c:pt idx="10">
                    <c:v>KZT</c:v>
                  </c:pt>
                  <c:pt idx="11">
                    <c:v>СКВ</c:v>
                  </c:pt>
                </c:lvl>
                <c:lvl>
                  <c:pt idx="0">
                    <c:v> 01.01.2016 г.</c:v>
                  </c:pt>
                  <c:pt idx="2">
                    <c:v> 01.01.2017 г.</c:v>
                  </c:pt>
                  <c:pt idx="4">
                    <c:v> 01.01.2018 г.</c:v>
                  </c:pt>
                  <c:pt idx="6">
                    <c:v> 01.01.2019 г.</c:v>
                  </c:pt>
                  <c:pt idx="8">
                    <c:v> 01.01.2020 г.</c:v>
                  </c:pt>
                  <c:pt idx="10">
                    <c:v> 01.01.2021 г.</c:v>
                  </c:pt>
                </c:lvl>
              </c:multiLvlStrCache>
            </c:multiLvlStrRef>
          </c:cat>
          <c:val>
            <c:numRef>
              <c:f>'[2021-03-15_16_53_59.xlsx]Worksheet'!$B$8:$M$8</c:f>
              <c:numCache>
                <c:formatCode>General</c:formatCode>
                <c:ptCount val="12"/>
                <c:pt idx="0">
                  <c:v>6</c:v>
                </c:pt>
                <c:pt idx="1">
                  <c:v>2.6</c:v>
                </c:pt>
                <c:pt idx="2">
                  <c:v>5.7</c:v>
                </c:pt>
                <c:pt idx="3">
                  <c:v>2.2999999999999998</c:v>
                </c:pt>
                <c:pt idx="4">
                  <c:v>9.8000000000000007</c:v>
                </c:pt>
                <c:pt idx="5">
                  <c:v>2.4</c:v>
                </c:pt>
                <c:pt idx="6">
                  <c:v>10.4</c:v>
                </c:pt>
                <c:pt idx="7">
                  <c:v>2.2000000000000002</c:v>
                </c:pt>
                <c:pt idx="8">
                  <c:v>7.4</c:v>
                </c:pt>
                <c:pt idx="9">
                  <c:v>1.2</c:v>
                </c:pt>
                <c:pt idx="10">
                  <c:v>8.1</c:v>
                </c:pt>
                <c:pt idx="11">
                  <c:v>2.1</c:v>
                </c:pt>
              </c:numCache>
            </c:numRef>
          </c:val>
        </c:ser>
        <c:dLbls>
          <c:showLegendKey val="0"/>
          <c:showVal val="0"/>
          <c:showCatName val="0"/>
          <c:showSerName val="0"/>
          <c:showPercent val="0"/>
          <c:showBubbleSize val="0"/>
        </c:dLbls>
        <c:gapWidth val="150"/>
        <c:shape val="box"/>
        <c:axId val="222451200"/>
        <c:axId val="222452736"/>
        <c:axId val="0"/>
      </c:bar3DChart>
      <c:catAx>
        <c:axId val="222451200"/>
        <c:scaling>
          <c:orientation val="minMax"/>
        </c:scaling>
        <c:delete val="0"/>
        <c:axPos val="b"/>
        <c:majorTickMark val="out"/>
        <c:minorTickMark val="none"/>
        <c:tickLblPos val="nextTo"/>
        <c:txPr>
          <a:bodyPr/>
          <a:lstStyle/>
          <a:p>
            <a:pPr>
              <a:defRPr sz="1050"/>
            </a:pPr>
            <a:endParaRPr lang="ru-RU"/>
          </a:p>
        </c:txPr>
        <c:crossAx val="222452736"/>
        <c:crosses val="autoZero"/>
        <c:auto val="1"/>
        <c:lblAlgn val="ctr"/>
        <c:lblOffset val="100"/>
        <c:noMultiLvlLbl val="0"/>
      </c:catAx>
      <c:valAx>
        <c:axId val="222452736"/>
        <c:scaling>
          <c:orientation val="minMax"/>
        </c:scaling>
        <c:delete val="0"/>
        <c:axPos val="l"/>
        <c:majorGridlines/>
        <c:numFmt formatCode="General" sourceLinked="1"/>
        <c:majorTickMark val="out"/>
        <c:minorTickMark val="none"/>
        <c:tickLblPos val="nextTo"/>
        <c:crossAx val="222451200"/>
        <c:crosses val="autoZero"/>
        <c:crossBetween val="between"/>
      </c:valAx>
    </c:plotArea>
    <c:legend>
      <c:legendPos val="b"/>
      <c:layout>
        <c:manualLayout>
          <c:xMode val="edge"/>
          <c:yMode val="edge"/>
          <c:x val="2.3881274099996416E-4"/>
          <c:y val="0.93070190674695052"/>
          <c:w val="0.99746476134927442"/>
          <c:h val="6.9298093253049434E-2"/>
        </c:manualLayout>
      </c:layout>
      <c:overlay val="0"/>
      <c:txPr>
        <a:bodyPr/>
        <a:lstStyle/>
        <a:p>
          <a:pPr>
            <a:defRPr sz="105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7457673916998171E-2"/>
          <c:y val="2.7777777777777891E-2"/>
          <c:w val="0.95254232608300204"/>
          <c:h val="0.61371069182390003"/>
        </c:manualLayout>
      </c:layout>
      <c:bar3DChart>
        <c:barDir val="col"/>
        <c:grouping val="clustered"/>
        <c:varyColors val="0"/>
        <c:ser>
          <c:idx val="0"/>
          <c:order val="0"/>
          <c:tx>
            <c:strRef>
              <c:f>'[2021-03-15_16_53_59.xlsx]Worksheet'!$A$11</c:f>
              <c:strCache>
                <c:ptCount val="1"/>
                <c:pt idx="0">
                  <c:v>до востребования</c:v>
                </c:pt>
              </c:strCache>
            </c:strRef>
          </c:tx>
          <c:invertIfNegative val="0"/>
          <c:dLbls>
            <c:dLbl>
              <c:idx val="0"/>
              <c:layout>
                <c:manualLayout>
                  <c:x val="-6.1881188118811884E-3"/>
                  <c:y val="1.8518518518518639E-2"/>
                </c:manualLayout>
              </c:layout>
              <c:showLegendKey val="0"/>
              <c:showVal val="1"/>
              <c:showCatName val="0"/>
              <c:showSerName val="0"/>
              <c:showPercent val="0"/>
              <c:showBubbleSize val="0"/>
            </c:dLbl>
            <c:dLbl>
              <c:idx val="1"/>
              <c:layout>
                <c:manualLayout>
                  <c:x val="-4.1254125412541294E-3"/>
                  <c:y val="3.7037037037037028E-2"/>
                </c:manualLayout>
              </c:layout>
              <c:showLegendKey val="0"/>
              <c:showVal val="1"/>
              <c:showCatName val="0"/>
              <c:showSerName val="0"/>
              <c:showPercent val="0"/>
              <c:showBubbleSize val="0"/>
            </c:dLbl>
            <c:dLbl>
              <c:idx val="2"/>
              <c:layout>
                <c:manualLayout>
                  <c:x val="-6.1881188118811884E-3"/>
                  <c:y val="3.7037037037037202E-2"/>
                </c:manualLayout>
              </c:layout>
              <c:showLegendKey val="0"/>
              <c:showVal val="1"/>
              <c:showCatName val="0"/>
              <c:showSerName val="0"/>
              <c:showPercent val="0"/>
              <c:showBubbleSize val="0"/>
            </c:dLbl>
            <c:dLbl>
              <c:idx val="5"/>
              <c:layout>
                <c:manualLayout>
                  <c:x val="-4.1254125412541294E-3"/>
                  <c:y val="1.8518518518518552E-2"/>
                </c:manualLayout>
              </c:layout>
              <c:showLegendKey val="0"/>
              <c:showVal val="1"/>
              <c:showCatName val="0"/>
              <c:showSerName val="0"/>
              <c:showPercent val="0"/>
              <c:showBubbleSize val="0"/>
            </c:dLbl>
            <c:dLbl>
              <c:idx val="11"/>
              <c:layout>
                <c:manualLayout>
                  <c:x val="-2.0627062706270695E-3"/>
                  <c:y val="3.2407407407407419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multiLvlStrRef>
              <c:f>'[2021-03-15_16_53_59.xlsx]Worksheet'!$B$9:$M$10</c:f>
              <c:multiLvlStrCache>
                <c:ptCount val="12"/>
                <c:lvl>
                  <c:pt idx="0">
                    <c:v>KZT</c:v>
                  </c:pt>
                  <c:pt idx="1">
                    <c:v>СКВ</c:v>
                  </c:pt>
                  <c:pt idx="2">
                    <c:v>KZT</c:v>
                  </c:pt>
                  <c:pt idx="3">
                    <c:v>СКВ</c:v>
                  </c:pt>
                  <c:pt idx="4">
                    <c:v>KZT</c:v>
                  </c:pt>
                  <c:pt idx="5">
                    <c:v>СКВ</c:v>
                  </c:pt>
                  <c:pt idx="6">
                    <c:v>KZT</c:v>
                  </c:pt>
                  <c:pt idx="7">
                    <c:v>СКВ</c:v>
                  </c:pt>
                  <c:pt idx="8">
                    <c:v>KZT</c:v>
                  </c:pt>
                  <c:pt idx="9">
                    <c:v>СКВ</c:v>
                  </c:pt>
                  <c:pt idx="10">
                    <c:v>KZT</c:v>
                  </c:pt>
                  <c:pt idx="11">
                    <c:v>СКВ</c:v>
                  </c:pt>
                </c:lvl>
                <c:lvl>
                  <c:pt idx="0">
                    <c:v> 01.01.2016 г.</c:v>
                  </c:pt>
                  <c:pt idx="2">
                    <c:v> 01.01.2017 г.</c:v>
                  </c:pt>
                  <c:pt idx="4">
                    <c:v> 01.01.2018 г.</c:v>
                  </c:pt>
                  <c:pt idx="6">
                    <c:v> 01.01.2019 г.</c:v>
                  </c:pt>
                  <c:pt idx="8">
                    <c:v> 01.01.2020 г.</c:v>
                  </c:pt>
                  <c:pt idx="10">
                    <c:v> 01.01.2021 г.</c:v>
                  </c:pt>
                </c:lvl>
              </c:multiLvlStrCache>
            </c:multiLvlStrRef>
          </c:cat>
          <c:val>
            <c:numRef>
              <c:f>'[2021-03-15_16_53_59.xlsx]Worksheet'!$B$11:$M$11</c:f>
              <c:numCache>
                <c:formatCode>General</c:formatCode>
                <c:ptCount val="12"/>
                <c:pt idx="0">
                  <c:v>0</c:v>
                </c:pt>
                <c:pt idx="1">
                  <c:v>0.2</c:v>
                </c:pt>
                <c:pt idx="2">
                  <c:v>0</c:v>
                </c:pt>
                <c:pt idx="3">
                  <c:v>0</c:v>
                </c:pt>
                <c:pt idx="4">
                  <c:v>0.4</c:v>
                </c:pt>
                <c:pt idx="5">
                  <c:v>1.5</c:v>
                </c:pt>
                <c:pt idx="6">
                  <c:v>0.4</c:v>
                </c:pt>
                <c:pt idx="7">
                  <c:v>0.2</c:v>
                </c:pt>
                <c:pt idx="8">
                  <c:v>0.60000000000000064</c:v>
                </c:pt>
                <c:pt idx="9">
                  <c:v>0.1</c:v>
                </c:pt>
                <c:pt idx="10">
                  <c:v>0.2</c:v>
                </c:pt>
                <c:pt idx="11">
                  <c:v>0.1</c:v>
                </c:pt>
              </c:numCache>
            </c:numRef>
          </c:val>
        </c:ser>
        <c:ser>
          <c:idx val="1"/>
          <c:order val="1"/>
          <c:tx>
            <c:strRef>
              <c:f>'[2021-03-15_16_53_59.xlsx]Worksheet'!$A$12</c:f>
              <c:strCache>
                <c:ptCount val="1"/>
                <c:pt idx="0">
                  <c:v>условные</c:v>
                </c:pt>
              </c:strCache>
            </c:strRef>
          </c:tx>
          <c:invertIfNegative val="0"/>
          <c:dLbls>
            <c:dLbl>
              <c:idx val="3"/>
              <c:layout>
                <c:manualLayout>
                  <c:x val="-8.2508250825082691E-3"/>
                  <c:y val="2.7777777777777891E-2"/>
                </c:manualLayout>
              </c:layout>
              <c:showLegendKey val="0"/>
              <c:showVal val="1"/>
              <c:showCatName val="0"/>
              <c:showSerName val="0"/>
              <c:showPercent val="0"/>
              <c:showBubbleSize val="0"/>
            </c:dLbl>
            <c:dLbl>
              <c:idx val="4"/>
              <c:layout>
                <c:manualLayout>
                  <c:x val="6.1881188118811884E-3"/>
                  <c:y val="2.7777777777777821E-2"/>
                </c:manualLayout>
              </c:layout>
              <c:showLegendKey val="0"/>
              <c:showVal val="1"/>
              <c:showCatName val="0"/>
              <c:showSerName val="0"/>
              <c:showPercent val="0"/>
              <c:showBubbleSize val="0"/>
            </c:dLbl>
            <c:dLbl>
              <c:idx val="8"/>
              <c:layout>
                <c:manualLayout>
                  <c:x val="-2.0627062706270695E-3"/>
                  <c:y val="5.0925925925925923E-2"/>
                </c:manualLayout>
              </c:layout>
              <c:showLegendKey val="0"/>
              <c:showVal val="1"/>
              <c:showCatName val="0"/>
              <c:showSerName val="0"/>
              <c:showPercent val="0"/>
              <c:showBubbleSize val="0"/>
            </c:dLbl>
            <c:dLbl>
              <c:idx val="11"/>
              <c:layout>
                <c:manualLayout>
                  <c:x val="-8.2508250825082691E-3"/>
                  <c:y val="2.7777777777777891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multiLvlStrRef>
              <c:f>'[2021-03-15_16_53_59.xlsx]Worksheet'!$B$9:$M$10</c:f>
              <c:multiLvlStrCache>
                <c:ptCount val="12"/>
                <c:lvl>
                  <c:pt idx="0">
                    <c:v>KZT</c:v>
                  </c:pt>
                  <c:pt idx="1">
                    <c:v>СКВ</c:v>
                  </c:pt>
                  <c:pt idx="2">
                    <c:v>KZT</c:v>
                  </c:pt>
                  <c:pt idx="3">
                    <c:v>СКВ</c:v>
                  </c:pt>
                  <c:pt idx="4">
                    <c:v>KZT</c:v>
                  </c:pt>
                  <c:pt idx="5">
                    <c:v>СКВ</c:v>
                  </c:pt>
                  <c:pt idx="6">
                    <c:v>KZT</c:v>
                  </c:pt>
                  <c:pt idx="7">
                    <c:v>СКВ</c:v>
                  </c:pt>
                  <c:pt idx="8">
                    <c:v>KZT</c:v>
                  </c:pt>
                  <c:pt idx="9">
                    <c:v>СКВ</c:v>
                  </c:pt>
                  <c:pt idx="10">
                    <c:v>KZT</c:v>
                  </c:pt>
                  <c:pt idx="11">
                    <c:v>СКВ</c:v>
                  </c:pt>
                </c:lvl>
                <c:lvl>
                  <c:pt idx="0">
                    <c:v> 01.01.2016 г.</c:v>
                  </c:pt>
                  <c:pt idx="2">
                    <c:v> 01.01.2017 г.</c:v>
                  </c:pt>
                  <c:pt idx="4">
                    <c:v> 01.01.2018 г.</c:v>
                  </c:pt>
                  <c:pt idx="6">
                    <c:v> 01.01.2019 г.</c:v>
                  </c:pt>
                  <c:pt idx="8">
                    <c:v> 01.01.2020 г.</c:v>
                  </c:pt>
                  <c:pt idx="10">
                    <c:v> 01.01.2021 г.</c:v>
                  </c:pt>
                </c:lvl>
              </c:multiLvlStrCache>
            </c:multiLvlStrRef>
          </c:cat>
          <c:val>
            <c:numRef>
              <c:f>'[2021-03-15_16_53_59.xlsx]Worksheet'!$B$12:$M$12</c:f>
              <c:numCache>
                <c:formatCode>General</c:formatCode>
                <c:ptCount val="12"/>
                <c:pt idx="0">
                  <c:v>0.4</c:v>
                </c:pt>
                <c:pt idx="1">
                  <c:v>0.5</c:v>
                </c:pt>
                <c:pt idx="2">
                  <c:v>0.4</c:v>
                </c:pt>
                <c:pt idx="3">
                  <c:v>2.6</c:v>
                </c:pt>
                <c:pt idx="4">
                  <c:v>0.1</c:v>
                </c:pt>
                <c:pt idx="5">
                  <c:v>2.9</c:v>
                </c:pt>
                <c:pt idx="6">
                  <c:v>10.7</c:v>
                </c:pt>
                <c:pt idx="7">
                  <c:v>2.9</c:v>
                </c:pt>
                <c:pt idx="8">
                  <c:v>8.3000000000000007</c:v>
                </c:pt>
                <c:pt idx="9">
                  <c:v>2.1</c:v>
                </c:pt>
                <c:pt idx="10">
                  <c:v>4.8</c:v>
                </c:pt>
                <c:pt idx="11">
                  <c:v>0.8</c:v>
                </c:pt>
              </c:numCache>
            </c:numRef>
          </c:val>
        </c:ser>
        <c:ser>
          <c:idx val="2"/>
          <c:order val="2"/>
          <c:tx>
            <c:strRef>
              <c:f>'[2021-03-15_16_53_59.xlsx]Worksheet'!$A$13</c:f>
              <c:strCache>
                <c:ptCount val="1"/>
                <c:pt idx="0">
                  <c:v>срочные до 1 года</c:v>
                </c:pt>
              </c:strCache>
            </c:strRef>
          </c:tx>
          <c:invertIfNegative val="0"/>
          <c:dLbls>
            <c:dLbl>
              <c:idx val="1"/>
              <c:layout>
                <c:manualLayout>
                  <c:x val="-1.0313531353135343E-2"/>
                  <c:y val="3.2407407407407489E-2"/>
                </c:manualLayout>
              </c:layout>
              <c:showLegendKey val="0"/>
              <c:showVal val="1"/>
              <c:showCatName val="0"/>
              <c:showSerName val="0"/>
              <c:showPercent val="0"/>
              <c:showBubbleSize val="0"/>
            </c:dLbl>
            <c:dLbl>
              <c:idx val="3"/>
              <c:layout>
                <c:manualLayout>
                  <c:x val="0"/>
                  <c:y val="4.6296296296296412E-2"/>
                </c:manualLayout>
              </c:layout>
              <c:showLegendKey val="0"/>
              <c:showVal val="1"/>
              <c:showCatName val="0"/>
              <c:showSerName val="0"/>
              <c:showPercent val="0"/>
              <c:showBubbleSize val="0"/>
            </c:dLbl>
            <c:dLbl>
              <c:idx val="4"/>
              <c:layout>
                <c:manualLayout>
                  <c:x val="-2.0627062706270695E-3"/>
                  <c:y val="5.0925925925925992E-2"/>
                </c:manualLayout>
              </c:layout>
              <c:showLegendKey val="0"/>
              <c:showVal val="1"/>
              <c:showCatName val="0"/>
              <c:showSerName val="0"/>
              <c:showPercent val="0"/>
              <c:showBubbleSize val="0"/>
            </c:dLbl>
            <c:dLbl>
              <c:idx val="5"/>
              <c:layout>
                <c:manualLayout>
                  <c:x val="0"/>
                  <c:y val="5.0925925925925923E-2"/>
                </c:manualLayout>
              </c:layout>
              <c:showLegendKey val="0"/>
              <c:showVal val="1"/>
              <c:showCatName val="0"/>
              <c:showSerName val="0"/>
              <c:showPercent val="0"/>
              <c:showBubbleSize val="0"/>
            </c:dLbl>
            <c:dLbl>
              <c:idx val="6"/>
              <c:layout>
                <c:manualLayout>
                  <c:x val="6.1881188118812639E-3"/>
                  <c:y val="4.6296296296296412E-2"/>
                </c:manualLayout>
              </c:layout>
              <c:showLegendKey val="0"/>
              <c:showVal val="1"/>
              <c:showCatName val="0"/>
              <c:showSerName val="0"/>
              <c:showPercent val="0"/>
              <c:showBubbleSize val="0"/>
            </c:dLbl>
            <c:dLbl>
              <c:idx val="9"/>
              <c:layout>
                <c:manualLayout>
                  <c:x val="2.0627062706270695E-3"/>
                  <c:y val="4.1666666666666664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multiLvlStrRef>
              <c:f>'[2021-03-15_16_53_59.xlsx]Worksheet'!$B$9:$M$10</c:f>
              <c:multiLvlStrCache>
                <c:ptCount val="12"/>
                <c:lvl>
                  <c:pt idx="0">
                    <c:v>KZT</c:v>
                  </c:pt>
                  <c:pt idx="1">
                    <c:v>СКВ</c:v>
                  </c:pt>
                  <c:pt idx="2">
                    <c:v>KZT</c:v>
                  </c:pt>
                  <c:pt idx="3">
                    <c:v>СКВ</c:v>
                  </c:pt>
                  <c:pt idx="4">
                    <c:v>KZT</c:v>
                  </c:pt>
                  <c:pt idx="5">
                    <c:v>СКВ</c:v>
                  </c:pt>
                  <c:pt idx="6">
                    <c:v>KZT</c:v>
                  </c:pt>
                  <c:pt idx="7">
                    <c:v>СКВ</c:v>
                  </c:pt>
                  <c:pt idx="8">
                    <c:v>KZT</c:v>
                  </c:pt>
                  <c:pt idx="9">
                    <c:v>СКВ</c:v>
                  </c:pt>
                  <c:pt idx="10">
                    <c:v>KZT</c:v>
                  </c:pt>
                  <c:pt idx="11">
                    <c:v>СКВ</c:v>
                  </c:pt>
                </c:lvl>
                <c:lvl>
                  <c:pt idx="0">
                    <c:v> 01.01.2016 г.</c:v>
                  </c:pt>
                  <c:pt idx="2">
                    <c:v> 01.01.2017 г.</c:v>
                  </c:pt>
                  <c:pt idx="4">
                    <c:v> 01.01.2018 г.</c:v>
                  </c:pt>
                  <c:pt idx="6">
                    <c:v> 01.01.2019 г.</c:v>
                  </c:pt>
                  <c:pt idx="8">
                    <c:v> 01.01.2020 г.</c:v>
                  </c:pt>
                  <c:pt idx="10">
                    <c:v> 01.01.2021 г.</c:v>
                  </c:pt>
                </c:lvl>
              </c:multiLvlStrCache>
            </c:multiLvlStrRef>
          </c:cat>
          <c:val>
            <c:numRef>
              <c:f>'[2021-03-15_16_53_59.xlsx]Worksheet'!$B$13:$M$13</c:f>
              <c:numCache>
                <c:formatCode>General</c:formatCode>
                <c:ptCount val="12"/>
                <c:pt idx="0">
                  <c:v>9.6</c:v>
                </c:pt>
                <c:pt idx="1">
                  <c:v>2.9</c:v>
                </c:pt>
                <c:pt idx="2">
                  <c:v>12.5</c:v>
                </c:pt>
                <c:pt idx="3">
                  <c:v>1.7</c:v>
                </c:pt>
                <c:pt idx="4">
                  <c:v>11.2</c:v>
                </c:pt>
                <c:pt idx="5">
                  <c:v>1.1000000000000001</c:v>
                </c:pt>
                <c:pt idx="6">
                  <c:v>10.200000000000001</c:v>
                </c:pt>
                <c:pt idx="7">
                  <c:v>0.60000000000000064</c:v>
                </c:pt>
                <c:pt idx="8">
                  <c:v>9.3000000000000007</c:v>
                </c:pt>
                <c:pt idx="9">
                  <c:v>1</c:v>
                </c:pt>
                <c:pt idx="10">
                  <c:v>9.5</c:v>
                </c:pt>
                <c:pt idx="11">
                  <c:v>0.9</c:v>
                </c:pt>
              </c:numCache>
            </c:numRef>
          </c:val>
        </c:ser>
        <c:ser>
          <c:idx val="3"/>
          <c:order val="3"/>
          <c:tx>
            <c:strRef>
              <c:f>'[2021-03-15_16_53_59.xlsx]Worksheet'!$A$14</c:f>
              <c:strCache>
                <c:ptCount val="1"/>
                <c:pt idx="0">
                  <c:v>срочные свыше 5 лет</c:v>
                </c:pt>
              </c:strCache>
            </c:strRef>
          </c:tx>
          <c:spPr>
            <a:solidFill>
              <a:srgbClr val="FFC000"/>
            </a:solidFill>
          </c:spPr>
          <c:invertIfNegative val="0"/>
          <c:dLbls>
            <c:dLbl>
              <c:idx val="0"/>
              <c:layout>
                <c:manualLayout>
                  <c:x val="1.2376237623762377E-2"/>
                  <c:y val="5.5555555555555455E-2"/>
                </c:manualLayout>
              </c:layout>
              <c:showLegendKey val="0"/>
              <c:showVal val="1"/>
              <c:showCatName val="0"/>
              <c:showSerName val="0"/>
              <c:showPercent val="0"/>
              <c:showBubbleSize val="0"/>
            </c:dLbl>
            <c:dLbl>
              <c:idx val="5"/>
              <c:layout>
                <c:manualLayout>
                  <c:x val="4.1254125412541294E-3"/>
                  <c:y val="1.8518518518518552E-2"/>
                </c:manualLayout>
              </c:layout>
              <c:showLegendKey val="0"/>
              <c:showVal val="1"/>
              <c:showCatName val="0"/>
              <c:showSerName val="0"/>
              <c:showPercent val="0"/>
              <c:showBubbleSize val="0"/>
            </c:dLbl>
            <c:dLbl>
              <c:idx val="6"/>
              <c:layout>
                <c:manualLayout>
                  <c:x val="4.1254125412541294E-3"/>
                  <c:y val="6.9444444444444503E-2"/>
                </c:manualLayout>
              </c:layout>
              <c:showLegendKey val="0"/>
              <c:showVal val="1"/>
              <c:showCatName val="0"/>
              <c:showSerName val="0"/>
              <c:showPercent val="0"/>
              <c:showBubbleSize val="0"/>
            </c:dLbl>
            <c:dLbl>
              <c:idx val="8"/>
              <c:layout>
                <c:manualLayout>
                  <c:x val="1.0313531353135343E-2"/>
                  <c:y val="6.0185185185185147E-2"/>
                </c:manualLayout>
              </c:layout>
              <c:showLegendKey val="0"/>
              <c:showVal val="1"/>
              <c:showCatName val="0"/>
              <c:showSerName val="0"/>
              <c:showPercent val="0"/>
              <c:showBubbleSize val="0"/>
            </c:dLbl>
            <c:dLbl>
              <c:idx val="11"/>
              <c:layout>
                <c:manualLayout>
                  <c:x val="6.1881188118811884E-3"/>
                  <c:y val="0"/>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multiLvlStrRef>
              <c:f>'[2021-03-15_16_53_59.xlsx]Worksheet'!$B$9:$M$10</c:f>
              <c:multiLvlStrCache>
                <c:ptCount val="12"/>
                <c:lvl>
                  <c:pt idx="0">
                    <c:v>KZT</c:v>
                  </c:pt>
                  <c:pt idx="1">
                    <c:v>СКВ</c:v>
                  </c:pt>
                  <c:pt idx="2">
                    <c:v>KZT</c:v>
                  </c:pt>
                  <c:pt idx="3">
                    <c:v>СКВ</c:v>
                  </c:pt>
                  <c:pt idx="4">
                    <c:v>KZT</c:v>
                  </c:pt>
                  <c:pt idx="5">
                    <c:v>СКВ</c:v>
                  </c:pt>
                  <c:pt idx="6">
                    <c:v>KZT</c:v>
                  </c:pt>
                  <c:pt idx="7">
                    <c:v>СКВ</c:v>
                  </c:pt>
                  <c:pt idx="8">
                    <c:v>KZT</c:v>
                  </c:pt>
                  <c:pt idx="9">
                    <c:v>СКВ</c:v>
                  </c:pt>
                  <c:pt idx="10">
                    <c:v>KZT</c:v>
                  </c:pt>
                  <c:pt idx="11">
                    <c:v>СКВ</c:v>
                  </c:pt>
                </c:lvl>
                <c:lvl>
                  <c:pt idx="0">
                    <c:v> 01.01.2016 г.</c:v>
                  </c:pt>
                  <c:pt idx="2">
                    <c:v> 01.01.2017 г.</c:v>
                  </c:pt>
                  <c:pt idx="4">
                    <c:v> 01.01.2018 г.</c:v>
                  </c:pt>
                  <c:pt idx="6">
                    <c:v> 01.01.2019 г.</c:v>
                  </c:pt>
                  <c:pt idx="8">
                    <c:v> 01.01.2020 г.</c:v>
                  </c:pt>
                  <c:pt idx="10">
                    <c:v> 01.01.2021 г.</c:v>
                  </c:pt>
                </c:lvl>
              </c:multiLvlStrCache>
            </c:multiLvlStrRef>
          </c:cat>
          <c:val>
            <c:numRef>
              <c:f>'[2021-03-15_16_53_59.xlsx]Worksheet'!$B$14:$M$14</c:f>
              <c:numCache>
                <c:formatCode>General</c:formatCode>
                <c:ptCount val="12"/>
                <c:pt idx="0">
                  <c:v>9.3000000000000007</c:v>
                </c:pt>
                <c:pt idx="1">
                  <c:v>3.1</c:v>
                </c:pt>
                <c:pt idx="2">
                  <c:v>8.9</c:v>
                </c:pt>
                <c:pt idx="3">
                  <c:v>2.9</c:v>
                </c:pt>
                <c:pt idx="4">
                  <c:v>11.6</c:v>
                </c:pt>
                <c:pt idx="5">
                  <c:v>2.9</c:v>
                </c:pt>
                <c:pt idx="6">
                  <c:v>9.4</c:v>
                </c:pt>
                <c:pt idx="7">
                  <c:v>2.1</c:v>
                </c:pt>
                <c:pt idx="8">
                  <c:v>9.3000000000000007</c:v>
                </c:pt>
                <c:pt idx="9">
                  <c:v>1.9000000000000001</c:v>
                </c:pt>
                <c:pt idx="10">
                  <c:v>6.8</c:v>
                </c:pt>
                <c:pt idx="11">
                  <c:v>1.8</c:v>
                </c:pt>
              </c:numCache>
            </c:numRef>
          </c:val>
        </c:ser>
        <c:dLbls>
          <c:showLegendKey val="0"/>
          <c:showVal val="0"/>
          <c:showCatName val="0"/>
          <c:showSerName val="0"/>
          <c:showPercent val="0"/>
          <c:showBubbleSize val="0"/>
        </c:dLbls>
        <c:gapWidth val="150"/>
        <c:shape val="box"/>
        <c:axId val="222514176"/>
        <c:axId val="222544640"/>
        <c:axId val="0"/>
      </c:bar3DChart>
      <c:catAx>
        <c:axId val="222514176"/>
        <c:scaling>
          <c:orientation val="minMax"/>
        </c:scaling>
        <c:delete val="0"/>
        <c:axPos val="b"/>
        <c:majorTickMark val="out"/>
        <c:minorTickMark val="none"/>
        <c:tickLblPos val="nextTo"/>
        <c:txPr>
          <a:bodyPr/>
          <a:lstStyle/>
          <a:p>
            <a:pPr>
              <a:defRPr sz="1050"/>
            </a:pPr>
            <a:endParaRPr lang="ru-RU"/>
          </a:p>
        </c:txPr>
        <c:crossAx val="222544640"/>
        <c:crosses val="autoZero"/>
        <c:auto val="1"/>
        <c:lblAlgn val="ctr"/>
        <c:lblOffset val="100"/>
        <c:noMultiLvlLbl val="0"/>
      </c:catAx>
      <c:valAx>
        <c:axId val="222544640"/>
        <c:scaling>
          <c:orientation val="minMax"/>
        </c:scaling>
        <c:delete val="0"/>
        <c:axPos val="l"/>
        <c:majorGridlines/>
        <c:numFmt formatCode="General" sourceLinked="1"/>
        <c:majorTickMark val="out"/>
        <c:minorTickMark val="none"/>
        <c:tickLblPos val="nextTo"/>
        <c:crossAx val="222514176"/>
        <c:crosses val="autoZero"/>
        <c:crossBetween val="between"/>
      </c:valAx>
    </c:plotArea>
    <c:legend>
      <c:legendPos val="b"/>
      <c:layout>
        <c:manualLayout>
          <c:xMode val="edge"/>
          <c:yMode val="edge"/>
          <c:x val="6.4833944024323921E-3"/>
          <c:y val="0.91628280839894949"/>
          <c:w val="0.99115846131857388"/>
          <c:h val="8.3717191601050026E-2"/>
        </c:manualLayout>
      </c:layout>
      <c:overlay val="0"/>
      <c:txPr>
        <a:bodyPr/>
        <a:lstStyle/>
        <a:p>
          <a:pPr>
            <a:defRPr sz="105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29485237109574"/>
          <c:y val="7.6071922544951584E-2"/>
          <c:w val="0.65443775828834405"/>
          <c:h val="0.734222563465875"/>
        </c:manualLayout>
      </c:layout>
      <c:scatterChart>
        <c:scatterStyle val="lineMarker"/>
        <c:varyColors val="0"/>
        <c:ser>
          <c:idx val="0"/>
          <c:order val="0"/>
          <c:tx>
            <c:v/>
          </c:tx>
          <c:spPr>
            <a:ln w="28575">
              <a:noFill/>
            </a:ln>
            <a:effectLst/>
          </c:spPr>
          <c:marker>
            <c:symbol val="circle"/>
            <c:size val="3"/>
            <c:spPr>
              <a:solidFill>
                <a:srgbClr val="2A7498"/>
              </a:solidFill>
              <a:ln>
                <a:solidFill>
                  <a:srgbClr val="2A7498"/>
                </a:solidFill>
                <a:prstDash val="solid"/>
              </a:ln>
            </c:spPr>
          </c:marker>
          <c:xVal>
            <c:numRef>
              <c:f>'Nonlinear regression полученные'!$C$84:$C$94</c:f>
              <c:numCache>
                <c:formatCode>General</c:formatCode>
                <c:ptCount val="11"/>
                <c:pt idx="0">
                  <c:v>2515.4</c:v>
                </c:pt>
                <c:pt idx="1">
                  <c:v>2659.8</c:v>
                </c:pt>
                <c:pt idx="2">
                  <c:v>3008</c:v>
                </c:pt>
                <c:pt idx="3">
                  <c:v>3139.8</c:v>
                </c:pt>
                <c:pt idx="4">
                  <c:v>2315.6999999999998</c:v>
                </c:pt>
                <c:pt idx="5">
                  <c:v>2396.6999999999998</c:v>
                </c:pt>
                <c:pt idx="6">
                  <c:v>2464</c:v>
                </c:pt>
                <c:pt idx="7">
                  <c:v>2737.4</c:v>
                </c:pt>
                <c:pt idx="8">
                  <c:v>2792.1</c:v>
                </c:pt>
                <c:pt idx="9">
                  <c:v>2930.4</c:v>
                </c:pt>
                <c:pt idx="10">
                  <c:v>2775.1</c:v>
                </c:pt>
              </c:numCache>
            </c:numRef>
          </c:xVal>
          <c:yVal>
            <c:numRef>
              <c:f>'Nonlinear regression полученные'!$D$84:$D$94</c:f>
              <c:numCache>
                <c:formatCode>General</c:formatCode>
                <c:ptCount val="11"/>
                <c:pt idx="0">
                  <c:v>13070.949999999983</c:v>
                </c:pt>
                <c:pt idx="1">
                  <c:v>14909.9</c:v>
                </c:pt>
                <c:pt idx="2">
                  <c:v>22052.43</c:v>
                </c:pt>
                <c:pt idx="3">
                  <c:v>13180.859999999968</c:v>
                </c:pt>
                <c:pt idx="4">
                  <c:v>14727.76</c:v>
                </c:pt>
                <c:pt idx="5">
                  <c:v>16389.29</c:v>
                </c:pt>
                <c:pt idx="6">
                  <c:v>25234.71</c:v>
                </c:pt>
                <c:pt idx="7">
                  <c:v>15093.34</c:v>
                </c:pt>
                <c:pt idx="8">
                  <c:v>13306.25</c:v>
                </c:pt>
                <c:pt idx="9">
                  <c:v>17403.66</c:v>
                </c:pt>
                <c:pt idx="10">
                  <c:v>20134.759999999958</c:v>
                </c:pt>
              </c:numCache>
            </c:numRef>
          </c:yVal>
          <c:smooth val="0"/>
        </c:ser>
        <c:ser>
          <c:idx val="1"/>
          <c:order val="1"/>
          <c:tx>
            <c:v/>
          </c:tx>
          <c:spPr>
            <a:ln w="28575">
              <a:noFill/>
            </a:ln>
            <a:effectLst/>
          </c:spPr>
          <c:marker>
            <c:symbol val="circle"/>
            <c:size val="3"/>
            <c:spPr>
              <a:solidFill>
                <a:srgbClr val="2A7498"/>
              </a:solidFill>
              <a:ln>
                <a:solidFill>
                  <a:srgbClr val="2A7498"/>
                </a:solidFill>
                <a:prstDash val="solid"/>
              </a:ln>
            </c:spPr>
          </c:marker>
          <c:xVal>
            <c:numLit>
              <c:formatCode>General</c:formatCode>
              <c:ptCount val="1"/>
              <c:pt idx="0">
                <c:v>2659.8</c:v>
              </c:pt>
            </c:numLit>
          </c:xVal>
          <c:yVal>
            <c:numLit>
              <c:formatCode>General</c:formatCode>
              <c:ptCount val="1"/>
              <c:pt idx="0">
                <c:v>14909.9</c:v>
              </c:pt>
            </c:numLit>
          </c:yVal>
          <c:smooth val="0"/>
        </c:ser>
        <c:ser>
          <c:idx val="2"/>
          <c:order val="2"/>
          <c:tx>
            <c:v>95%CI</c:v>
          </c:tx>
          <c:spPr>
            <a:ln w="12700">
              <a:solidFill>
                <a:srgbClr val="C0C0C0"/>
              </a:solidFill>
              <a:prstDash val="solid"/>
            </a:ln>
            <a:effectLst/>
          </c:spPr>
          <c:marker>
            <c:symbol val="none"/>
          </c:marker>
          <c:xVal>
            <c:numLit>
              <c:formatCode>General</c:formatCode>
              <c:ptCount val="200"/>
              <c:pt idx="0">
                <c:v>2315.6999999999998</c:v>
              </c:pt>
              <c:pt idx="1">
                <c:v>2319.8412060301575</c:v>
              </c:pt>
              <c:pt idx="2">
                <c:v>2323.9824120603016</c:v>
              </c:pt>
              <c:pt idx="3">
                <c:v>2328.1236180904525</c:v>
              </c:pt>
              <c:pt idx="4">
                <c:v>2332.2648241205957</c:v>
              </c:pt>
              <c:pt idx="5">
                <c:v>2336.4060301507543</c:v>
              </c:pt>
              <c:pt idx="6">
                <c:v>2340.5472361809052</c:v>
              </c:pt>
              <c:pt idx="7">
                <c:v>2344.6884422110547</c:v>
              </c:pt>
              <c:pt idx="8">
                <c:v>2348.829648241207</c:v>
              </c:pt>
              <c:pt idx="9">
                <c:v>2352.9708542713634</c:v>
              </c:pt>
              <c:pt idx="10">
                <c:v>2357.1120603015092</c:v>
              </c:pt>
              <c:pt idx="11">
                <c:v>2361.2532663316601</c:v>
              </c:pt>
              <c:pt idx="12">
                <c:v>2365.3944723618106</c:v>
              </c:pt>
              <c:pt idx="13">
                <c:v>2369.5356783919615</c:v>
              </c:pt>
              <c:pt idx="14">
                <c:v>2373.6768844221042</c:v>
              </c:pt>
              <c:pt idx="15">
                <c:v>2377.8180904522642</c:v>
              </c:pt>
              <c:pt idx="16">
                <c:v>2381.9592964824192</c:v>
              </c:pt>
              <c:pt idx="17">
                <c:v>2386.1005025125701</c:v>
              </c:pt>
              <c:pt idx="18">
                <c:v>2390.241708542716</c:v>
              </c:pt>
              <c:pt idx="19">
                <c:v>2394.3829145728719</c:v>
              </c:pt>
              <c:pt idx="20">
                <c:v>2398.5241206030178</c:v>
              </c:pt>
              <c:pt idx="21">
                <c:v>2402.6653266331737</c:v>
              </c:pt>
              <c:pt idx="22">
                <c:v>2406.8065326633246</c:v>
              </c:pt>
              <c:pt idx="23">
                <c:v>2410.947738693475</c:v>
              </c:pt>
              <c:pt idx="24">
                <c:v>2415.0889447236123</c:v>
              </c:pt>
              <c:pt idx="25">
                <c:v>2419.2301507537723</c:v>
              </c:pt>
              <c:pt idx="26">
                <c:v>2423.3713567839322</c:v>
              </c:pt>
              <c:pt idx="27">
                <c:v>2427.5125628140772</c:v>
              </c:pt>
              <c:pt idx="28">
                <c:v>2431.6537688442272</c:v>
              </c:pt>
              <c:pt idx="29">
                <c:v>2435.7949748743772</c:v>
              </c:pt>
              <c:pt idx="30">
                <c:v>2439.9361809045272</c:v>
              </c:pt>
              <c:pt idx="31">
                <c:v>2444.0773869346776</c:v>
              </c:pt>
              <c:pt idx="32">
                <c:v>2448.2185929648285</c:v>
              </c:pt>
              <c:pt idx="33">
                <c:v>2452.3597989949812</c:v>
              </c:pt>
              <c:pt idx="34">
                <c:v>2456.5010050251303</c:v>
              </c:pt>
              <c:pt idx="35">
                <c:v>2460.6422110552808</c:v>
              </c:pt>
              <c:pt idx="36">
                <c:v>2464.7834170854321</c:v>
              </c:pt>
              <c:pt idx="37">
                <c:v>2468.924623115583</c:v>
              </c:pt>
              <c:pt idx="38">
                <c:v>2473.0658291457285</c:v>
              </c:pt>
              <c:pt idx="39">
                <c:v>2477.2070351758848</c:v>
              </c:pt>
              <c:pt idx="40">
                <c:v>2481.3482412060357</c:v>
              </c:pt>
              <c:pt idx="41">
                <c:v>2485.4894472361866</c:v>
              </c:pt>
              <c:pt idx="42">
                <c:v>2489.6306532663375</c:v>
              </c:pt>
              <c:pt idx="43">
                <c:v>2493.7718592964902</c:v>
              </c:pt>
              <c:pt idx="44">
                <c:v>2497.9130653266393</c:v>
              </c:pt>
              <c:pt idx="45">
                <c:v>2502.0542713567897</c:v>
              </c:pt>
              <c:pt idx="46">
                <c:v>2506.1954773869411</c:v>
              </c:pt>
              <c:pt idx="47">
                <c:v>2510.3366834170897</c:v>
              </c:pt>
              <c:pt idx="48">
                <c:v>2514.4778894472397</c:v>
              </c:pt>
              <c:pt idx="49">
                <c:v>2518.6190954773942</c:v>
              </c:pt>
              <c:pt idx="50">
                <c:v>2522.7603015075451</c:v>
              </c:pt>
              <c:pt idx="51">
                <c:v>2526.901507537701</c:v>
              </c:pt>
              <c:pt idx="52">
                <c:v>2531.0427135678465</c:v>
              </c:pt>
              <c:pt idx="53">
                <c:v>2535.1839195979974</c:v>
              </c:pt>
              <c:pt idx="54">
                <c:v>2539.3251256281492</c:v>
              </c:pt>
              <c:pt idx="55">
                <c:v>2543.4663316582992</c:v>
              </c:pt>
              <c:pt idx="56">
                <c:v>2547.6075376884551</c:v>
              </c:pt>
              <c:pt idx="57">
                <c:v>2551.7487437185987</c:v>
              </c:pt>
              <c:pt idx="58">
                <c:v>2555.8899497487487</c:v>
              </c:pt>
              <c:pt idx="59">
                <c:v>2560.0311557789078</c:v>
              </c:pt>
              <c:pt idx="60">
                <c:v>2564.1723618090541</c:v>
              </c:pt>
              <c:pt idx="61">
                <c:v>2568.3135678392136</c:v>
              </c:pt>
              <c:pt idx="62">
                <c:v>2572.45477386936</c:v>
              </c:pt>
              <c:pt idx="63">
                <c:v>2576.5959798995109</c:v>
              </c:pt>
              <c:pt idx="64">
                <c:v>2580.7371859296522</c:v>
              </c:pt>
              <c:pt idx="65">
                <c:v>2584.8783919598081</c:v>
              </c:pt>
              <c:pt idx="66">
                <c:v>2589.0195979899622</c:v>
              </c:pt>
              <c:pt idx="67">
                <c:v>2593.1608040201049</c:v>
              </c:pt>
              <c:pt idx="68">
                <c:v>2597.3020100502622</c:v>
              </c:pt>
              <c:pt idx="69">
                <c:v>2601.4432160804199</c:v>
              </c:pt>
              <c:pt idx="70">
                <c:v>2605.5844221105617</c:v>
              </c:pt>
              <c:pt idx="71">
                <c:v>2609.7256281407085</c:v>
              </c:pt>
              <c:pt idx="72">
                <c:v>2613.8668341708644</c:v>
              </c:pt>
              <c:pt idx="73">
                <c:v>2618.0080402010153</c:v>
              </c:pt>
              <c:pt idx="74">
                <c:v>2622.1492462311662</c:v>
              </c:pt>
              <c:pt idx="75">
                <c:v>2626.2904522613171</c:v>
              </c:pt>
              <c:pt idx="76">
                <c:v>2630.4316582914757</c:v>
              </c:pt>
              <c:pt idx="77">
                <c:v>2634.5728643216135</c:v>
              </c:pt>
              <c:pt idx="78">
                <c:v>2638.7140703517698</c:v>
              </c:pt>
              <c:pt idx="79">
                <c:v>2642.8552763819275</c:v>
              </c:pt>
              <c:pt idx="80">
                <c:v>2646.9964824120707</c:v>
              </c:pt>
              <c:pt idx="81">
                <c:v>2651.1376884422207</c:v>
              </c:pt>
              <c:pt idx="82">
                <c:v>2655.2788944723734</c:v>
              </c:pt>
              <c:pt idx="83">
                <c:v>2659.4201005025307</c:v>
              </c:pt>
              <c:pt idx="84">
                <c:v>2663.5613065326806</c:v>
              </c:pt>
              <c:pt idx="85">
                <c:v>2667.7025125628261</c:v>
              </c:pt>
              <c:pt idx="86">
                <c:v>2671.8437185929824</c:v>
              </c:pt>
              <c:pt idx="87">
                <c:v>2675.9849246231247</c:v>
              </c:pt>
              <c:pt idx="88">
                <c:v>2680.1261306532792</c:v>
              </c:pt>
              <c:pt idx="89">
                <c:v>2684.2673366834356</c:v>
              </c:pt>
              <c:pt idx="90">
                <c:v>2688.4085427135806</c:v>
              </c:pt>
              <c:pt idx="91">
                <c:v>2692.5497487437297</c:v>
              </c:pt>
              <c:pt idx="92">
                <c:v>2696.6909547738824</c:v>
              </c:pt>
              <c:pt idx="93">
                <c:v>2700.8321608040383</c:v>
              </c:pt>
              <c:pt idx="94">
                <c:v>2704.9733668341937</c:v>
              </c:pt>
              <c:pt idx="95">
                <c:v>2709.1145728643401</c:v>
              </c:pt>
              <c:pt idx="96">
                <c:v>2713.255778894491</c:v>
              </c:pt>
              <c:pt idx="97">
                <c:v>2717.3969849246337</c:v>
              </c:pt>
              <c:pt idx="98">
                <c:v>2721.5381909547878</c:v>
              </c:pt>
              <c:pt idx="99">
                <c:v>2725.6793969849432</c:v>
              </c:pt>
              <c:pt idx="100">
                <c:v>2729.8206030150895</c:v>
              </c:pt>
              <c:pt idx="101">
                <c:v>2733.9618090452404</c:v>
              </c:pt>
              <c:pt idx="102">
                <c:v>2738.1030150753922</c:v>
              </c:pt>
              <c:pt idx="103">
                <c:v>2742.2442211055372</c:v>
              </c:pt>
              <c:pt idx="104">
                <c:v>2746.3854271356931</c:v>
              </c:pt>
              <c:pt idx="105">
                <c:v>2750.526633165839</c:v>
              </c:pt>
              <c:pt idx="106">
                <c:v>2754.6678391959899</c:v>
              </c:pt>
              <c:pt idx="107">
                <c:v>2758.8090452261458</c:v>
              </c:pt>
              <c:pt idx="108">
                <c:v>2762.9502512562972</c:v>
              </c:pt>
              <c:pt idx="109">
                <c:v>2767.0914572864558</c:v>
              </c:pt>
              <c:pt idx="110">
                <c:v>2771.2326633165985</c:v>
              </c:pt>
              <c:pt idx="111">
                <c:v>2775.3738693467494</c:v>
              </c:pt>
              <c:pt idx="112">
                <c:v>2779.5150753769012</c:v>
              </c:pt>
              <c:pt idx="113">
                <c:v>2783.6562814070453</c:v>
              </c:pt>
              <c:pt idx="114">
                <c:v>2787.7974874372017</c:v>
              </c:pt>
              <c:pt idx="115">
                <c:v>2791.938693467353</c:v>
              </c:pt>
              <c:pt idx="116">
                <c:v>2796.0798994975039</c:v>
              </c:pt>
              <c:pt idx="117">
                <c:v>2800.2211055276548</c:v>
              </c:pt>
              <c:pt idx="118">
                <c:v>2804.3623115578062</c:v>
              </c:pt>
              <c:pt idx="119">
                <c:v>2808.503517587963</c:v>
              </c:pt>
              <c:pt idx="120">
                <c:v>2812.6447236181057</c:v>
              </c:pt>
              <c:pt idx="121">
                <c:v>2816.7859296482584</c:v>
              </c:pt>
              <c:pt idx="122">
                <c:v>2820.9271356784157</c:v>
              </c:pt>
              <c:pt idx="123">
                <c:v>2825.0683417085597</c:v>
              </c:pt>
              <c:pt idx="124">
                <c:v>2829.2095477387097</c:v>
              </c:pt>
              <c:pt idx="125">
                <c:v>2833.350753768862</c:v>
              </c:pt>
              <c:pt idx="126">
                <c:v>2837.4919597990129</c:v>
              </c:pt>
              <c:pt idx="127">
                <c:v>2841.6331658291642</c:v>
              </c:pt>
              <c:pt idx="128">
                <c:v>2845.7743718593151</c:v>
              </c:pt>
              <c:pt idx="129">
                <c:v>2849.915577889476</c:v>
              </c:pt>
              <c:pt idx="130">
                <c:v>2854.0567839196137</c:v>
              </c:pt>
              <c:pt idx="131">
                <c:v>2858.1979899497637</c:v>
              </c:pt>
              <c:pt idx="132">
                <c:v>2862.3391959799233</c:v>
              </c:pt>
              <c:pt idx="133">
                <c:v>2866.4804020100692</c:v>
              </c:pt>
              <c:pt idx="134">
                <c:v>2870.6216080402201</c:v>
              </c:pt>
              <c:pt idx="135">
                <c:v>2874.762814070371</c:v>
              </c:pt>
              <c:pt idx="136">
                <c:v>2878.9040201005218</c:v>
              </c:pt>
              <c:pt idx="137">
                <c:v>2883.0452261306727</c:v>
              </c:pt>
              <c:pt idx="138">
                <c:v>2887.1864321608191</c:v>
              </c:pt>
              <c:pt idx="139">
                <c:v>2891.3276381909745</c:v>
              </c:pt>
              <c:pt idx="140">
                <c:v>2895.4688442211209</c:v>
              </c:pt>
              <c:pt idx="141">
                <c:v>2899.6100502512772</c:v>
              </c:pt>
              <c:pt idx="142">
                <c:v>2903.7512562814354</c:v>
              </c:pt>
              <c:pt idx="143">
                <c:v>2907.8924623115822</c:v>
              </c:pt>
              <c:pt idx="144">
                <c:v>2912.033668341729</c:v>
              </c:pt>
              <c:pt idx="145">
                <c:v>2916.1748743718799</c:v>
              </c:pt>
              <c:pt idx="146">
                <c:v>2920.3160804020308</c:v>
              </c:pt>
              <c:pt idx="147">
                <c:v>2924.4572864321822</c:v>
              </c:pt>
              <c:pt idx="148">
                <c:v>2928.5984924623317</c:v>
              </c:pt>
              <c:pt idx="149">
                <c:v>2932.7396984924835</c:v>
              </c:pt>
              <c:pt idx="150">
                <c:v>2936.8809045226344</c:v>
              </c:pt>
              <c:pt idx="151">
                <c:v>2941.0221105527862</c:v>
              </c:pt>
              <c:pt idx="152">
                <c:v>2945.1633165829439</c:v>
              </c:pt>
              <c:pt idx="153">
                <c:v>2949.3045226130871</c:v>
              </c:pt>
              <c:pt idx="154">
                <c:v>2953.4457286432412</c:v>
              </c:pt>
              <c:pt idx="155">
                <c:v>2957.5869346733912</c:v>
              </c:pt>
              <c:pt idx="156">
                <c:v>2961.7281407035398</c:v>
              </c:pt>
              <c:pt idx="157">
                <c:v>2965.8693467336911</c:v>
              </c:pt>
              <c:pt idx="158">
                <c:v>2970.0105527638416</c:v>
              </c:pt>
              <c:pt idx="159">
                <c:v>2974.1517587939925</c:v>
              </c:pt>
              <c:pt idx="160">
                <c:v>2978.2929648241434</c:v>
              </c:pt>
              <c:pt idx="161">
                <c:v>2982.4341708543002</c:v>
              </c:pt>
              <c:pt idx="162">
                <c:v>2986.5753768844552</c:v>
              </c:pt>
              <c:pt idx="163">
                <c:v>2990.7165829145961</c:v>
              </c:pt>
              <c:pt idx="164">
                <c:v>2994.857788944747</c:v>
              </c:pt>
              <c:pt idx="165">
                <c:v>2998.9989949748979</c:v>
              </c:pt>
              <c:pt idx="166">
                <c:v>3003.1402010050488</c:v>
              </c:pt>
              <c:pt idx="167">
                <c:v>3007.2814070352001</c:v>
              </c:pt>
              <c:pt idx="168">
                <c:v>3011.4226130653506</c:v>
              </c:pt>
              <c:pt idx="169">
                <c:v>3015.5638190955015</c:v>
              </c:pt>
              <c:pt idx="170">
                <c:v>3019.7050251256442</c:v>
              </c:pt>
              <c:pt idx="171">
                <c:v>3023.8462311558033</c:v>
              </c:pt>
              <c:pt idx="172">
                <c:v>3027.9874371859541</c:v>
              </c:pt>
              <c:pt idx="173">
                <c:v>3032.1286432161037</c:v>
              </c:pt>
              <c:pt idx="174">
                <c:v>3036.2698492462537</c:v>
              </c:pt>
              <c:pt idx="175">
                <c:v>3040.4110552764168</c:v>
              </c:pt>
              <c:pt idx="176">
                <c:v>3044.5522613065577</c:v>
              </c:pt>
              <c:pt idx="177">
                <c:v>3048.6934673367086</c:v>
              </c:pt>
              <c:pt idx="178">
                <c:v>3052.8346733668595</c:v>
              </c:pt>
              <c:pt idx="179">
                <c:v>3056.9758793970104</c:v>
              </c:pt>
              <c:pt idx="180">
                <c:v>3061.1170854271563</c:v>
              </c:pt>
              <c:pt idx="181">
                <c:v>3065.2582914573072</c:v>
              </c:pt>
              <c:pt idx="182">
                <c:v>3069.3994974874672</c:v>
              </c:pt>
              <c:pt idx="183">
                <c:v>3073.540703517614</c:v>
              </c:pt>
              <c:pt idx="184">
                <c:v>3077.6819095477649</c:v>
              </c:pt>
              <c:pt idx="185">
                <c:v>3081.823115577924</c:v>
              </c:pt>
              <c:pt idx="186">
                <c:v>3085.9643216080667</c:v>
              </c:pt>
              <c:pt idx="187">
                <c:v>3090.1055276382176</c:v>
              </c:pt>
              <c:pt idx="188">
                <c:v>3094.2467336683685</c:v>
              </c:pt>
              <c:pt idx="189">
                <c:v>3098.3879396985212</c:v>
              </c:pt>
              <c:pt idx="190">
                <c:v>3102.5291457286648</c:v>
              </c:pt>
              <c:pt idx="191">
                <c:v>3106.6703517588207</c:v>
              </c:pt>
              <c:pt idx="192">
                <c:v>3110.8115577889789</c:v>
              </c:pt>
              <c:pt idx="193">
                <c:v>3114.9527638191262</c:v>
              </c:pt>
              <c:pt idx="194">
                <c:v>3119.0939698492762</c:v>
              </c:pt>
              <c:pt idx="195">
                <c:v>3123.2351758794321</c:v>
              </c:pt>
              <c:pt idx="196">
                <c:v>3127.3763819095761</c:v>
              </c:pt>
              <c:pt idx="197">
                <c:v>3131.5175879397266</c:v>
              </c:pt>
              <c:pt idx="198">
                <c:v>3135.6587939698757</c:v>
              </c:pt>
              <c:pt idx="199">
                <c:v>3139.8000000000302</c:v>
              </c:pt>
            </c:numLit>
          </c:xVal>
          <c:yVal>
            <c:numLit>
              <c:formatCode>General</c:formatCode>
              <c:ptCount val="200"/>
              <c:pt idx="0">
                <c:v>4709.9573498177915</c:v>
              </c:pt>
              <c:pt idx="1">
                <c:v>5588.2416302347592</c:v>
              </c:pt>
              <c:pt idx="2">
                <c:v>6404.7134215079759</c:v>
              </c:pt>
              <c:pt idx="3">
                <c:v>7161.7641657255344</c:v>
              </c:pt>
              <c:pt idx="4">
                <c:v>7861.4052262172454</c:v>
              </c:pt>
              <c:pt idx="5">
                <c:v>8502.4184503238375</c:v>
              </c:pt>
              <c:pt idx="6">
                <c:v>9087.1232129597738</c:v>
              </c:pt>
              <c:pt idx="7">
                <c:v>9616.5586512033497</c:v>
              </c:pt>
              <c:pt idx="8">
                <c:v>10093.035949994241</c:v>
              </c:pt>
              <c:pt idx="9">
                <c:v>10518.814861930308</c:v>
              </c:pt>
              <c:pt idx="10">
                <c:v>10896.376471482065</c:v>
              </c:pt>
              <c:pt idx="11">
                <c:v>11228.074056895468</c:v>
              </c:pt>
              <c:pt idx="12">
                <c:v>11518.105133550169</c:v>
              </c:pt>
              <c:pt idx="13">
                <c:v>11767.839635123271</c:v>
              </c:pt>
              <c:pt idx="14">
                <c:v>11982.080200326454</c:v>
              </c:pt>
              <c:pt idx="15">
                <c:v>12164.647675032174</c:v>
              </c:pt>
              <c:pt idx="16">
                <c:v>12319.337020087964</c:v>
              </c:pt>
              <c:pt idx="17">
                <c:v>12446.779748332177</c:v>
              </c:pt>
              <c:pt idx="18">
                <c:v>12551.830916518391</c:v>
              </c:pt>
              <c:pt idx="19">
                <c:v>12634.965595034901</c:v>
              </c:pt>
              <c:pt idx="20">
                <c:v>12700.435160718233</c:v>
              </c:pt>
              <c:pt idx="21">
                <c:v>12750.648092005034</c:v>
              </c:pt>
              <c:pt idx="22">
                <c:v>12789.257734580053</c:v>
              </c:pt>
              <c:pt idx="23">
                <c:v>12814.322901653521</c:v>
              </c:pt>
              <c:pt idx="24">
                <c:v>12831.237432110895</c:v>
              </c:pt>
              <c:pt idx="25">
                <c:v>12835.328951279786</c:v>
              </c:pt>
              <c:pt idx="26">
                <c:v>12835.64795629201</c:v>
              </c:pt>
              <c:pt idx="27">
                <c:v>12826.652467926398</c:v>
              </c:pt>
              <c:pt idx="28">
                <c:v>12814.334912428511</c:v>
              </c:pt>
              <c:pt idx="29">
                <c:v>12797.505382117168</c:v>
              </c:pt>
              <c:pt idx="30">
                <c:v>12773.669402866353</c:v>
              </c:pt>
              <c:pt idx="31">
                <c:v>12747.932815612578</c:v>
              </c:pt>
              <c:pt idx="32">
                <c:v>12720.007700692291</c:v>
              </c:pt>
              <c:pt idx="33">
                <c:v>12686.013844028639</c:v>
              </c:pt>
              <c:pt idx="34">
                <c:v>12654.019695191175</c:v>
              </c:pt>
              <c:pt idx="35">
                <c:v>12616.91981712529</c:v>
              </c:pt>
              <c:pt idx="36">
                <c:v>12579.612920873751</c:v>
              </c:pt>
              <c:pt idx="37">
                <c:v>12541.381474686305</c:v>
              </c:pt>
              <c:pt idx="38">
                <c:v>12499.177627576471</c:v>
              </c:pt>
              <c:pt idx="39">
                <c:v>12455.834705687907</c:v>
              </c:pt>
              <c:pt idx="40">
                <c:v>12412.175812078291</c:v>
              </c:pt>
              <c:pt idx="41">
                <c:v>12366.282065332083</c:v>
              </c:pt>
              <c:pt idx="42">
                <c:v>12318.795991184767</c:v>
              </c:pt>
              <c:pt idx="43">
                <c:v>12270.923871720946</c:v>
              </c:pt>
              <c:pt idx="44">
                <c:v>12220.182151300018</c:v>
              </c:pt>
              <c:pt idx="45">
                <c:v>12168.752846940606</c:v>
              </c:pt>
              <c:pt idx="46">
                <c:v>12118.259190963183</c:v>
              </c:pt>
              <c:pt idx="47">
                <c:v>12064.790945741268</c:v>
              </c:pt>
              <c:pt idx="48">
                <c:v>12009.983533420025</c:v>
              </c:pt>
              <c:pt idx="49">
                <c:v>11954.841668809118</c:v>
              </c:pt>
              <c:pt idx="50">
                <c:v>11896.211462799916</c:v>
              </c:pt>
              <c:pt idx="51">
                <c:v>11837.844204261242</c:v>
              </c:pt>
              <c:pt idx="52">
                <c:v>11778.931560780027</c:v>
              </c:pt>
              <c:pt idx="53">
                <c:v>11717.322090893293</c:v>
              </c:pt>
              <c:pt idx="54">
                <c:v>11654.760221178894</c:v>
              </c:pt>
              <c:pt idx="55">
                <c:v>11590.43136839317</c:v>
              </c:pt>
              <c:pt idx="56">
                <c:v>11525.394596435164</c:v>
              </c:pt>
              <c:pt idx="57">
                <c:v>11459.006418369132</c:v>
              </c:pt>
              <c:pt idx="58">
                <c:v>11392.066217054191</c:v>
              </c:pt>
              <c:pt idx="59">
                <c:v>11323.28821872847</c:v>
              </c:pt>
              <c:pt idx="60">
                <c:v>11253.378943623482</c:v>
              </c:pt>
              <c:pt idx="61">
                <c:v>11182.429715496997</c:v>
              </c:pt>
              <c:pt idx="62">
                <c:v>11110.861579578685</c:v>
              </c:pt>
              <c:pt idx="63">
                <c:v>11038.589060236916</c:v>
              </c:pt>
              <c:pt idx="64">
                <c:v>10965.719378884272</c:v>
              </c:pt>
              <c:pt idx="65">
                <c:v>10892.619313192574</c:v>
              </c:pt>
              <c:pt idx="66">
                <c:v>10819.253452849098</c:v>
              </c:pt>
              <c:pt idx="67">
                <c:v>10745.827990352753</c:v>
              </c:pt>
              <c:pt idx="68">
                <c:v>10673.090039789789</c:v>
              </c:pt>
              <c:pt idx="69">
                <c:v>10599.810619991771</c:v>
              </c:pt>
              <c:pt idx="70">
                <c:v>10527.430099699181</c:v>
              </c:pt>
              <c:pt idx="71">
                <c:v>10456.08300874369</c:v>
              </c:pt>
              <c:pt idx="72">
                <c:v>10385.344391183753</c:v>
              </c:pt>
              <c:pt idx="73">
                <c:v>10317.016823858385</c:v>
              </c:pt>
              <c:pt idx="74">
                <c:v>10250.538095246135</c:v>
              </c:pt>
              <c:pt idx="75">
                <c:v>10184.628658505755</c:v>
              </c:pt>
              <c:pt idx="76">
                <c:v>10122.135095663429</c:v>
              </c:pt>
              <c:pt idx="77">
                <c:v>10058.375374827432</c:v>
              </c:pt>
              <c:pt idx="78">
                <c:v>10001.261001878098</c:v>
              </c:pt>
              <c:pt idx="79">
                <c:v>9945.397344573621</c:v>
              </c:pt>
              <c:pt idx="80">
                <c:v>9892.465782708141</c:v>
              </c:pt>
              <c:pt idx="81">
                <c:v>9844.6336077881624</c:v>
              </c:pt>
              <c:pt idx="82">
                <c:v>9798.0545018141129</c:v>
              </c:pt>
              <c:pt idx="83">
                <c:v>9756.4171352686826</c:v>
              </c:pt>
              <c:pt idx="84">
                <c:v>9717.7142620538452</c:v>
              </c:pt>
              <c:pt idx="85">
                <c:v>9686.2986268003551</c:v>
              </c:pt>
              <c:pt idx="86">
                <c:v>9657.5207476133128</c:v>
              </c:pt>
              <c:pt idx="87">
                <c:v>9632.0346837080051</c:v>
              </c:pt>
              <c:pt idx="88">
                <c:v>9612.7083867265028</c:v>
              </c:pt>
              <c:pt idx="89">
                <c:v>9597.9807716560044</c:v>
              </c:pt>
              <c:pt idx="90">
                <c:v>9587.866206951825</c:v>
              </c:pt>
              <c:pt idx="91">
                <c:v>9581.7007599503868</c:v>
              </c:pt>
              <c:pt idx="92">
                <c:v>9585.8804604681754</c:v>
              </c:pt>
              <c:pt idx="93">
                <c:v>9590.8044575462045</c:v>
              </c:pt>
              <c:pt idx="94">
                <c:v>9600.558666138737</c:v>
              </c:pt>
              <c:pt idx="95">
                <c:v>9616.6959863884476</c:v>
              </c:pt>
              <c:pt idx="96">
                <c:v>9637.2880798532278</c:v>
              </c:pt>
              <c:pt idx="97">
                <c:v>9665.0403494376005</c:v>
              </c:pt>
              <c:pt idx="98">
                <c:v>9695.6729407825551</c:v>
              </c:pt>
              <c:pt idx="99">
                <c:v>9733.387072544665</c:v>
              </c:pt>
              <c:pt idx="100">
                <c:v>9775.0211171465926</c:v>
              </c:pt>
              <c:pt idx="101">
                <c:v>9823.5843679734771</c:v>
              </c:pt>
              <c:pt idx="102">
                <c:v>9871.6891149750827</c:v>
              </c:pt>
              <c:pt idx="103">
                <c:v>9931.8422792469846</c:v>
              </c:pt>
              <c:pt idx="104">
                <c:v>9992.089825113464</c:v>
              </c:pt>
              <c:pt idx="105">
                <c:v>10060.931999203271</c:v>
              </c:pt>
              <c:pt idx="106">
                <c:v>10128.913781870036</c:v>
              </c:pt>
              <c:pt idx="107">
                <c:v>10202.515209939382</c:v>
              </c:pt>
              <c:pt idx="108">
                <c:v>10281.490569329086</c:v>
              </c:pt>
              <c:pt idx="109">
                <c:v>10362.396549962707</c:v>
              </c:pt>
              <c:pt idx="110">
                <c:v>10447.788109024545</c:v>
              </c:pt>
              <c:pt idx="111">
                <c:v>10535.001911708971</c:v>
              </c:pt>
              <c:pt idx="112">
                <c:v>10625.786573235988</c:v>
              </c:pt>
              <c:pt idx="113">
                <c:v>10718.217944845966</c:v>
              </c:pt>
              <c:pt idx="114">
                <c:v>10811.744368703288</c:v>
              </c:pt>
              <c:pt idx="115">
                <c:v>10908.42409491145</c:v>
              </c:pt>
              <c:pt idx="116">
                <c:v>11005.054129107983</c:v>
              </c:pt>
              <c:pt idx="117">
                <c:v>11103.272577349378</c:v>
              </c:pt>
              <c:pt idx="118">
                <c:v>11200.627890337986</c:v>
              </c:pt>
              <c:pt idx="119">
                <c:v>11298.677296443351</c:v>
              </c:pt>
              <c:pt idx="120">
                <c:v>11394.677194673572</c:v>
              </c:pt>
              <c:pt idx="121">
                <c:v>11492.107634535047</c:v>
              </c:pt>
              <c:pt idx="122">
                <c:v>11588.776687655027</c:v>
              </c:pt>
              <c:pt idx="123">
                <c:v>11683.229725534396</c:v>
              </c:pt>
              <c:pt idx="124">
                <c:v>11776.442060592544</c:v>
              </c:pt>
              <c:pt idx="125">
                <c:v>11867.447420885834</c:v>
              </c:pt>
              <c:pt idx="126">
                <c:v>11955.450051526886</c:v>
              </c:pt>
              <c:pt idx="127">
                <c:v>12041.384063698601</c:v>
              </c:pt>
              <c:pt idx="128">
                <c:v>12124.178013596173</c:v>
              </c:pt>
              <c:pt idx="129">
                <c:v>12203.879676131022</c:v>
              </c:pt>
              <c:pt idx="130">
                <c:v>12280.426853646421</c:v>
              </c:pt>
              <c:pt idx="131">
                <c:v>12353.449840383037</c:v>
              </c:pt>
              <c:pt idx="132">
                <c:v>12423.021919677265</c:v>
              </c:pt>
              <c:pt idx="133">
                <c:v>12489.05921450248</c:v>
              </c:pt>
              <c:pt idx="134">
                <c:v>12551.264826279679</c:v>
              </c:pt>
              <c:pt idx="135">
                <c:v>12609.578589911573</c:v>
              </c:pt>
              <c:pt idx="136">
                <c:v>12663.721808550077</c:v>
              </c:pt>
              <c:pt idx="137">
                <c:v>12714.333922131034</c:v>
              </c:pt>
              <c:pt idx="138">
                <c:v>12763.211141902579</c:v>
              </c:pt>
              <c:pt idx="139">
                <c:v>12805.744171254086</c:v>
              </c:pt>
              <c:pt idx="140">
                <c:v>12845.878218591988</c:v>
              </c:pt>
              <c:pt idx="141">
                <c:v>12882.29828670499</c:v>
              </c:pt>
              <c:pt idx="142">
                <c:v>12914.75366905533</c:v>
              </c:pt>
              <c:pt idx="143">
                <c:v>12944.301571886512</c:v>
              </c:pt>
              <c:pt idx="144">
                <c:v>12971.789569283987</c:v>
              </c:pt>
              <c:pt idx="145">
                <c:v>12994.445149979871</c:v>
              </c:pt>
              <c:pt idx="146">
                <c:v>13012.994554301818</c:v>
              </c:pt>
              <c:pt idx="147">
                <c:v>13030.389880062285</c:v>
              </c:pt>
              <c:pt idx="148">
                <c:v>13046.518793279323</c:v>
              </c:pt>
              <c:pt idx="149">
                <c:v>13058.41163479138</c:v>
              </c:pt>
              <c:pt idx="150">
                <c:v>13067.20347113939</c:v>
              </c:pt>
              <c:pt idx="151">
                <c:v>13073.92574202483</c:v>
              </c:pt>
              <c:pt idx="152">
                <c:v>13079.515431642249</c:v>
              </c:pt>
              <c:pt idx="153">
                <c:v>13080.213884866636</c:v>
              </c:pt>
              <c:pt idx="154">
                <c:v>13079.500421644465</c:v>
              </c:pt>
              <c:pt idx="155">
                <c:v>13076.085358050586</c:v>
              </c:pt>
              <c:pt idx="156">
                <c:v>13074.554513458705</c:v>
              </c:pt>
              <c:pt idx="157">
                <c:v>13068.495501253365</c:v>
              </c:pt>
              <c:pt idx="158">
                <c:v>13061.131016056339</c:v>
              </c:pt>
              <c:pt idx="159">
                <c:v>13053.569856193159</c:v>
              </c:pt>
              <c:pt idx="160">
                <c:v>13038.334422639738</c:v>
              </c:pt>
              <c:pt idx="161">
                <c:v>13025.688256040768</c:v>
              </c:pt>
              <c:pt idx="162">
                <c:v>13008.02253702726</c:v>
              </c:pt>
              <c:pt idx="163">
                <c:v>12995.888627882005</c:v>
              </c:pt>
              <c:pt idx="164">
                <c:v>12973.074526993711</c:v>
              </c:pt>
              <c:pt idx="165">
                <c:v>12948.762963460651</c:v>
              </c:pt>
              <c:pt idx="166">
                <c:v>12925.157277896196</c:v>
              </c:pt>
              <c:pt idx="167">
                <c:v>12896.811367550659</c:v>
              </c:pt>
              <c:pt idx="168">
                <c:v>12868.085474429961</c:v>
              </c:pt>
              <c:pt idx="169">
                <c:v>12831.917156165553</c:v>
              </c:pt>
              <c:pt idx="170">
                <c:v>12795.797966533966</c:v>
              </c:pt>
              <c:pt idx="171">
                <c:v>12748.936408349356</c:v>
              </c:pt>
              <c:pt idx="172">
                <c:v>12707.627710147992</c:v>
              </c:pt>
              <c:pt idx="173">
                <c:v>12650.548178451118</c:v>
              </c:pt>
              <c:pt idx="174">
                <c:v>12590.619633747141</c:v>
              </c:pt>
              <c:pt idx="175">
                <c:v>12528.298160019032</c:v>
              </c:pt>
              <c:pt idx="176">
                <c:v>12453.826832402323</c:v>
              </c:pt>
              <c:pt idx="177">
                <c:v>12369.726131770391</c:v>
              </c:pt>
              <c:pt idx="178">
                <c:v>12276.440360783365</c:v>
              </c:pt>
              <c:pt idx="179">
                <c:v>12170.791139050521</c:v>
              </c:pt>
              <c:pt idx="180">
                <c:v>12055.884999918553</c:v>
              </c:pt>
              <c:pt idx="181">
                <c:v>11919.834065463503</c:v>
              </c:pt>
              <c:pt idx="182">
                <c:v>11767.235014566488</c:v>
              </c:pt>
              <c:pt idx="183">
                <c:v>11594.400557932944</c:v>
              </c:pt>
              <c:pt idx="184">
                <c:v>11397.896686042601</c:v>
              </c:pt>
              <c:pt idx="185">
                <c:v>11175.948660549999</c:v>
              </c:pt>
              <c:pt idx="186">
                <c:v>10922.530329669025</c:v>
              </c:pt>
              <c:pt idx="187">
                <c:v>10637.755053597743</c:v>
              </c:pt>
              <c:pt idx="188">
                <c:v>10315.23523301328</c:v>
              </c:pt>
              <c:pt idx="189">
                <c:v>9950.1068345825461</c:v>
              </c:pt>
              <c:pt idx="190">
                <c:v>9542.493574828437</c:v>
              </c:pt>
              <c:pt idx="191">
                <c:v>9083.8152096155809</c:v>
              </c:pt>
              <c:pt idx="192">
                <c:v>8572.952345306614</c:v>
              </c:pt>
              <c:pt idx="193">
                <c:v>8004.6439925375844</c:v>
              </c:pt>
              <c:pt idx="194">
                <c:v>7376.5653839879014</c:v>
              </c:pt>
              <c:pt idx="195">
                <c:v>6685.1220652536394</c:v>
              </c:pt>
              <c:pt idx="196">
                <c:v>5928.6843709040295</c:v>
              </c:pt>
              <c:pt idx="197">
                <c:v>5104.7584183203171</c:v>
              </c:pt>
              <c:pt idx="198">
                <c:v>4211.1295228477802</c:v>
              </c:pt>
              <c:pt idx="199">
                <c:v>3244.4503905525667</c:v>
              </c:pt>
            </c:numLit>
          </c:yVal>
          <c:smooth val="0"/>
        </c:ser>
        <c:ser>
          <c:idx val="3"/>
          <c:order val="3"/>
          <c:tx>
            <c:v/>
          </c:tx>
          <c:spPr>
            <a:ln w="12700">
              <a:solidFill>
                <a:srgbClr val="C0C0C0"/>
              </a:solidFill>
              <a:prstDash val="solid"/>
            </a:ln>
            <a:effectLst/>
          </c:spPr>
          <c:marker>
            <c:symbol val="none"/>
          </c:marker>
          <c:xVal>
            <c:numLit>
              <c:formatCode>General</c:formatCode>
              <c:ptCount val="200"/>
              <c:pt idx="0">
                <c:v>2315.6999999999998</c:v>
              </c:pt>
              <c:pt idx="1">
                <c:v>2319.8412060301575</c:v>
              </c:pt>
              <c:pt idx="2">
                <c:v>2323.9824120603016</c:v>
              </c:pt>
              <c:pt idx="3">
                <c:v>2328.1236180904525</c:v>
              </c:pt>
              <c:pt idx="4">
                <c:v>2332.2648241205957</c:v>
              </c:pt>
              <c:pt idx="5">
                <c:v>2336.4060301507543</c:v>
              </c:pt>
              <c:pt idx="6">
                <c:v>2340.5472361809052</c:v>
              </c:pt>
              <c:pt idx="7">
                <c:v>2344.6884422110547</c:v>
              </c:pt>
              <c:pt idx="8">
                <c:v>2348.829648241207</c:v>
              </c:pt>
              <c:pt idx="9">
                <c:v>2352.9708542713634</c:v>
              </c:pt>
              <c:pt idx="10">
                <c:v>2357.1120603015092</c:v>
              </c:pt>
              <c:pt idx="11">
                <c:v>2361.2532663316601</c:v>
              </c:pt>
              <c:pt idx="12">
                <c:v>2365.3944723618106</c:v>
              </c:pt>
              <c:pt idx="13">
                <c:v>2369.5356783919615</c:v>
              </c:pt>
              <c:pt idx="14">
                <c:v>2373.6768844221042</c:v>
              </c:pt>
              <c:pt idx="15">
                <c:v>2377.8180904522642</c:v>
              </c:pt>
              <c:pt idx="16">
                <c:v>2381.9592964824192</c:v>
              </c:pt>
              <c:pt idx="17">
                <c:v>2386.1005025125701</c:v>
              </c:pt>
              <c:pt idx="18">
                <c:v>2390.241708542716</c:v>
              </c:pt>
              <c:pt idx="19">
                <c:v>2394.3829145728719</c:v>
              </c:pt>
              <c:pt idx="20">
                <c:v>2398.5241206030178</c:v>
              </c:pt>
              <c:pt idx="21">
                <c:v>2402.6653266331737</c:v>
              </c:pt>
              <c:pt idx="22">
                <c:v>2406.8065326633246</c:v>
              </c:pt>
              <c:pt idx="23">
                <c:v>2410.947738693475</c:v>
              </c:pt>
              <c:pt idx="24">
                <c:v>2415.0889447236123</c:v>
              </c:pt>
              <c:pt idx="25">
                <c:v>2419.2301507537723</c:v>
              </c:pt>
              <c:pt idx="26">
                <c:v>2423.3713567839322</c:v>
              </c:pt>
              <c:pt idx="27">
                <c:v>2427.5125628140772</c:v>
              </c:pt>
              <c:pt idx="28">
                <c:v>2431.6537688442272</c:v>
              </c:pt>
              <c:pt idx="29">
                <c:v>2435.7949748743772</c:v>
              </c:pt>
              <c:pt idx="30">
                <c:v>2439.9361809045272</c:v>
              </c:pt>
              <c:pt idx="31">
                <c:v>2444.0773869346776</c:v>
              </c:pt>
              <c:pt idx="32">
                <c:v>2448.2185929648285</c:v>
              </c:pt>
              <c:pt idx="33">
                <c:v>2452.3597989949812</c:v>
              </c:pt>
              <c:pt idx="34">
                <c:v>2456.5010050251303</c:v>
              </c:pt>
              <c:pt idx="35">
                <c:v>2460.6422110552808</c:v>
              </c:pt>
              <c:pt idx="36">
                <c:v>2464.7834170854321</c:v>
              </c:pt>
              <c:pt idx="37">
                <c:v>2468.924623115583</c:v>
              </c:pt>
              <c:pt idx="38">
                <c:v>2473.0658291457285</c:v>
              </c:pt>
              <c:pt idx="39">
                <c:v>2477.2070351758848</c:v>
              </c:pt>
              <c:pt idx="40">
                <c:v>2481.3482412060357</c:v>
              </c:pt>
              <c:pt idx="41">
                <c:v>2485.4894472361866</c:v>
              </c:pt>
              <c:pt idx="42">
                <c:v>2489.6306532663375</c:v>
              </c:pt>
              <c:pt idx="43">
                <c:v>2493.7718592964902</c:v>
              </c:pt>
              <c:pt idx="44">
                <c:v>2497.9130653266393</c:v>
              </c:pt>
              <c:pt idx="45">
                <c:v>2502.0542713567897</c:v>
              </c:pt>
              <c:pt idx="46">
                <c:v>2506.1954773869411</c:v>
              </c:pt>
              <c:pt idx="47">
                <c:v>2510.3366834170897</c:v>
              </c:pt>
              <c:pt idx="48">
                <c:v>2514.4778894472397</c:v>
              </c:pt>
              <c:pt idx="49">
                <c:v>2518.6190954773942</c:v>
              </c:pt>
              <c:pt idx="50">
                <c:v>2522.7603015075451</c:v>
              </c:pt>
              <c:pt idx="51">
                <c:v>2526.901507537701</c:v>
              </c:pt>
              <c:pt idx="52">
                <c:v>2531.0427135678465</c:v>
              </c:pt>
              <c:pt idx="53">
                <c:v>2535.1839195979974</c:v>
              </c:pt>
              <c:pt idx="54">
                <c:v>2539.3251256281492</c:v>
              </c:pt>
              <c:pt idx="55">
                <c:v>2543.4663316582992</c:v>
              </c:pt>
              <c:pt idx="56">
                <c:v>2547.6075376884551</c:v>
              </c:pt>
              <c:pt idx="57">
                <c:v>2551.7487437185987</c:v>
              </c:pt>
              <c:pt idx="58">
                <c:v>2555.8899497487487</c:v>
              </c:pt>
              <c:pt idx="59">
                <c:v>2560.0311557789078</c:v>
              </c:pt>
              <c:pt idx="60">
                <c:v>2564.1723618090541</c:v>
              </c:pt>
              <c:pt idx="61">
                <c:v>2568.3135678392136</c:v>
              </c:pt>
              <c:pt idx="62">
                <c:v>2572.45477386936</c:v>
              </c:pt>
              <c:pt idx="63">
                <c:v>2576.5959798995109</c:v>
              </c:pt>
              <c:pt idx="64">
                <c:v>2580.7371859296522</c:v>
              </c:pt>
              <c:pt idx="65">
                <c:v>2584.8783919598081</c:v>
              </c:pt>
              <c:pt idx="66">
                <c:v>2589.0195979899622</c:v>
              </c:pt>
              <c:pt idx="67">
                <c:v>2593.1608040201049</c:v>
              </c:pt>
              <c:pt idx="68">
                <c:v>2597.3020100502622</c:v>
              </c:pt>
              <c:pt idx="69">
                <c:v>2601.4432160804199</c:v>
              </c:pt>
              <c:pt idx="70">
                <c:v>2605.5844221105617</c:v>
              </c:pt>
              <c:pt idx="71">
                <c:v>2609.7256281407085</c:v>
              </c:pt>
              <c:pt idx="72">
                <c:v>2613.8668341708644</c:v>
              </c:pt>
              <c:pt idx="73">
                <c:v>2618.0080402010153</c:v>
              </c:pt>
              <c:pt idx="74">
                <c:v>2622.1492462311662</c:v>
              </c:pt>
              <c:pt idx="75">
                <c:v>2626.2904522613171</c:v>
              </c:pt>
              <c:pt idx="76">
                <c:v>2630.4316582914757</c:v>
              </c:pt>
              <c:pt idx="77">
                <c:v>2634.5728643216135</c:v>
              </c:pt>
              <c:pt idx="78">
                <c:v>2638.7140703517698</c:v>
              </c:pt>
              <c:pt idx="79">
                <c:v>2642.8552763819275</c:v>
              </c:pt>
              <c:pt idx="80">
                <c:v>2646.9964824120707</c:v>
              </c:pt>
              <c:pt idx="81">
                <c:v>2651.1376884422207</c:v>
              </c:pt>
              <c:pt idx="82">
                <c:v>2655.2788944723734</c:v>
              </c:pt>
              <c:pt idx="83">
                <c:v>2659.4201005025307</c:v>
              </c:pt>
              <c:pt idx="84">
                <c:v>2663.5613065326806</c:v>
              </c:pt>
              <c:pt idx="85">
                <c:v>2667.7025125628261</c:v>
              </c:pt>
              <c:pt idx="86">
                <c:v>2671.8437185929824</c:v>
              </c:pt>
              <c:pt idx="87">
                <c:v>2675.9849246231247</c:v>
              </c:pt>
              <c:pt idx="88">
                <c:v>2680.1261306532792</c:v>
              </c:pt>
              <c:pt idx="89">
                <c:v>2684.2673366834356</c:v>
              </c:pt>
              <c:pt idx="90">
                <c:v>2688.4085427135806</c:v>
              </c:pt>
              <c:pt idx="91">
                <c:v>2692.5497487437297</c:v>
              </c:pt>
              <c:pt idx="92">
                <c:v>2696.6909547738824</c:v>
              </c:pt>
              <c:pt idx="93">
                <c:v>2700.8321608040383</c:v>
              </c:pt>
              <c:pt idx="94">
                <c:v>2704.9733668341937</c:v>
              </c:pt>
              <c:pt idx="95">
                <c:v>2709.1145728643401</c:v>
              </c:pt>
              <c:pt idx="96">
                <c:v>2713.255778894491</c:v>
              </c:pt>
              <c:pt idx="97">
                <c:v>2717.3969849246337</c:v>
              </c:pt>
              <c:pt idx="98">
                <c:v>2721.5381909547878</c:v>
              </c:pt>
              <c:pt idx="99">
                <c:v>2725.6793969849432</c:v>
              </c:pt>
              <c:pt idx="100">
                <c:v>2729.8206030150895</c:v>
              </c:pt>
              <c:pt idx="101">
                <c:v>2733.9618090452404</c:v>
              </c:pt>
              <c:pt idx="102">
                <c:v>2738.1030150753922</c:v>
              </c:pt>
              <c:pt idx="103">
                <c:v>2742.2442211055372</c:v>
              </c:pt>
              <c:pt idx="104">
                <c:v>2746.3854271356931</c:v>
              </c:pt>
              <c:pt idx="105">
                <c:v>2750.526633165839</c:v>
              </c:pt>
              <c:pt idx="106">
                <c:v>2754.6678391959899</c:v>
              </c:pt>
              <c:pt idx="107">
                <c:v>2758.8090452261458</c:v>
              </c:pt>
              <c:pt idx="108">
                <c:v>2762.9502512562972</c:v>
              </c:pt>
              <c:pt idx="109">
                <c:v>2767.0914572864558</c:v>
              </c:pt>
              <c:pt idx="110">
                <c:v>2771.2326633165985</c:v>
              </c:pt>
              <c:pt idx="111">
                <c:v>2775.3738693467494</c:v>
              </c:pt>
              <c:pt idx="112">
                <c:v>2779.5150753769012</c:v>
              </c:pt>
              <c:pt idx="113">
                <c:v>2783.6562814070453</c:v>
              </c:pt>
              <c:pt idx="114">
                <c:v>2787.7974874372017</c:v>
              </c:pt>
              <c:pt idx="115">
                <c:v>2791.938693467353</c:v>
              </c:pt>
              <c:pt idx="116">
                <c:v>2796.0798994975039</c:v>
              </c:pt>
              <c:pt idx="117">
                <c:v>2800.2211055276548</c:v>
              </c:pt>
              <c:pt idx="118">
                <c:v>2804.3623115578062</c:v>
              </c:pt>
              <c:pt idx="119">
                <c:v>2808.503517587963</c:v>
              </c:pt>
              <c:pt idx="120">
                <c:v>2812.6447236181057</c:v>
              </c:pt>
              <c:pt idx="121">
                <c:v>2816.7859296482584</c:v>
              </c:pt>
              <c:pt idx="122">
                <c:v>2820.9271356784157</c:v>
              </c:pt>
              <c:pt idx="123">
                <c:v>2825.0683417085597</c:v>
              </c:pt>
              <c:pt idx="124">
                <c:v>2829.2095477387097</c:v>
              </c:pt>
              <c:pt idx="125">
                <c:v>2833.350753768862</c:v>
              </c:pt>
              <c:pt idx="126">
                <c:v>2837.4919597990129</c:v>
              </c:pt>
              <c:pt idx="127">
                <c:v>2841.6331658291642</c:v>
              </c:pt>
              <c:pt idx="128">
                <c:v>2845.7743718593151</c:v>
              </c:pt>
              <c:pt idx="129">
                <c:v>2849.915577889476</c:v>
              </c:pt>
              <c:pt idx="130">
                <c:v>2854.0567839196137</c:v>
              </c:pt>
              <c:pt idx="131">
                <c:v>2858.1979899497637</c:v>
              </c:pt>
              <c:pt idx="132">
                <c:v>2862.3391959799233</c:v>
              </c:pt>
              <c:pt idx="133">
                <c:v>2866.4804020100692</c:v>
              </c:pt>
              <c:pt idx="134">
                <c:v>2870.6216080402201</c:v>
              </c:pt>
              <c:pt idx="135">
                <c:v>2874.762814070371</c:v>
              </c:pt>
              <c:pt idx="136">
                <c:v>2878.9040201005218</c:v>
              </c:pt>
              <c:pt idx="137">
                <c:v>2883.0452261306727</c:v>
              </c:pt>
              <c:pt idx="138">
                <c:v>2887.1864321608191</c:v>
              </c:pt>
              <c:pt idx="139">
                <c:v>2891.3276381909745</c:v>
              </c:pt>
              <c:pt idx="140">
                <c:v>2895.4688442211209</c:v>
              </c:pt>
              <c:pt idx="141">
                <c:v>2899.6100502512772</c:v>
              </c:pt>
              <c:pt idx="142">
                <c:v>2903.7512562814354</c:v>
              </c:pt>
              <c:pt idx="143">
                <c:v>2907.8924623115822</c:v>
              </c:pt>
              <c:pt idx="144">
                <c:v>2912.033668341729</c:v>
              </c:pt>
              <c:pt idx="145">
                <c:v>2916.1748743718799</c:v>
              </c:pt>
              <c:pt idx="146">
                <c:v>2920.3160804020308</c:v>
              </c:pt>
              <c:pt idx="147">
                <c:v>2924.4572864321822</c:v>
              </c:pt>
              <c:pt idx="148">
                <c:v>2928.5984924623317</c:v>
              </c:pt>
              <c:pt idx="149">
                <c:v>2932.7396984924835</c:v>
              </c:pt>
              <c:pt idx="150">
                <c:v>2936.8809045226344</c:v>
              </c:pt>
              <c:pt idx="151">
                <c:v>2941.0221105527862</c:v>
              </c:pt>
              <c:pt idx="152">
                <c:v>2945.1633165829439</c:v>
              </c:pt>
              <c:pt idx="153">
                <c:v>2949.3045226130871</c:v>
              </c:pt>
              <c:pt idx="154">
                <c:v>2953.4457286432412</c:v>
              </c:pt>
              <c:pt idx="155">
                <c:v>2957.5869346733912</c:v>
              </c:pt>
              <c:pt idx="156">
                <c:v>2961.7281407035398</c:v>
              </c:pt>
              <c:pt idx="157">
                <c:v>2965.8693467336911</c:v>
              </c:pt>
              <c:pt idx="158">
                <c:v>2970.0105527638416</c:v>
              </c:pt>
              <c:pt idx="159">
                <c:v>2974.1517587939925</c:v>
              </c:pt>
              <c:pt idx="160">
                <c:v>2978.2929648241434</c:v>
              </c:pt>
              <c:pt idx="161">
                <c:v>2982.4341708543002</c:v>
              </c:pt>
              <c:pt idx="162">
                <c:v>2986.5753768844552</c:v>
              </c:pt>
              <c:pt idx="163">
                <c:v>2990.7165829145961</c:v>
              </c:pt>
              <c:pt idx="164">
                <c:v>2994.857788944747</c:v>
              </c:pt>
              <c:pt idx="165">
                <c:v>2998.9989949748979</c:v>
              </c:pt>
              <c:pt idx="166">
                <c:v>3003.1402010050488</c:v>
              </c:pt>
              <c:pt idx="167">
                <c:v>3007.2814070352001</c:v>
              </c:pt>
              <c:pt idx="168">
                <c:v>3011.4226130653506</c:v>
              </c:pt>
              <c:pt idx="169">
                <c:v>3015.5638190955015</c:v>
              </c:pt>
              <c:pt idx="170">
                <c:v>3019.7050251256442</c:v>
              </c:pt>
              <c:pt idx="171">
                <c:v>3023.8462311558033</c:v>
              </c:pt>
              <c:pt idx="172">
                <c:v>3027.9874371859541</c:v>
              </c:pt>
              <c:pt idx="173">
                <c:v>3032.1286432161037</c:v>
              </c:pt>
              <c:pt idx="174">
                <c:v>3036.2698492462537</c:v>
              </c:pt>
              <c:pt idx="175">
                <c:v>3040.4110552764168</c:v>
              </c:pt>
              <c:pt idx="176">
                <c:v>3044.5522613065577</c:v>
              </c:pt>
              <c:pt idx="177">
                <c:v>3048.6934673367086</c:v>
              </c:pt>
              <c:pt idx="178">
                <c:v>3052.8346733668595</c:v>
              </c:pt>
              <c:pt idx="179">
                <c:v>3056.9758793970104</c:v>
              </c:pt>
              <c:pt idx="180">
                <c:v>3061.1170854271563</c:v>
              </c:pt>
              <c:pt idx="181">
                <c:v>3065.2582914573072</c:v>
              </c:pt>
              <c:pt idx="182">
                <c:v>3069.3994974874672</c:v>
              </c:pt>
              <c:pt idx="183">
                <c:v>3073.540703517614</c:v>
              </c:pt>
              <c:pt idx="184">
                <c:v>3077.6819095477649</c:v>
              </c:pt>
              <c:pt idx="185">
                <c:v>3081.823115577924</c:v>
              </c:pt>
              <c:pt idx="186">
                <c:v>3085.9643216080667</c:v>
              </c:pt>
              <c:pt idx="187">
                <c:v>3090.1055276382176</c:v>
              </c:pt>
              <c:pt idx="188">
                <c:v>3094.2467336683685</c:v>
              </c:pt>
              <c:pt idx="189">
                <c:v>3098.3879396985212</c:v>
              </c:pt>
              <c:pt idx="190">
                <c:v>3102.5291457286648</c:v>
              </c:pt>
              <c:pt idx="191">
                <c:v>3106.6703517588207</c:v>
              </c:pt>
              <c:pt idx="192">
                <c:v>3110.8115577889789</c:v>
              </c:pt>
              <c:pt idx="193">
                <c:v>3114.9527638191262</c:v>
              </c:pt>
              <c:pt idx="194">
                <c:v>3119.0939698492762</c:v>
              </c:pt>
              <c:pt idx="195">
                <c:v>3123.2351758794321</c:v>
              </c:pt>
              <c:pt idx="196">
                <c:v>3127.3763819095761</c:v>
              </c:pt>
              <c:pt idx="197">
                <c:v>3131.5175879397266</c:v>
              </c:pt>
              <c:pt idx="198">
                <c:v>3135.6587939698757</c:v>
              </c:pt>
              <c:pt idx="199">
                <c:v>3139.8000000000302</c:v>
              </c:pt>
            </c:numLit>
          </c:xVal>
          <c:yVal>
            <c:numLit>
              <c:formatCode>General</c:formatCode>
              <c:ptCount val="200"/>
              <c:pt idx="0">
                <c:v>24263.899453577022</c:v>
              </c:pt>
              <c:pt idx="1">
                <c:v>24123.855035795827</c:v>
              </c:pt>
              <c:pt idx="2">
                <c:v>24007.256364458015</c:v>
              </c:pt>
              <c:pt idx="3">
                <c:v>23912.688636261995</c:v>
              </c:pt>
              <c:pt idx="4">
                <c:v>23839.106765902015</c:v>
              </c:pt>
              <c:pt idx="5">
                <c:v>23788.684823075317</c:v>
              </c:pt>
              <c:pt idx="6">
                <c:v>23760.048989359151</c:v>
              </c:pt>
              <c:pt idx="7">
                <c:v>23753.095323277557</c:v>
              </c:pt>
              <c:pt idx="8">
                <c:v>23766.437474716105</c:v>
              </c:pt>
              <c:pt idx="9">
                <c:v>23798.73016534061</c:v>
              </c:pt>
              <c:pt idx="10">
                <c:v>23848.396423801922</c:v>
              </c:pt>
              <c:pt idx="11">
                <c:v>23913.976724570621</c:v>
              </c:pt>
              <c:pt idx="12">
                <c:v>23992.15694400487</c:v>
              </c:pt>
              <c:pt idx="13">
                <c:v>24082.440179365898</c:v>
              </c:pt>
              <c:pt idx="14">
                <c:v>24180.886462333787</c:v>
              </c:pt>
              <c:pt idx="15">
                <c:v>24284.527256486494</c:v>
              </c:pt>
              <c:pt idx="16">
                <c:v>24390.409549672102</c:v>
              </c:pt>
              <c:pt idx="17">
                <c:v>24498.733416910833</c:v>
              </c:pt>
              <c:pt idx="18">
                <c:v>24605.465028619361</c:v>
              </c:pt>
              <c:pt idx="19">
                <c:v>24710.940181011345</c:v>
              </c:pt>
              <c:pt idx="20">
                <c:v>24811.708002739309</c:v>
              </c:pt>
              <c:pt idx="21">
                <c:v>24906.150160167716</c:v>
              </c:pt>
              <c:pt idx="22">
                <c:v>24991.393091874088</c:v>
              </c:pt>
              <c:pt idx="23">
                <c:v>25070.147407857297</c:v>
              </c:pt>
              <c:pt idx="24">
                <c:v>25137.778331820115</c:v>
              </c:pt>
              <c:pt idx="25">
                <c:v>25199.706940208409</c:v>
              </c:pt>
              <c:pt idx="26">
                <c:v>25247.621076916439</c:v>
              </c:pt>
              <c:pt idx="27">
                <c:v>25287.790701496051</c:v>
              </c:pt>
              <c:pt idx="28">
                <c:v>25314.941007046142</c:v>
              </c:pt>
              <c:pt idx="29">
                <c:v>25330.969159964188</c:v>
              </c:pt>
              <c:pt idx="30">
                <c:v>25339.066532523699</c:v>
              </c:pt>
              <c:pt idx="31">
                <c:v>25334.813820658899</c:v>
              </c:pt>
              <c:pt idx="32">
                <c:v>25319.175120685817</c:v>
              </c:pt>
              <c:pt idx="33">
                <c:v>25296.696462213469</c:v>
              </c:pt>
              <c:pt idx="34">
                <c:v>25259.964850479275</c:v>
              </c:pt>
              <c:pt idx="35">
                <c:v>25216.730816753719</c:v>
              </c:pt>
              <c:pt idx="36">
                <c:v>25162.730383156861</c:v>
              </c:pt>
              <c:pt idx="37">
                <c:v>25099.305454189434</c:v>
              </c:pt>
              <c:pt idx="38">
                <c:v>25030.117892468395</c:v>
              </c:pt>
              <c:pt idx="39">
                <c:v>24952.938022978746</c:v>
              </c:pt>
              <c:pt idx="40">
                <c:v>24867.536032805514</c:v>
              </c:pt>
              <c:pt idx="41">
                <c:v>24776.413732841487</c:v>
              </c:pt>
              <c:pt idx="42">
                <c:v>24679.501166154976</c:v>
              </c:pt>
              <c:pt idx="43">
                <c:v>24576.154258583829</c:v>
              </c:pt>
              <c:pt idx="44">
                <c:v>24469.408412883909</c:v>
              </c:pt>
              <c:pt idx="45">
                <c:v>24357.623098485896</c:v>
              </c:pt>
              <c:pt idx="46">
                <c:v>24239.706208600099</c:v>
              </c:pt>
              <c:pt idx="47">
                <c:v>24120.088745829729</c:v>
              </c:pt>
              <c:pt idx="48">
                <c:v>23997.645692057526</c:v>
              </c:pt>
              <c:pt idx="49">
                <c:v>23871.872375784173</c:v>
              </c:pt>
              <c:pt idx="50">
                <c:v>23746.41236876282</c:v>
              </c:pt>
              <c:pt idx="51">
                <c:v>23617.993703894979</c:v>
              </c:pt>
              <c:pt idx="52">
                <c:v>23487.89367440794</c:v>
              </c:pt>
              <c:pt idx="53">
                <c:v>23358.722322300757</c:v>
              </c:pt>
              <c:pt idx="54">
                <c:v>23229.183460232551</c:v>
              </c:pt>
              <c:pt idx="55">
                <c:v>23100.5295503015</c:v>
              </c:pt>
              <c:pt idx="56">
                <c:v>22972.129046522012</c:v>
              </c:pt>
              <c:pt idx="57">
                <c:v>22845.042592987997</c:v>
              </c:pt>
              <c:pt idx="58">
                <c:v>22718.877603183922</c:v>
              </c:pt>
              <c:pt idx="59">
                <c:v>22595.316286519897</c:v>
              </c:pt>
              <c:pt idx="60">
                <c:v>22474.038197665021</c:v>
              </c:pt>
              <c:pt idx="61">
                <c:v>22355.327726850697</c:v>
              </c:pt>
              <c:pt idx="62">
                <c:v>22239.129182364464</c:v>
              </c:pt>
              <c:pt idx="63">
                <c:v>22125.883032168065</c:v>
              </c:pt>
              <c:pt idx="64">
                <c:v>22015.826686729364</c:v>
              </c:pt>
              <c:pt idx="65">
                <c:v>21908.927639427573</c:v>
              </c:pt>
              <c:pt idx="66">
                <c:v>21805.545210737306</c:v>
              </c:pt>
              <c:pt idx="67">
                <c:v>21705.786757715421</c:v>
              </c:pt>
              <c:pt idx="68">
                <c:v>21609.208354852963</c:v>
              </c:pt>
              <c:pt idx="69">
                <c:v>21517.33181144614</c:v>
              </c:pt>
              <c:pt idx="70">
                <c:v>21428.999225806896</c:v>
              </c:pt>
              <c:pt idx="71">
                <c:v>21344.348174445462</c:v>
              </c:pt>
              <c:pt idx="72">
                <c:v>21264.065358920197</c:v>
              </c:pt>
              <c:pt idx="73">
                <c:v>21186.599587395358</c:v>
              </c:pt>
              <c:pt idx="74">
                <c:v>21112.754095469561</c:v>
              </c:pt>
              <c:pt idx="75">
                <c:v>21044.039093208859</c:v>
              </c:pt>
              <c:pt idx="76">
                <c:v>20977.828301049685</c:v>
              </c:pt>
              <c:pt idx="77">
                <c:v>20919.013692867084</c:v>
              </c:pt>
              <c:pt idx="78">
                <c:v>20859.883343628928</c:v>
              </c:pt>
              <c:pt idx="79">
                <c:v>20806.02110599052</c:v>
              </c:pt>
              <c:pt idx="80">
                <c:v>20755.92445936182</c:v>
              </c:pt>
              <c:pt idx="81">
                <c:v>20707.59461119942</c:v>
              </c:pt>
              <c:pt idx="82">
                <c:v>20665.036017241615</c:v>
              </c:pt>
              <c:pt idx="83">
                <c:v>20624.707784354472</c:v>
              </c:pt>
              <c:pt idx="84">
                <c:v>20588.754574819912</c:v>
              </c:pt>
              <c:pt idx="85">
                <c:v>20552.950699905556</c:v>
              </c:pt>
              <c:pt idx="86">
                <c:v>20522.062336016294</c:v>
              </c:pt>
              <c:pt idx="87">
                <c:v>20495.541758339896</c:v>
              </c:pt>
              <c:pt idx="88">
                <c:v>20470.616988428112</c:v>
              </c:pt>
              <c:pt idx="89">
                <c:v>20448.934723709892</c:v>
              </c:pt>
              <c:pt idx="90">
                <c:v>20430.555847607156</c:v>
              </c:pt>
              <c:pt idx="91">
                <c:v>20416.209183943167</c:v>
              </c:pt>
              <c:pt idx="92">
                <c:v>20399.553232866256</c:v>
              </c:pt>
              <c:pt idx="93">
                <c:v>20390.233015104262</c:v>
              </c:pt>
              <c:pt idx="94">
                <c:v>20384.19642411287</c:v>
              </c:pt>
              <c:pt idx="95">
                <c:v>20379.91400778458</c:v>
              </c:pt>
              <c:pt idx="96">
                <c:v>20379.327191819379</c:v>
              </c:pt>
              <c:pt idx="97">
                <c:v>20379.733299614185</c:v>
              </c:pt>
              <c:pt idx="98">
                <c:v>20385.404551186297</c:v>
              </c:pt>
              <c:pt idx="99">
                <c:v>20392.121732655782</c:v>
              </c:pt>
              <c:pt idx="100">
                <c:v>20403.018115777988</c:v>
              </c:pt>
              <c:pt idx="101">
                <c:v>20415.04569040452</c:v>
              </c:pt>
              <c:pt idx="102">
                <c:v>20435.543089193961</c:v>
              </c:pt>
              <c:pt idx="103">
                <c:v>20451.943952777445</c:v>
              </c:pt>
              <c:pt idx="104">
                <c:v>20476.132517779966</c:v>
              </c:pt>
              <c:pt idx="105">
                <c:v>20499.528377998104</c:v>
              </c:pt>
              <c:pt idx="106">
                <c:v>20531.496032368523</c:v>
              </c:pt>
              <c:pt idx="107">
                <c:v>20565.454562816696</c:v>
              </c:pt>
              <c:pt idx="108">
                <c:v>20601.538441339297</c:v>
              </c:pt>
              <c:pt idx="109">
                <c:v>20643.069375239054</c:v>
              </c:pt>
              <c:pt idx="110">
                <c:v>20687.360443646518</c:v>
              </c:pt>
              <c:pt idx="111">
                <c:v>20736.932657038862</c:v>
              </c:pt>
              <c:pt idx="112">
                <c:v>20789.884714956301</c:v>
              </c:pt>
              <c:pt idx="113">
                <c:v>20847.977720319821</c:v>
              </c:pt>
              <c:pt idx="114">
                <c:v>20911.589924319487</c:v>
              </c:pt>
              <c:pt idx="115">
                <c:v>20978.479309249884</c:v>
              </c:pt>
              <c:pt idx="116">
                <c:v>21051.654741362516</c:v>
              </c:pt>
              <c:pt idx="117">
                <c:v>21129.27362559336</c:v>
              </c:pt>
              <c:pt idx="118">
                <c:v>21213.572661380447</c:v>
              </c:pt>
              <c:pt idx="119">
                <c:v>21302.769410000659</c:v>
              </c:pt>
              <c:pt idx="120">
                <c:v>21399.3719009421</c:v>
              </c:pt>
              <c:pt idx="121">
                <c:v>21499.654152745356</c:v>
              </c:pt>
              <c:pt idx="122">
                <c:v>21605.551800888603</c:v>
              </c:pt>
              <c:pt idx="123">
                <c:v>21718.252820288471</c:v>
              </c:pt>
              <c:pt idx="124">
                <c:v>21836.504884135968</c:v>
              </c:pt>
              <c:pt idx="125">
                <c:v>21960.986889133263</c:v>
              </c:pt>
              <c:pt idx="126">
                <c:v>22092.196854342357</c:v>
              </c:pt>
              <c:pt idx="127">
                <c:v>22228.892571933276</c:v>
              </c:pt>
              <c:pt idx="128">
                <c:v>22371.827028152107</c:v>
              </c:pt>
              <c:pt idx="129">
                <c:v>22520.623629840549</c:v>
              </c:pt>
              <c:pt idx="130">
                <c:v>22675.005395810225</c:v>
              </c:pt>
              <c:pt idx="131">
                <c:v>22834.992491914567</c:v>
              </c:pt>
              <c:pt idx="132">
                <c:v>23000.15173429784</c:v>
              </c:pt>
              <c:pt idx="133">
                <c:v>23170.196738794541</c:v>
              </c:pt>
              <c:pt idx="134">
                <c:v>23345.04378170097</c:v>
              </c:pt>
              <c:pt idx="135">
                <c:v>23524.36204542686</c:v>
              </c:pt>
              <c:pt idx="136">
                <c:v>23708.028883102317</c:v>
              </c:pt>
              <c:pt idx="137">
                <c:v>23894.99315050431</c:v>
              </c:pt>
              <c:pt idx="138">
                <c:v>24083.03657117148</c:v>
              </c:pt>
              <c:pt idx="139">
                <c:v>24276.336015872916</c:v>
              </c:pt>
              <c:pt idx="140">
                <c:v>24470.503489344537</c:v>
              </c:pt>
              <c:pt idx="141">
                <c:v>24666.400841580071</c:v>
              </c:pt>
              <c:pt idx="142">
                <c:v>24863.815270481417</c:v>
              </c:pt>
              <c:pt idx="143">
                <c:v>25061.215701301116</c:v>
              </c:pt>
              <c:pt idx="144">
                <c:v>25257.270329912033</c:v>
              </c:pt>
              <c:pt idx="145">
                <c:v>25454.257077001646</c:v>
              </c:pt>
              <c:pt idx="146">
                <c:v>25650.94475095897</c:v>
              </c:pt>
              <c:pt idx="147">
                <c:v>25843.86594207471</c:v>
              </c:pt>
              <c:pt idx="148">
                <c:v>26032.607311343756</c:v>
              </c:pt>
              <c:pt idx="149">
                <c:v>26219.602484014129</c:v>
              </c:pt>
              <c:pt idx="150">
                <c:v>26403.169999703488</c:v>
              </c:pt>
              <c:pt idx="151">
                <c:v>26581.72166336115</c:v>
              </c:pt>
              <c:pt idx="152">
                <c:v>26753.75337463645</c:v>
              </c:pt>
              <c:pt idx="153">
                <c:v>26922.446312257303</c:v>
              </c:pt>
              <c:pt idx="154">
                <c:v>27083.733318670336</c:v>
              </c:pt>
              <c:pt idx="155">
                <c:v>27238.30587953611</c:v>
              </c:pt>
              <c:pt idx="156">
                <c:v>27380.969616662162</c:v>
              </c:pt>
              <c:pt idx="157">
                <c:v>27517.517996695282</c:v>
              </c:pt>
              <c:pt idx="158">
                <c:v>27644.099044267754</c:v>
              </c:pt>
              <c:pt idx="159">
                <c:v>27758.96432042474</c:v>
              </c:pt>
              <c:pt idx="160">
                <c:v>27868.941421368021</c:v>
              </c:pt>
              <c:pt idx="161">
                <c:v>27963.10644410496</c:v>
              </c:pt>
              <c:pt idx="162">
                <c:v>28048.397484059715</c:v>
              </c:pt>
              <c:pt idx="163">
                <c:v>28113.582094733749</c:v>
              </c:pt>
              <c:pt idx="164">
                <c:v>28174.18083271556</c:v>
              </c:pt>
              <c:pt idx="165">
                <c:v>28220.309162659658</c:v>
              </c:pt>
              <c:pt idx="166">
                <c:v>28249.051577449591</c:v>
              </c:pt>
              <c:pt idx="167">
                <c:v>28265.131652360931</c:v>
              </c:pt>
              <c:pt idx="168">
                <c:v>28263.456257017016</c:v>
              </c:pt>
              <c:pt idx="169">
                <c:v>28250.344584906386</c:v>
              </c:pt>
              <c:pt idx="170">
                <c:v>28217.551472431314</c:v>
              </c:pt>
              <c:pt idx="171">
                <c:v>28175.104446387759</c:v>
              </c:pt>
              <c:pt idx="172">
                <c:v>28105.933946699603</c:v>
              </c:pt>
              <c:pt idx="173">
                <c:v>28030.578974811357</c:v>
              </c:pt>
              <c:pt idx="174">
                <c:v>27935.322657527497</c:v>
              </c:pt>
              <c:pt idx="175">
                <c:v>27818.903497052721</c:v>
              </c:pt>
              <c:pt idx="176">
                <c:v>27690.262644078757</c:v>
              </c:pt>
              <c:pt idx="177">
                <c:v>27546.05348223112</c:v>
              </c:pt>
              <c:pt idx="178">
                <c:v>27384.995213465059</c:v>
              </c:pt>
              <c:pt idx="179">
                <c:v>27209.419360876804</c:v>
              </c:pt>
              <c:pt idx="180">
                <c:v>27015.3621739421</c:v>
              </c:pt>
              <c:pt idx="181">
                <c:v>26813.843952152762</c:v>
              </c:pt>
              <c:pt idx="182">
                <c:v>26599.390078133616</c:v>
              </c:pt>
              <c:pt idx="183">
                <c:v>26374.799540834898</c:v>
              </c:pt>
              <c:pt idx="184">
                <c:v>26142.607689400262</c:v>
              </c:pt>
              <c:pt idx="185">
                <c:v>25903.680240991216</c:v>
              </c:pt>
              <c:pt idx="186">
                <c:v>25663.123965179355</c:v>
              </c:pt>
              <c:pt idx="187">
                <c:v>25419.8957589983</c:v>
              </c:pt>
              <c:pt idx="188">
                <c:v>25179.443118061179</c:v>
              </c:pt>
              <c:pt idx="189">
                <c:v>24945.679611392683</c:v>
              </c:pt>
              <c:pt idx="190">
                <c:v>24717.520697205717</c:v>
              </c:pt>
              <c:pt idx="191">
                <c:v>24502.575433653266</c:v>
              </c:pt>
              <c:pt idx="192">
                <c:v>24300.981667911074</c:v>
              </c:pt>
              <c:pt idx="193">
                <c:v>24117.008481746634</c:v>
              </c:pt>
              <c:pt idx="194">
                <c:v>23951.978374255421</c:v>
              </c:pt>
              <c:pt idx="195">
                <c:v>23808.473170660371</c:v>
              </c:pt>
              <c:pt idx="196">
                <c:v>23687.099546940193</c:v>
              </c:pt>
              <c:pt idx="197">
                <c:v>23589.31803482899</c:v>
              </c:pt>
              <c:pt idx="198">
                <c:v>23516.299608004454</c:v>
              </c:pt>
              <c:pt idx="199">
                <c:v>23470.337487901172</c:v>
              </c:pt>
            </c:numLit>
          </c:yVal>
          <c:smooth val="0"/>
        </c:ser>
        <c:ser>
          <c:idx val="4"/>
          <c:order val="4"/>
          <c:tx>
            <c:v>95%PI</c:v>
          </c:tx>
          <c:spPr>
            <a:ln w="12700">
              <a:solidFill>
                <a:srgbClr val="C0C0C0"/>
              </a:solidFill>
              <a:prstDash val="lgDash"/>
            </a:ln>
            <a:effectLst/>
          </c:spPr>
          <c:marker>
            <c:symbol val="none"/>
          </c:marker>
          <c:xVal>
            <c:numLit>
              <c:formatCode>General</c:formatCode>
              <c:ptCount val="200"/>
              <c:pt idx="0">
                <c:v>2315.6999999999998</c:v>
              </c:pt>
              <c:pt idx="1">
                <c:v>2319.8412060301575</c:v>
              </c:pt>
              <c:pt idx="2">
                <c:v>2323.9824120603016</c:v>
              </c:pt>
              <c:pt idx="3">
                <c:v>2328.1236180904525</c:v>
              </c:pt>
              <c:pt idx="4">
                <c:v>2332.2648241205957</c:v>
              </c:pt>
              <c:pt idx="5">
                <c:v>2336.4060301507543</c:v>
              </c:pt>
              <c:pt idx="6">
                <c:v>2340.5472361809052</c:v>
              </c:pt>
              <c:pt idx="7">
                <c:v>2344.6884422110547</c:v>
              </c:pt>
              <c:pt idx="8">
                <c:v>2348.829648241207</c:v>
              </c:pt>
              <c:pt idx="9">
                <c:v>2352.9708542713634</c:v>
              </c:pt>
              <c:pt idx="10">
                <c:v>2357.1120603015092</c:v>
              </c:pt>
              <c:pt idx="11">
                <c:v>2361.2532663316601</c:v>
              </c:pt>
              <c:pt idx="12">
                <c:v>2365.3944723618106</c:v>
              </c:pt>
              <c:pt idx="13">
                <c:v>2369.5356783919615</c:v>
              </c:pt>
              <c:pt idx="14">
                <c:v>2373.6768844221042</c:v>
              </c:pt>
              <c:pt idx="15">
                <c:v>2377.8180904522642</c:v>
              </c:pt>
              <c:pt idx="16">
                <c:v>2381.9592964824192</c:v>
              </c:pt>
              <c:pt idx="17">
                <c:v>2386.1005025125701</c:v>
              </c:pt>
              <c:pt idx="18">
                <c:v>2390.241708542716</c:v>
              </c:pt>
              <c:pt idx="19">
                <c:v>2394.3829145728719</c:v>
              </c:pt>
              <c:pt idx="20">
                <c:v>2398.5241206030178</c:v>
              </c:pt>
              <c:pt idx="21">
                <c:v>2402.6653266331737</c:v>
              </c:pt>
              <c:pt idx="22">
                <c:v>2406.8065326633246</c:v>
              </c:pt>
              <c:pt idx="23">
                <c:v>2410.947738693475</c:v>
              </c:pt>
              <c:pt idx="24">
                <c:v>2415.0889447236123</c:v>
              </c:pt>
              <c:pt idx="25">
                <c:v>2419.2301507537723</c:v>
              </c:pt>
              <c:pt idx="26">
                <c:v>2423.3713567839322</c:v>
              </c:pt>
              <c:pt idx="27">
                <c:v>2427.5125628140772</c:v>
              </c:pt>
              <c:pt idx="28">
                <c:v>2431.6537688442272</c:v>
              </c:pt>
              <c:pt idx="29">
                <c:v>2435.7949748743772</c:v>
              </c:pt>
              <c:pt idx="30">
                <c:v>2439.9361809045272</c:v>
              </c:pt>
              <c:pt idx="31">
                <c:v>2444.0773869346776</c:v>
              </c:pt>
              <c:pt idx="32">
                <c:v>2448.2185929648285</c:v>
              </c:pt>
              <c:pt idx="33">
                <c:v>2452.3597989949812</c:v>
              </c:pt>
              <c:pt idx="34">
                <c:v>2456.5010050251303</c:v>
              </c:pt>
              <c:pt idx="35">
                <c:v>2460.6422110552808</c:v>
              </c:pt>
              <c:pt idx="36">
                <c:v>2464.7834170854321</c:v>
              </c:pt>
              <c:pt idx="37">
                <c:v>2468.924623115583</c:v>
              </c:pt>
              <c:pt idx="38">
                <c:v>2473.0658291457285</c:v>
              </c:pt>
              <c:pt idx="39">
                <c:v>2477.2070351758848</c:v>
              </c:pt>
              <c:pt idx="40">
                <c:v>2481.3482412060357</c:v>
              </c:pt>
              <c:pt idx="41">
                <c:v>2485.4894472361866</c:v>
              </c:pt>
              <c:pt idx="42">
                <c:v>2489.6306532663375</c:v>
              </c:pt>
              <c:pt idx="43">
                <c:v>2493.7718592964902</c:v>
              </c:pt>
              <c:pt idx="44">
                <c:v>2497.9130653266393</c:v>
              </c:pt>
              <c:pt idx="45">
                <c:v>2502.0542713567897</c:v>
              </c:pt>
              <c:pt idx="46">
                <c:v>2506.1954773869411</c:v>
              </c:pt>
              <c:pt idx="47">
                <c:v>2510.3366834170897</c:v>
              </c:pt>
              <c:pt idx="48">
                <c:v>2514.4778894472397</c:v>
              </c:pt>
              <c:pt idx="49">
                <c:v>2518.6190954773942</c:v>
              </c:pt>
              <c:pt idx="50">
                <c:v>2522.7603015075451</c:v>
              </c:pt>
              <c:pt idx="51">
                <c:v>2526.901507537701</c:v>
              </c:pt>
              <c:pt idx="52">
                <c:v>2531.0427135678465</c:v>
              </c:pt>
              <c:pt idx="53">
                <c:v>2535.1839195979974</c:v>
              </c:pt>
              <c:pt idx="54">
                <c:v>2539.3251256281492</c:v>
              </c:pt>
              <c:pt idx="55">
                <c:v>2543.4663316582992</c:v>
              </c:pt>
              <c:pt idx="56">
                <c:v>2547.6075376884551</c:v>
              </c:pt>
              <c:pt idx="57">
                <c:v>2551.7487437185987</c:v>
              </c:pt>
              <c:pt idx="58">
                <c:v>2555.8899497487487</c:v>
              </c:pt>
              <c:pt idx="59">
                <c:v>2560.0311557789078</c:v>
              </c:pt>
              <c:pt idx="60">
                <c:v>2564.1723618090541</c:v>
              </c:pt>
              <c:pt idx="61">
                <c:v>2568.3135678392136</c:v>
              </c:pt>
              <c:pt idx="62">
                <c:v>2572.45477386936</c:v>
              </c:pt>
              <c:pt idx="63">
                <c:v>2576.5959798995109</c:v>
              </c:pt>
              <c:pt idx="64">
                <c:v>2580.7371859296522</c:v>
              </c:pt>
              <c:pt idx="65">
                <c:v>2584.8783919598081</c:v>
              </c:pt>
              <c:pt idx="66">
                <c:v>2589.0195979899622</c:v>
              </c:pt>
              <c:pt idx="67">
                <c:v>2593.1608040201049</c:v>
              </c:pt>
              <c:pt idx="68">
                <c:v>2597.3020100502622</c:v>
              </c:pt>
              <c:pt idx="69">
                <c:v>2601.4432160804199</c:v>
              </c:pt>
              <c:pt idx="70">
                <c:v>2605.5844221105617</c:v>
              </c:pt>
              <c:pt idx="71">
                <c:v>2609.7256281407085</c:v>
              </c:pt>
              <c:pt idx="72">
                <c:v>2613.8668341708644</c:v>
              </c:pt>
              <c:pt idx="73">
                <c:v>2618.0080402010153</c:v>
              </c:pt>
              <c:pt idx="74">
                <c:v>2622.1492462311662</c:v>
              </c:pt>
              <c:pt idx="75">
                <c:v>2626.2904522613171</c:v>
              </c:pt>
              <c:pt idx="76">
                <c:v>2630.4316582914757</c:v>
              </c:pt>
              <c:pt idx="77">
                <c:v>2634.5728643216135</c:v>
              </c:pt>
              <c:pt idx="78">
                <c:v>2638.7140703517698</c:v>
              </c:pt>
              <c:pt idx="79">
                <c:v>2642.8552763819275</c:v>
              </c:pt>
              <c:pt idx="80">
                <c:v>2646.9964824120707</c:v>
              </c:pt>
              <c:pt idx="81">
                <c:v>2651.1376884422207</c:v>
              </c:pt>
              <c:pt idx="82">
                <c:v>2655.2788944723734</c:v>
              </c:pt>
              <c:pt idx="83">
                <c:v>2659.4201005025307</c:v>
              </c:pt>
              <c:pt idx="84">
                <c:v>2663.5613065326806</c:v>
              </c:pt>
              <c:pt idx="85">
                <c:v>2667.7025125628261</c:v>
              </c:pt>
              <c:pt idx="86">
                <c:v>2671.8437185929824</c:v>
              </c:pt>
              <c:pt idx="87">
                <c:v>2675.9849246231247</c:v>
              </c:pt>
              <c:pt idx="88">
                <c:v>2680.1261306532792</c:v>
              </c:pt>
              <c:pt idx="89">
                <c:v>2684.2673366834356</c:v>
              </c:pt>
              <c:pt idx="90">
                <c:v>2688.4085427135806</c:v>
              </c:pt>
              <c:pt idx="91">
                <c:v>2692.5497487437297</c:v>
              </c:pt>
              <c:pt idx="92">
                <c:v>2696.6909547738824</c:v>
              </c:pt>
              <c:pt idx="93">
                <c:v>2700.8321608040383</c:v>
              </c:pt>
              <c:pt idx="94">
                <c:v>2704.9733668341937</c:v>
              </c:pt>
              <c:pt idx="95">
                <c:v>2709.1145728643401</c:v>
              </c:pt>
              <c:pt idx="96">
                <c:v>2713.255778894491</c:v>
              </c:pt>
              <c:pt idx="97">
                <c:v>2717.3969849246337</c:v>
              </c:pt>
              <c:pt idx="98">
                <c:v>2721.5381909547878</c:v>
              </c:pt>
              <c:pt idx="99">
                <c:v>2725.6793969849432</c:v>
              </c:pt>
              <c:pt idx="100">
                <c:v>2729.8206030150895</c:v>
              </c:pt>
              <c:pt idx="101">
                <c:v>2733.9618090452404</c:v>
              </c:pt>
              <c:pt idx="102">
                <c:v>2738.1030150753922</c:v>
              </c:pt>
              <c:pt idx="103">
                <c:v>2742.2442211055372</c:v>
              </c:pt>
              <c:pt idx="104">
                <c:v>2746.3854271356931</c:v>
              </c:pt>
              <c:pt idx="105">
                <c:v>2750.526633165839</c:v>
              </c:pt>
              <c:pt idx="106">
                <c:v>2754.6678391959899</c:v>
              </c:pt>
              <c:pt idx="107">
                <c:v>2758.8090452261458</c:v>
              </c:pt>
              <c:pt idx="108">
                <c:v>2762.9502512562972</c:v>
              </c:pt>
              <c:pt idx="109">
                <c:v>2767.0914572864558</c:v>
              </c:pt>
              <c:pt idx="110">
                <c:v>2771.2326633165985</c:v>
              </c:pt>
              <c:pt idx="111">
                <c:v>2775.3738693467494</c:v>
              </c:pt>
              <c:pt idx="112">
                <c:v>2779.5150753769012</c:v>
              </c:pt>
              <c:pt idx="113">
                <c:v>2783.6562814070453</c:v>
              </c:pt>
              <c:pt idx="114">
                <c:v>2787.7974874372017</c:v>
              </c:pt>
              <c:pt idx="115">
                <c:v>2791.938693467353</c:v>
              </c:pt>
              <c:pt idx="116">
                <c:v>2796.0798994975039</c:v>
              </c:pt>
              <c:pt idx="117">
                <c:v>2800.2211055276548</c:v>
              </c:pt>
              <c:pt idx="118">
                <c:v>2804.3623115578062</c:v>
              </c:pt>
              <c:pt idx="119">
                <c:v>2808.503517587963</c:v>
              </c:pt>
              <c:pt idx="120">
                <c:v>2812.6447236181057</c:v>
              </c:pt>
              <c:pt idx="121">
                <c:v>2816.7859296482584</c:v>
              </c:pt>
              <c:pt idx="122">
                <c:v>2820.9271356784157</c:v>
              </c:pt>
              <c:pt idx="123">
                <c:v>2825.0683417085597</c:v>
              </c:pt>
              <c:pt idx="124">
                <c:v>2829.2095477387097</c:v>
              </c:pt>
              <c:pt idx="125">
                <c:v>2833.350753768862</c:v>
              </c:pt>
              <c:pt idx="126">
                <c:v>2837.4919597990129</c:v>
              </c:pt>
              <c:pt idx="127">
                <c:v>2841.6331658291642</c:v>
              </c:pt>
              <c:pt idx="128">
                <c:v>2845.7743718593151</c:v>
              </c:pt>
              <c:pt idx="129">
                <c:v>2849.915577889476</c:v>
              </c:pt>
              <c:pt idx="130">
                <c:v>2854.0567839196137</c:v>
              </c:pt>
              <c:pt idx="131">
                <c:v>2858.1979899497637</c:v>
              </c:pt>
              <c:pt idx="132">
                <c:v>2862.3391959799233</c:v>
              </c:pt>
              <c:pt idx="133">
                <c:v>2866.4804020100692</c:v>
              </c:pt>
              <c:pt idx="134">
                <c:v>2870.6216080402201</c:v>
              </c:pt>
              <c:pt idx="135">
                <c:v>2874.762814070371</c:v>
              </c:pt>
              <c:pt idx="136">
                <c:v>2878.9040201005218</c:v>
              </c:pt>
              <c:pt idx="137">
                <c:v>2883.0452261306727</c:v>
              </c:pt>
              <c:pt idx="138">
                <c:v>2887.1864321608191</c:v>
              </c:pt>
              <c:pt idx="139">
                <c:v>2891.3276381909745</c:v>
              </c:pt>
              <c:pt idx="140">
                <c:v>2895.4688442211209</c:v>
              </c:pt>
              <c:pt idx="141">
                <c:v>2899.6100502512772</c:v>
              </c:pt>
              <c:pt idx="142">
                <c:v>2903.7512562814354</c:v>
              </c:pt>
              <c:pt idx="143">
                <c:v>2907.8924623115822</c:v>
              </c:pt>
              <c:pt idx="144">
                <c:v>2912.033668341729</c:v>
              </c:pt>
              <c:pt idx="145">
                <c:v>2916.1748743718799</c:v>
              </c:pt>
              <c:pt idx="146">
                <c:v>2920.3160804020308</c:v>
              </c:pt>
              <c:pt idx="147">
                <c:v>2924.4572864321822</c:v>
              </c:pt>
              <c:pt idx="148">
                <c:v>2928.5984924623317</c:v>
              </c:pt>
              <c:pt idx="149">
                <c:v>2932.7396984924835</c:v>
              </c:pt>
              <c:pt idx="150">
                <c:v>2936.8809045226344</c:v>
              </c:pt>
              <c:pt idx="151">
                <c:v>2941.0221105527862</c:v>
              </c:pt>
              <c:pt idx="152">
                <c:v>2945.1633165829439</c:v>
              </c:pt>
              <c:pt idx="153">
                <c:v>2949.3045226130871</c:v>
              </c:pt>
              <c:pt idx="154">
                <c:v>2953.4457286432412</c:v>
              </c:pt>
              <c:pt idx="155">
                <c:v>2957.5869346733912</c:v>
              </c:pt>
              <c:pt idx="156">
                <c:v>2961.7281407035398</c:v>
              </c:pt>
              <c:pt idx="157">
                <c:v>2965.8693467336911</c:v>
              </c:pt>
              <c:pt idx="158">
                <c:v>2970.0105527638416</c:v>
              </c:pt>
              <c:pt idx="159">
                <c:v>2974.1517587939925</c:v>
              </c:pt>
              <c:pt idx="160">
                <c:v>2978.2929648241434</c:v>
              </c:pt>
              <c:pt idx="161">
                <c:v>2982.4341708543002</c:v>
              </c:pt>
              <c:pt idx="162">
                <c:v>2986.5753768844552</c:v>
              </c:pt>
              <c:pt idx="163">
                <c:v>2990.7165829145961</c:v>
              </c:pt>
              <c:pt idx="164">
                <c:v>2994.857788944747</c:v>
              </c:pt>
              <c:pt idx="165">
                <c:v>2998.9989949748979</c:v>
              </c:pt>
              <c:pt idx="166">
                <c:v>3003.1402010050488</c:v>
              </c:pt>
              <c:pt idx="167">
                <c:v>3007.2814070352001</c:v>
              </c:pt>
              <c:pt idx="168">
                <c:v>3011.4226130653506</c:v>
              </c:pt>
              <c:pt idx="169">
                <c:v>3015.5638190955015</c:v>
              </c:pt>
              <c:pt idx="170">
                <c:v>3019.7050251256442</c:v>
              </c:pt>
              <c:pt idx="171">
                <c:v>3023.8462311558033</c:v>
              </c:pt>
              <c:pt idx="172">
                <c:v>3027.9874371859541</c:v>
              </c:pt>
              <c:pt idx="173">
                <c:v>3032.1286432161037</c:v>
              </c:pt>
              <c:pt idx="174">
                <c:v>3036.2698492462537</c:v>
              </c:pt>
              <c:pt idx="175">
                <c:v>3040.4110552764168</c:v>
              </c:pt>
              <c:pt idx="176">
                <c:v>3044.5522613065577</c:v>
              </c:pt>
              <c:pt idx="177">
                <c:v>3048.6934673367086</c:v>
              </c:pt>
              <c:pt idx="178">
                <c:v>3052.8346733668595</c:v>
              </c:pt>
              <c:pt idx="179">
                <c:v>3056.9758793970104</c:v>
              </c:pt>
              <c:pt idx="180">
                <c:v>3061.1170854271563</c:v>
              </c:pt>
              <c:pt idx="181">
                <c:v>3065.2582914573072</c:v>
              </c:pt>
              <c:pt idx="182">
                <c:v>3069.3994974874672</c:v>
              </c:pt>
              <c:pt idx="183">
                <c:v>3073.540703517614</c:v>
              </c:pt>
              <c:pt idx="184">
                <c:v>3077.6819095477649</c:v>
              </c:pt>
              <c:pt idx="185">
                <c:v>3081.823115577924</c:v>
              </c:pt>
              <c:pt idx="186">
                <c:v>3085.9643216080667</c:v>
              </c:pt>
              <c:pt idx="187">
                <c:v>3090.1055276382176</c:v>
              </c:pt>
              <c:pt idx="188">
                <c:v>3094.2467336683685</c:v>
              </c:pt>
              <c:pt idx="189">
                <c:v>3098.3879396985212</c:v>
              </c:pt>
              <c:pt idx="190">
                <c:v>3102.5291457286648</c:v>
              </c:pt>
              <c:pt idx="191">
                <c:v>3106.6703517588207</c:v>
              </c:pt>
              <c:pt idx="192">
                <c:v>3110.8115577889789</c:v>
              </c:pt>
              <c:pt idx="193">
                <c:v>3114.9527638191262</c:v>
              </c:pt>
              <c:pt idx="194">
                <c:v>3119.0939698492762</c:v>
              </c:pt>
              <c:pt idx="195">
                <c:v>3123.2351758794321</c:v>
              </c:pt>
              <c:pt idx="196">
                <c:v>3127.3763819095761</c:v>
              </c:pt>
              <c:pt idx="197">
                <c:v>3131.5175879397266</c:v>
              </c:pt>
              <c:pt idx="198">
                <c:v>3135.6587939698757</c:v>
              </c:pt>
              <c:pt idx="199">
                <c:v>3139.8000000000302</c:v>
              </c:pt>
            </c:numLit>
          </c:xVal>
          <c:yVal>
            <c:numLit>
              <c:formatCode>General</c:formatCode>
              <c:ptCount val="200"/>
              <c:pt idx="0">
                <c:v>356.6491047321706</c:v>
              </c:pt>
              <c:pt idx="1">
                <c:v>1073.1650664031731</c:v>
              </c:pt>
              <c:pt idx="2">
                <c:v>1732.3807138647389</c:v>
              </c:pt>
              <c:pt idx="3">
                <c:v>2337.8325620571895</c:v>
              </c:pt>
              <c:pt idx="4">
                <c:v>2892.7343702330322</c:v>
              </c:pt>
              <c:pt idx="5">
                <c:v>3398.2729088443375</c:v>
              </c:pt>
              <c:pt idx="6">
                <c:v>3857.786573438023</c:v>
              </c:pt>
              <c:pt idx="7">
                <c:v>4273.7010378683772</c:v>
              </c:pt>
              <c:pt idx="8">
                <c:v>4649.0157491942955</c:v>
              </c:pt>
              <c:pt idx="9">
                <c:v>4986.4815346376954</c:v>
              </c:pt>
              <c:pt idx="10">
                <c:v>5288.7472908202535</c:v>
              </c:pt>
              <c:pt idx="11">
                <c:v>5558.1713716256454</c:v>
              </c:pt>
              <c:pt idx="12">
                <c:v>5797.8687181863515</c:v>
              </c:pt>
              <c:pt idx="13">
                <c:v>6009.2691164875287</c:v>
              </c:pt>
              <c:pt idx="14">
                <c:v>6195.4264319437734</c:v>
              </c:pt>
              <c:pt idx="15">
                <c:v>6358.7330789825101</c:v>
              </c:pt>
              <c:pt idx="16">
                <c:v>6501.4633086507401</c:v>
              </c:pt>
              <c:pt idx="17">
                <c:v>6624.2112344218167</c:v>
              </c:pt>
              <c:pt idx="18">
                <c:v>6729.6752792062252</c:v>
              </c:pt>
              <c:pt idx="19">
                <c:v>6818.2947060576944</c:v>
              </c:pt>
              <c:pt idx="20">
                <c:v>6892.4143663325785</c:v>
              </c:pt>
              <c:pt idx="21">
                <c:v>6953.438591700191</c:v>
              </c:pt>
              <c:pt idx="22">
                <c:v>7003.4142551345867</c:v>
              </c:pt>
              <c:pt idx="23">
                <c:v>7041.5234683616654</c:v>
              </c:pt>
              <c:pt idx="24">
                <c:v>7070.7189258857834</c:v>
              </c:pt>
              <c:pt idx="25">
                <c:v>7088.7673479560572</c:v>
              </c:pt>
              <c:pt idx="26">
                <c:v>7100.5332588588435</c:v>
              </c:pt>
              <c:pt idx="27">
                <c:v>7103.3259192812611</c:v>
              </c:pt>
              <c:pt idx="28">
                <c:v>7100.4447882714585</c:v>
              </c:pt>
              <c:pt idx="29">
                <c:v>7091.4531909445395</c:v>
              </c:pt>
              <c:pt idx="30">
                <c:v>7075.2189694789868</c:v>
              </c:pt>
              <c:pt idx="31">
                <c:v>7054.5879517519934</c:v>
              </c:pt>
              <c:pt idx="32">
                <c:v>7029.5795266161622</c:v>
              </c:pt>
              <c:pt idx="33">
                <c:v>6998.3172108355448</c:v>
              </c:pt>
              <c:pt idx="34">
                <c:v>6965.1995221458901</c:v>
              </c:pt>
              <c:pt idx="35">
                <c:v>6926.6443605259692</c:v>
              </c:pt>
              <c:pt idx="36">
                <c:v>6885.3741679779514</c:v>
              </c:pt>
              <c:pt idx="37">
                <c:v>6841.153436322551</c:v>
              </c:pt>
              <c:pt idx="38">
                <c:v>6792.5240536149104</c:v>
              </c:pt>
              <c:pt idx="39">
                <c:v>6741.1080556207471</c:v>
              </c:pt>
              <c:pt idx="40">
                <c:v>6687.4658008816623</c:v>
              </c:pt>
              <c:pt idx="41">
                <c:v>6630.7251321544454</c:v>
              </c:pt>
              <c:pt idx="42">
                <c:v>6571.3496129517534</c:v>
              </c:pt>
              <c:pt idx="43">
                <c:v>6510.0885247171955</c:v>
              </c:pt>
              <c:pt idx="44">
                <c:v>6445.7820430531183</c:v>
              </c:pt>
              <c:pt idx="45">
                <c:v>6379.6796707342455</c:v>
              </c:pt>
              <c:pt idx="46">
                <c:v>6312.7280458777059</c:v>
              </c:pt>
              <c:pt idx="47">
                <c:v>6243.0440247675879</c:v>
              </c:pt>
              <c:pt idx="48">
                <c:v>6171.5856989474405</c:v>
              </c:pt>
              <c:pt idx="49">
                <c:v>6098.9786942296323</c:v>
              </c:pt>
              <c:pt idx="50">
                <c:v>6023.7509204368644</c:v>
              </c:pt>
              <c:pt idx="51">
                <c:v>5947.9100143793403</c:v>
              </c:pt>
              <c:pt idx="52">
                <c:v>5871.1603457905194</c:v>
              </c:pt>
              <c:pt idx="53">
                <c:v>5792.5473376142372</c:v>
              </c:pt>
              <c:pt idx="54">
                <c:v>5713.0567847366092</c:v>
              </c:pt>
              <c:pt idx="55">
                <c:v>5632.401440564754</c:v>
              </c:pt>
              <c:pt idx="56">
                <c:v>5551.2166750107344</c:v>
              </c:pt>
              <c:pt idx="57">
                <c:v>5469.2985821885695</c:v>
              </c:pt>
              <c:pt idx="58">
                <c:v>5387.1475186225562</c:v>
              </c:pt>
              <c:pt idx="59">
                <c:v>5304.2482308179324</c:v>
              </c:pt>
              <c:pt idx="60">
                <c:v>5221.053006522332</c:v>
              </c:pt>
              <c:pt idx="61">
                <c:v>5137.7118599350115</c:v>
              </c:pt>
              <c:pt idx="62">
                <c:v>5054.5300279508392</c:v>
              </c:pt>
              <c:pt idx="63">
                <c:v>4971.56629954456</c:v>
              </c:pt>
              <c:pt idx="64">
                <c:v>4888.9693825257273</c:v>
              </c:pt>
              <c:pt idx="65">
                <c:v>4807.0082403903225</c:v>
              </c:pt>
              <c:pt idx="66">
                <c:v>4725.7569489320795</c:v>
              </c:pt>
              <c:pt idx="67">
                <c:v>4645.4013316482997</c:v>
              </c:pt>
              <c:pt idx="68">
                <c:v>4566.3791775232594</c:v>
              </c:pt>
              <c:pt idx="69">
                <c:v>4488.1910446780912</c:v>
              </c:pt>
              <c:pt idx="70">
                <c:v>4411.5953462120615</c:v>
              </c:pt>
              <c:pt idx="71">
                <c:v>4336.7295410728266</c:v>
              </c:pt>
              <c:pt idx="72">
                <c:v>4263.4647800439998</c:v>
              </c:pt>
              <c:pt idx="73">
                <c:v>4192.7170897866126</c:v>
              </c:pt>
              <c:pt idx="74">
                <c:v>4124.2863549227395</c:v>
              </c:pt>
              <c:pt idx="75">
                <c:v>4057.6332736833665</c:v>
              </c:pt>
              <c:pt idx="76">
                <c:v>3994.1542159423461</c:v>
              </c:pt>
              <c:pt idx="77">
                <c:v>3931.7054696588666</c:v>
              </c:pt>
              <c:pt idx="78">
                <c:v>3874.0567009019214</c:v>
              </c:pt>
              <c:pt idx="79">
                <c:v>3818.7235809751655</c:v>
              </c:pt>
              <c:pt idx="80">
                <c:v>3766.5433843804722</c:v>
              </c:pt>
              <c:pt idx="81">
                <c:v>3718.5793160631042</c:v>
              </c:pt>
              <c:pt idx="82">
                <c:v>3673.0656071205685</c:v>
              </c:pt>
              <c:pt idx="83">
                <c:v>3631.7750896241737</c:v>
              </c:pt>
              <c:pt idx="84">
                <c:v>3593.8006333676858</c:v>
              </c:pt>
              <c:pt idx="85">
                <c:v>3561.2224433039887</c:v>
              </c:pt>
              <c:pt idx="86">
                <c:v>3531.8853282098912</c:v>
              </c:pt>
              <c:pt idx="87">
                <c:v>3506.1251115932077</c:v>
              </c:pt>
              <c:pt idx="88">
                <c:v>3485.3148708283206</c:v>
              </c:pt>
              <c:pt idx="89">
                <c:v>3468.74310480443</c:v>
              </c:pt>
              <c:pt idx="90">
                <c:v>3456.4360480008709</c:v>
              </c:pt>
              <c:pt idx="91">
                <c:v>3448.0990184537513</c:v>
              </c:pt>
              <c:pt idx="92">
                <c:v>3446.7430995951145</c:v>
              </c:pt>
              <c:pt idx="93">
                <c:v>3447.8784684574307</c:v>
              </c:pt>
              <c:pt idx="94">
                <c:v>3453.4286811800775</c:v>
              </c:pt>
              <c:pt idx="95">
                <c:v>3464.1233787410274</c:v>
              </c:pt>
              <c:pt idx="96">
                <c:v>3479.0630321467252</c:v>
              </c:pt>
              <c:pt idx="97">
                <c:v>3499.5056173323792</c:v>
              </c:pt>
              <c:pt idx="98">
                <c:v>3523.4548903997693</c:v>
              </c:pt>
              <c:pt idx="99">
                <c:v>3552.8549156535259</c:v>
              </c:pt>
              <c:pt idx="100">
                <c:v>3586.2282112562407</c:v>
              </c:pt>
              <c:pt idx="101">
                <c:v>3624.9514845167269</c:v>
              </c:pt>
              <c:pt idx="102">
                <c:v>3665.6057104585002</c:v>
              </c:pt>
              <c:pt idx="103">
                <c:v>3713.9244426664281</c:v>
              </c:pt>
              <c:pt idx="104">
                <c:v>3764.3937443970972</c:v>
              </c:pt>
              <c:pt idx="105">
                <c:v>3820.8801350069352</c:v>
              </c:pt>
              <c:pt idx="106">
                <c:v>3879.0451653922719</c:v>
              </c:pt>
              <c:pt idx="107">
                <c:v>3941.8147220776618</c:v>
              </c:pt>
              <c:pt idx="108">
                <c:v>4009.0398352945472</c:v>
              </c:pt>
              <c:pt idx="109">
                <c:v>4079.1307069178552</c:v>
              </c:pt>
              <c:pt idx="110">
                <c:v>4153.2043655633524</c:v>
              </c:pt>
              <c:pt idx="111">
                <c:v>4230.0268236280754</c:v>
              </c:pt>
              <c:pt idx="112">
                <c:v>4310.3423749784433</c:v>
              </c:pt>
              <c:pt idx="113">
                <c:v>4393.2497941692754</c:v>
              </c:pt>
              <c:pt idx="114">
                <c:v>4478.4624078282495</c:v>
              </c:pt>
              <c:pt idx="115">
                <c:v>4566.8470651114822</c:v>
              </c:pt>
              <c:pt idx="116">
                <c:v>4656.9351734856191</c:v>
              </c:pt>
              <c:pt idx="117">
                <c:v>4749.3999907253838</c:v>
              </c:pt>
              <c:pt idx="118">
                <c:v>4843.1046841697043</c:v>
              </c:pt>
              <c:pt idx="119">
                <c:v>4938.6771107933455</c:v>
              </c:pt>
              <c:pt idx="120">
                <c:v>5034.845658952001</c:v>
              </c:pt>
              <c:pt idx="121">
                <c:v>5133.0741589690497</c:v>
              </c:pt>
              <c:pt idx="122">
                <c:v>5232.3247830991904</c:v>
              </c:pt>
              <c:pt idx="123">
                <c:v>5331.8779968835825</c:v>
              </c:pt>
              <c:pt idx="124">
                <c:v>5432.0791559901618</c:v>
              </c:pt>
              <c:pt idx="125">
                <c:v>5532.4108480027262</c:v>
              </c:pt>
              <c:pt idx="126">
                <c:v>5632.4214761343083</c:v>
              </c:pt>
              <c:pt idx="127">
                <c:v>5732.4209898150912</c:v>
              </c:pt>
              <c:pt idx="128">
                <c:v>5831.8206879522913</c:v>
              </c:pt>
              <c:pt idx="129">
                <c:v>5930.522496267964</c:v>
              </c:pt>
              <c:pt idx="130">
                <c:v>6028.3735310133652</c:v>
              </c:pt>
              <c:pt idx="131">
                <c:v>6125.0749838943575</c:v>
              </c:pt>
              <c:pt idx="132">
                <c:v>6220.5229580594105</c:v>
              </c:pt>
              <c:pt idx="133">
                <c:v>6314.537670265212</c:v>
              </c:pt>
              <c:pt idx="134">
                <c:v>6406.8352244580246</c:v>
              </c:pt>
              <c:pt idx="135">
                <c:v>6497.2358984550037</c:v>
              </c:pt>
              <c:pt idx="136">
                <c:v>6585.4525194717953</c:v>
              </c:pt>
              <c:pt idx="137">
                <c:v>6671.6323210150613</c:v>
              </c:pt>
              <c:pt idx="138">
                <c:v>6756.4944376245785</c:v>
              </c:pt>
              <c:pt idx="139">
                <c:v>6837.653858058331</c:v>
              </c:pt>
              <c:pt idx="140">
                <c:v>6916.8703050560871</c:v>
              </c:pt>
              <c:pt idx="141">
                <c:v>6993.3522244897704</c:v>
              </c:pt>
              <c:pt idx="142">
                <c:v>7066.8207523522315</c:v>
              </c:pt>
              <c:pt idx="143">
                <c:v>7137.6614155064844</c:v>
              </c:pt>
              <c:pt idx="144">
                <c:v>7206.1761825614985</c:v>
              </c:pt>
              <c:pt idx="145">
                <c:v>7270.8010811722834</c:v>
              </c:pt>
              <c:pt idx="146">
                <c:v>7331.7581397340709</c:v>
              </c:pt>
              <c:pt idx="147">
                <c:v>7390.4718497835256</c:v>
              </c:pt>
              <c:pt idx="148">
                <c:v>7446.7861251246404</c:v>
              </c:pt>
              <c:pt idx="149">
                <c:v>7498.9960955127954</c:v>
              </c:pt>
              <c:pt idx="150">
                <c:v>7547.5852128207407</c:v>
              </c:pt>
              <c:pt idx="151">
                <c:v>7593.0058567228116</c:v>
              </c:pt>
              <c:pt idx="152">
                <c:v>7635.6806172415272</c:v>
              </c:pt>
              <c:pt idx="153">
                <c:v>7673.4154450437436</c:v>
              </c:pt>
              <c:pt idx="154">
                <c:v>7708.0456468004304</c:v>
              </c:pt>
              <c:pt idx="155">
                <c:v>7738.7515702923884</c:v>
              </c:pt>
              <c:pt idx="156">
                <c:v>7768.0667101472773</c:v>
              </c:pt>
              <c:pt idx="157">
                <c:v>7792.2390593722466</c:v>
              </c:pt>
              <c:pt idx="158">
                <c:v>7813.0229638740902</c:v>
              </c:pt>
              <c:pt idx="159">
                <c:v>7830.9823341526444</c:v>
              </c:pt>
              <c:pt idx="160">
                <c:v>7841.6453732971113</c:v>
              </c:pt>
              <c:pt idx="161">
                <c:v>7850.9308320553282</c:v>
              </c:pt>
              <c:pt idx="162">
                <c:v>7854.2662794950211</c:v>
              </c:pt>
              <c:pt idx="163">
                <c:v>7857.8147109936581</c:v>
              </c:pt>
              <c:pt idx="164">
                <c:v>7851.8338483850785</c:v>
              </c:pt>
              <c:pt idx="165">
                <c:v>7841.6690038179804</c:v>
              </c:pt>
              <c:pt idx="166">
                <c:v>7828.5361621141146</c:v>
              </c:pt>
              <c:pt idx="167">
                <c:v>7809.0512488877785</c:v>
              </c:pt>
              <c:pt idx="168">
                <c:v>7785.7086419201005</c:v>
              </c:pt>
              <c:pt idx="169">
                <c:v>7754.121597262194</c:v>
              </c:pt>
              <c:pt idx="170">
                <c:v>7718.6627410664323</c:v>
              </c:pt>
              <c:pt idx="171">
                <c:v>7672.6773971186367</c:v>
              </c:pt>
              <c:pt idx="172">
                <c:v>7625.8345097974434</c:v>
              </c:pt>
              <c:pt idx="173">
                <c:v>7565.1196749423452</c:v>
              </c:pt>
              <c:pt idx="174">
                <c:v>7498.1520014835323</c:v>
              </c:pt>
              <c:pt idx="175">
                <c:v>7425.0211839564954</c:v>
              </c:pt>
              <c:pt idx="176">
                <c:v>7339.6893347110554</c:v>
              </c:pt>
              <c:pt idx="177">
                <c:v>7243.4941067309956</c:v>
              </c:pt>
              <c:pt idx="178">
                <c:v>7136.5168475189421</c:v>
              </c:pt>
              <c:pt idx="179">
                <c:v>7016.6797162127405</c:v>
              </c:pt>
              <c:pt idx="180">
                <c:v>6885.638630773863</c:v>
              </c:pt>
              <c:pt idx="181">
                <c:v>6736.1813581886727</c:v>
              </c:pt>
              <c:pt idx="182">
                <c:v>6570.8648846795686</c:v>
              </c:pt>
              <c:pt idx="183">
                <c:v>6387.351199559831</c:v>
              </c:pt>
              <c:pt idx="184">
                <c:v>6183.4632523302034</c:v>
              </c:pt>
              <c:pt idx="185">
                <c:v>5957.9962420483898</c:v>
              </c:pt>
              <c:pt idx="186">
                <c:v>5707.2439172848672</c:v>
              </c:pt>
              <c:pt idx="187">
                <c:v>5431.0656443595135</c:v>
              </c:pt>
              <c:pt idx="188">
                <c:v>5125.4613804770734</c:v>
              </c:pt>
              <c:pt idx="189">
                <c:v>4787.2285174082008</c:v>
              </c:pt>
              <c:pt idx="190">
                <c:v>4415.9994239628613</c:v>
              </c:pt>
              <c:pt idx="191">
                <c:v>4006.0857274945452</c:v>
              </c:pt>
              <c:pt idx="192">
                <c:v>3556.0370458440152</c:v>
              </c:pt>
              <c:pt idx="193">
                <c:v>3061.6838646917522</c:v>
              </c:pt>
              <c:pt idx="194">
                <c:v>2520.3870268249502</c:v>
              </c:pt>
              <c:pt idx="195">
                <c:v>1928.4674549556566</c:v>
              </c:pt>
              <c:pt idx="196">
                <c:v>1283.2493591315301</c:v>
              </c:pt>
              <c:pt idx="197">
                <c:v>581.30663994918359</c:v>
              </c:pt>
              <c:pt idx="198">
                <c:v>-180.78713684726665</c:v>
              </c:pt>
              <c:pt idx="199">
                <c:v>-1007.3983418896955</c:v>
              </c:pt>
            </c:numLit>
          </c:yVal>
          <c:smooth val="0"/>
        </c:ser>
        <c:ser>
          <c:idx val="5"/>
          <c:order val="5"/>
          <c:tx>
            <c:v/>
          </c:tx>
          <c:spPr>
            <a:ln w="12700">
              <a:solidFill>
                <a:srgbClr val="C0C0C0"/>
              </a:solidFill>
              <a:prstDash val="lgDash"/>
            </a:ln>
            <a:effectLst/>
          </c:spPr>
          <c:marker>
            <c:symbol val="none"/>
          </c:marker>
          <c:xVal>
            <c:numLit>
              <c:formatCode>General</c:formatCode>
              <c:ptCount val="200"/>
              <c:pt idx="0">
                <c:v>2315.6999999999998</c:v>
              </c:pt>
              <c:pt idx="1">
                <c:v>2319.8412060301575</c:v>
              </c:pt>
              <c:pt idx="2">
                <c:v>2323.9824120603016</c:v>
              </c:pt>
              <c:pt idx="3">
                <c:v>2328.1236180904525</c:v>
              </c:pt>
              <c:pt idx="4">
                <c:v>2332.2648241205957</c:v>
              </c:pt>
              <c:pt idx="5">
                <c:v>2336.4060301507543</c:v>
              </c:pt>
              <c:pt idx="6">
                <c:v>2340.5472361809052</c:v>
              </c:pt>
              <c:pt idx="7">
                <c:v>2344.6884422110547</c:v>
              </c:pt>
              <c:pt idx="8">
                <c:v>2348.829648241207</c:v>
              </c:pt>
              <c:pt idx="9">
                <c:v>2352.9708542713634</c:v>
              </c:pt>
              <c:pt idx="10">
                <c:v>2357.1120603015092</c:v>
              </c:pt>
              <c:pt idx="11">
                <c:v>2361.2532663316601</c:v>
              </c:pt>
              <c:pt idx="12">
                <c:v>2365.3944723618106</c:v>
              </c:pt>
              <c:pt idx="13">
                <c:v>2369.5356783919615</c:v>
              </c:pt>
              <c:pt idx="14">
                <c:v>2373.6768844221042</c:v>
              </c:pt>
              <c:pt idx="15">
                <c:v>2377.8180904522642</c:v>
              </c:pt>
              <c:pt idx="16">
                <c:v>2381.9592964824192</c:v>
              </c:pt>
              <c:pt idx="17">
                <c:v>2386.1005025125701</c:v>
              </c:pt>
              <c:pt idx="18">
                <c:v>2390.241708542716</c:v>
              </c:pt>
              <c:pt idx="19">
                <c:v>2394.3829145728719</c:v>
              </c:pt>
              <c:pt idx="20">
                <c:v>2398.5241206030178</c:v>
              </c:pt>
              <c:pt idx="21">
                <c:v>2402.6653266331737</c:v>
              </c:pt>
              <c:pt idx="22">
                <c:v>2406.8065326633246</c:v>
              </c:pt>
              <c:pt idx="23">
                <c:v>2410.947738693475</c:v>
              </c:pt>
              <c:pt idx="24">
                <c:v>2415.0889447236123</c:v>
              </c:pt>
              <c:pt idx="25">
                <c:v>2419.2301507537723</c:v>
              </c:pt>
              <c:pt idx="26">
                <c:v>2423.3713567839322</c:v>
              </c:pt>
              <c:pt idx="27">
                <c:v>2427.5125628140772</c:v>
              </c:pt>
              <c:pt idx="28">
                <c:v>2431.6537688442272</c:v>
              </c:pt>
              <c:pt idx="29">
                <c:v>2435.7949748743772</c:v>
              </c:pt>
              <c:pt idx="30">
                <c:v>2439.9361809045272</c:v>
              </c:pt>
              <c:pt idx="31">
                <c:v>2444.0773869346776</c:v>
              </c:pt>
              <c:pt idx="32">
                <c:v>2448.2185929648285</c:v>
              </c:pt>
              <c:pt idx="33">
                <c:v>2452.3597989949812</c:v>
              </c:pt>
              <c:pt idx="34">
                <c:v>2456.5010050251303</c:v>
              </c:pt>
              <c:pt idx="35">
                <c:v>2460.6422110552808</c:v>
              </c:pt>
              <c:pt idx="36">
                <c:v>2464.7834170854321</c:v>
              </c:pt>
              <c:pt idx="37">
                <c:v>2468.924623115583</c:v>
              </c:pt>
              <c:pt idx="38">
                <c:v>2473.0658291457285</c:v>
              </c:pt>
              <c:pt idx="39">
                <c:v>2477.2070351758848</c:v>
              </c:pt>
              <c:pt idx="40">
                <c:v>2481.3482412060357</c:v>
              </c:pt>
              <c:pt idx="41">
                <c:v>2485.4894472361866</c:v>
              </c:pt>
              <c:pt idx="42">
                <c:v>2489.6306532663375</c:v>
              </c:pt>
              <c:pt idx="43">
                <c:v>2493.7718592964902</c:v>
              </c:pt>
              <c:pt idx="44">
                <c:v>2497.9130653266393</c:v>
              </c:pt>
              <c:pt idx="45">
                <c:v>2502.0542713567897</c:v>
              </c:pt>
              <c:pt idx="46">
                <c:v>2506.1954773869411</c:v>
              </c:pt>
              <c:pt idx="47">
                <c:v>2510.3366834170897</c:v>
              </c:pt>
              <c:pt idx="48">
                <c:v>2514.4778894472397</c:v>
              </c:pt>
              <c:pt idx="49">
                <c:v>2518.6190954773942</c:v>
              </c:pt>
              <c:pt idx="50">
                <c:v>2522.7603015075451</c:v>
              </c:pt>
              <c:pt idx="51">
                <c:v>2526.901507537701</c:v>
              </c:pt>
              <c:pt idx="52">
                <c:v>2531.0427135678465</c:v>
              </c:pt>
              <c:pt idx="53">
                <c:v>2535.1839195979974</c:v>
              </c:pt>
              <c:pt idx="54">
                <c:v>2539.3251256281492</c:v>
              </c:pt>
              <c:pt idx="55">
                <c:v>2543.4663316582992</c:v>
              </c:pt>
              <c:pt idx="56">
                <c:v>2547.6075376884551</c:v>
              </c:pt>
              <c:pt idx="57">
                <c:v>2551.7487437185987</c:v>
              </c:pt>
              <c:pt idx="58">
                <c:v>2555.8899497487487</c:v>
              </c:pt>
              <c:pt idx="59">
                <c:v>2560.0311557789078</c:v>
              </c:pt>
              <c:pt idx="60">
                <c:v>2564.1723618090541</c:v>
              </c:pt>
              <c:pt idx="61">
                <c:v>2568.3135678392136</c:v>
              </c:pt>
              <c:pt idx="62">
                <c:v>2572.45477386936</c:v>
              </c:pt>
              <c:pt idx="63">
                <c:v>2576.5959798995109</c:v>
              </c:pt>
              <c:pt idx="64">
                <c:v>2580.7371859296522</c:v>
              </c:pt>
              <c:pt idx="65">
                <c:v>2584.8783919598081</c:v>
              </c:pt>
              <c:pt idx="66">
                <c:v>2589.0195979899622</c:v>
              </c:pt>
              <c:pt idx="67">
                <c:v>2593.1608040201049</c:v>
              </c:pt>
              <c:pt idx="68">
                <c:v>2597.3020100502622</c:v>
              </c:pt>
              <c:pt idx="69">
                <c:v>2601.4432160804199</c:v>
              </c:pt>
              <c:pt idx="70">
                <c:v>2605.5844221105617</c:v>
              </c:pt>
              <c:pt idx="71">
                <c:v>2609.7256281407085</c:v>
              </c:pt>
              <c:pt idx="72">
                <c:v>2613.8668341708644</c:v>
              </c:pt>
              <c:pt idx="73">
                <c:v>2618.0080402010153</c:v>
              </c:pt>
              <c:pt idx="74">
                <c:v>2622.1492462311662</c:v>
              </c:pt>
              <c:pt idx="75">
                <c:v>2626.2904522613171</c:v>
              </c:pt>
              <c:pt idx="76">
                <c:v>2630.4316582914757</c:v>
              </c:pt>
              <c:pt idx="77">
                <c:v>2634.5728643216135</c:v>
              </c:pt>
              <c:pt idx="78">
                <c:v>2638.7140703517698</c:v>
              </c:pt>
              <c:pt idx="79">
                <c:v>2642.8552763819275</c:v>
              </c:pt>
              <c:pt idx="80">
                <c:v>2646.9964824120707</c:v>
              </c:pt>
              <c:pt idx="81">
                <c:v>2651.1376884422207</c:v>
              </c:pt>
              <c:pt idx="82">
                <c:v>2655.2788944723734</c:v>
              </c:pt>
              <c:pt idx="83">
                <c:v>2659.4201005025307</c:v>
              </c:pt>
              <c:pt idx="84">
                <c:v>2663.5613065326806</c:v>
              </c:pt>
              <c:pt idx="85">
                <c:v>2667.7025125628261</c:v>
              </c:pt>
              <c:pt idx="86">
                <c:v>2671.8437185929824</c:v>
              </c:pt>
              <c:pt idx="87">
                <c:v>2675.9849246231247</c:v>
              </c:pt>
              <c:pt idx="88">
                <c:v>2680.1261306532792</c:v>
              </c:pt>
              <c:pt idx="89">
                <c:v>2684.2673366834356</c:v>
              </c:pt>
              <c:pt idx="90">
                <c:v>2688.4085427135806</c:v>
              </c:pt>
              <c:pt idx="91">
                <c:v>2692.5497487437297</c:v>
              </c:pt>
              <c:pt idx="92">
                <c:v>2696.6909547738824</c:v>
              </c:pt>
              <c:pt idx="93">
                <c:v>2700.8321608040383</c:v>
              </c:pt>
              <c:pt idx="94">
                <c:v>2704.9733668341937</c:v>
              </c:pt>
              <c:pt idx="95">
                <c:v>2709.1145728643401</c:v>
              </c:pt>
              <c:pt idx="96">
                <c:v>2713.255778894491</c:v>
              </c:pt>
              <c:pt idx="97">
                <c:v>2717.3969849246337</c:v>
              </c:pt>
              <c:pt idx="98">
                <c:v>2721.5381909547878</c:v>
              </c:pt>
              <c:pt idx="99">
                <c:v>2725.6793969849432</c:v>
              </c:pt>
              <c:pt idx="100">
                <c:v>2729.8206030150895</c:v>
              </c:pt>
              <c:pt idx="101">
                <c:v>2733.9618090452404</c:v>
              </c:pt>
              <c:pt idx="102">
                <c:v>2738.1030150753922</c:v>
              </c:pt>
              <c:pt idx="103">
                <c:v>2742.2442211055372</c:v>
              </c:pt>
              <c:pt idx="104">
                <c:v>2746.3854271356931</c:v>
              </c:pt>
              <c:pt idx="105">
                <c:v>2750.526633165839</c:v>
              </c:pt>
              <c:pt idx="106">
                <c:v>2754.6678391959899</c:v>
              </c:pt>
              <c:pt idx="107">
                <c:v>2758.8090452261458</c:v>
              </c:pt>
              <c:pt idx="108">
                <c:v>2762.9502512562972</c:v>
              </c:pt>
              <c:pt idx="109">
                <c:v>2767.0914572864558</c:v>
              </c:pt>
              <c:pt idx="110">
                <c:v>2771.2326633165985</c:v>
              </c:pt>
              <c:pt idx="111">
                <c:v>2775.3738693467494</c:v>
              </c:pt>
              <c:pt idx="112">
                <c:v>2779.5150753769012</c:v>
              </c:pt>
              <c:pt idx="113">
                <c:v>2783.6562814070453</c:v>
              </c:pt>
              <c:pt idx="114">
                <c:v>2787.7974874372017</c:v>
              </c:pt>
              <c:pt idx="115">
                <c:v>2791.938693467353</c:v>
              </c:pt>
              <c:pt idx="116">
                <c:v>2796.0798994975039</c:v>
              </c:pt>
              <c:pt idx="117">
                <c:v>2800.2211055276548</c:v>
              </c:pt>
              <c:pt idx="118">
                <c:v>2804.3623115578062</c:v>
              </c:pt>
              <c:pt idx="119">
                <c:v>2808.503517587963</c:v>
              </c:pt>
              <c:pt idx="120">
                <c:v>2812.6447236181057</c:v>
              </c:pt>
              <c:pt idx="121">
                <c:v>2816.7859296482584</c:v>
              </c:pt>
              <c:pt idx="122">
                <c:v>2820.9271356784157</c:v>
              </c:pt>
              <c:pt idx="123">
                <c:v>2825.0683417085597</c:v>
              </c:pt>
              <c:pt idx="124">
                <c:v>2829.2095477387097</c:v>
              </c:pt>
              <c:pt idx="125">
                <c:v>2833.350753768862</c:v>
              </c:pt>
              <c:pt idx="126">
                <c:v>2837.4919597990129</c:v>
              </c:pt>
              <c:pt idx="127">
                <c:v>2841.6331658291642</c:v>
              </c:pt>
              <c:pt idx="128">
                <c:v>2845.7743718593151</c:v>
              </c:pt>
              <c:pt idx="129">
                <c:v>2849.915577889476</c:v>
              </c:pt>
              <c:pt idx="130">
                <c:v>2854.0567839196137</c:v>
              </c:pt>
              <c:pt idx="131">
                <c:v>2858.1979899497637</c:v>
              </c:pt>
              <c:pt idx="132">
                <c:v>2862.3391959799233</c:v>
              </c:pt>
              <c:pt idx="133">
                <c:v>2866.4804020100692</c:v>
              </c:pt>
              <c:pt idx="134">
                <c:v>2870.6216080402201</c:v>
              </c:pt>
              <c:pt idx="135">
                <c:v>2874.762814070371</c:v>
              </c:pt>
              <c:pt idx="136">
                <c:v>2878.9040201005218</c:v>
              </c:pt>
              <c:pt idx="137">
                <c:v>2883.0452261306727</c:v>
              </c:pt>
              <c:pt idx="138">
                <c:v>2887.1864321608191</c:v>
              </c:pt>
              <c:pt idx="139">
                <c:v>2891.3276381909745</c:v>
              </c:pt>
              <c:pt idx="140">
                <c:v>2895.4688442211209</c:v>
              </c:pt>
              <c:pt idx="141">
                <c:v>2899.6100502512772</c:v>
              </c:pt>
              <c:pt idx="142">
                <c:v>2903.7512562814354</c:v>
              </c:pt>
              <c:pt idx="143">
                <c:v>2907.8924623115822</c:v>
              </c:pt>
              <c:pt idx="144">
                <c:v>2912.033668341729</c:v>
              </c:pt>
              <c:pt idx="145">
                <c:v>2916.1748743718799</c:v>
              </c:pt>
              <c:pt idx="146">
                <c:v>2920.3160804020308</c:v>
              </c:pt>
              <c:pt idx="147">
                <c:v>2924.4572864321822</c:v>
              </c:pt>
              <c:pt idx="148">
                <c:v>2928.5984924623317</c:v>
              </c:pt>
              <c:pt idx="149">
                <c:v>2932.7396984924835</c:v>
              </c:pt>
              <c:pt idx="150">
                <c:v>2936.8809045226344</c:v>
              </c:pt>
              <c:pt idx="151">
                <c:v>2941.0221105527862</c:v>
              </c:pt>
              <c:pt idx="152">
                <c:v>2945.1633165829439</c:v>
              </c:pt>
              <c:pt idx="153">
                <c:v>2949.3045226130871</c:v>
              </c:pt>
              <c:pt idx="154">
                <c:v>2953.4457286432412</c:v>
              </c:pt>
              <c:pt idx="155">
                <c:v>2957.5869346733912</c:v>
              </c:pt>
              <c:pt idx="156">
                <c:v>2961.7281407035398</c:v>
              </c:pt>
              <c:pt idx="157">
                <c:v>2965.8693467336911</c:v>
              </c:pt>
              <c:pt idx="158">
                <c:v>2970.0105527638416</c:v>
              </c:pt>
              <c:pt idx="159">
                <c:v>2974.1517587939925</c:v>
              </c:pt>
              <c:pt idx="160">
                <c:v>2978.2929648241434</c:v>
              </c:pt>
              <c:pt idx="161">
                <c:v>2982.4341708543002</c:v>
              </c:pt>
              <c:pt idx="162">
                <c:v>2986.5753768844552</c:v>
              </c:pt>
              <c:pt idx="163">
                <c:v>2990.7165829145961</c:v>
              </c:pt>
              <c:pt idx="164">
                <c:v>2994.857788944747</c:v>
              </c:pt>
              <c:pt idx="165">
                <c:v>2998.9989949748979</c:v>
              </c:pt>
              <c:pt idx="166">
                <c:v>3003.1402010050488</c:v>
              </c:pt>
              <c:pt idx="167">
                <c:v>3007.2814070352001</c:v>
              </c:pt>
              <c:pt idx="168">
                <c:v>3011.4226130653506</c:v>
              </c:pt>
              <c:pt idx="169">
                <c:v>3015.5638190955015</c:v>
              </c:pt>
              <c:pt idx="170">
                <c:v>3019.7050251256442</c:v>
              </c:pt>
              <c:pt idx="171">
                <c:v>3023.8462311558033</c:v>
              </c:pt>
              <c:pt idx="172">
                <c:v>3027.9874371859541</c:v>
              </c:pt>
              <c:pt idx="173">
                <c:v>3032.1286432161037</c:v>
              </c:pt>
              <c:pt idx="174">
                <c:v>3036.2698492462537</c:v>
              </c:pt>
              <c:pt idx="175">
                <c:v>3040.4110552764168</c:v>
              </c:pt>
              <c:pt idx="176">
                <c:v>3044.5522613065577</c:v>
              </c:pt>
              <c:pt idx="177">
                <c:v>3048.6934673367086</c:v>
              </c:pt>
              <c:pt idx="178">
                <c:v>3052.8346733668595</c:v>
              </c:pt>
              <c:pt idx="179">
                <c:v>3056.9758793970104</c:v>
              </c:pt>
              <c:pt idx="180">
                <c:v>3061.1170854271563</c:v>
              </c:pt>
              <c:pt idx="181">
                <c:v>3065.2582914573072</c:v>
              </c:pt>
              <c:pt idx="182">
                <c:v>3069.3994974874672</c:v>
              </c:pt>
              <c:pt idx="183">
                <c:v>3073.540703517614</c:v>
              </c:pt>
              <c:pt idx="184">
                <c:v>3077.6819095477649</c:v>
              </c:pt>
              <c:pt idx="185">
                <c:v>3081.823115577924</c:v>
              </c:pt>
              <c:pt idx="186">
                <c:v>3085.9643216080667</c:v>
              </c:pt>
              <c:pt idx="187">
                <c:v>3090.1055276382176</c:v>
              </c:pt>
              <c:pt idx="188">
                <c:v>3094.2467336683685</c:v>
              </c:pt>
              <c:pt idx="189">
                <c:v>3098.3879396985212</c:v>
              </c:pt>
              <c:pt idx="190">
                <c:v>3102.5291457286648</c:v>
              </c:pt>
              <c:pt idx="191">
                <c:v>3106.6703517588207</c:v>
              </c:pt>
              <c:pt idx="192">
                <c:v>3110.8115577889789</c:v>
              </c:pt>
              <c:pt idx="193">
                <c:v>3114.9527638191262</c:v>
              </c:pt>
              <c:pt idx="194">
                <c:v>3119.0939698492762</c:v>
              </c:pt>
              <c:pt idx="195">
                <c:v>3123.2351758794321</c:v>
              </c:pt>
              <c:pt idx="196">
                <c:v>3127.3763819095761</c:v>
              </c:pt>
              <c:pt idx="197">
                <c:v>3131.5175879397266</c:v>
              </c:pt>
              <c:pt idx="198">
                <c:v>3135.6587939698757</c:v>
              </c:pt>
              <c:pt idx="199">
                <c:v>3139.8000000000302</c:v>
              </c:pt>
            </c:numLit>
          </c:xVal>
          <c:yVal>
            <c:numLit>
              <c:formatCode>General</c:formatCode>
              <c:ptCount val="200"/>
              <c:pt idx="0">
                <c:v>28617.207698662725</c:v>
              </c:pt>
              <c:pt idx="1">
                <c:v>28638.93159962742</c:v>
              </c:pt>
              <c:pt idx="2">
                <c:v>28679.58907210124</c:v>
              </c:pt>
              <c:pt idx="3">
                <c:v>28736.620239930278</c:v>
              </c:pt>
              <c:pt idx="4">
                <c:v>28807.777621886216</c:v>
              </c:pt>
              <c:pt idx="5">
                <c:v>28892.830364554837</c:v>
              </c:pt>
              <c:pt idx="6">
                <c:v>28989.385628880882</c:v>
              </c:pt>
              <c:pt idx="7">
                <c:v>29095.95293661255</c:v>
              </c:pt>
              <c:pt idx="8">
                <c:v>29210.457675516038</c:v>
              </c:pt>
              <c:pt idx="9">
                <c:v>29331.063492633275</c:v>
              </c:pt>
              <c:pt idx="10">
                <c:v>29456.025604463735</c:v>
              </c:pt>
              <c:pt idx="11">
                <c:v>29583.879409840381</c:v>
              </c:pt>
              <c:pt idx="12">
                <c:v>29712.393359368696</c:v>
              </c:pt>
              <c:pt idx="13">
                <c:v>29841.010698001672</c:v>
              </c:pt>
              <c:pt idx="14">
                <c:v>29967.540230716477</c:v>
              </c:pt>
              <c:pt idx="15">
                <c:v>30090.44185253622</c:v>
              </c:pt>
              <c:pt idx="16">
                <c:v>30208.283261109405</c:v>
              </c:pt>
              <c:pt idx="17">
                <c:v>30321.301930821137</c:v>
              </c:pt>
              <c:pt idx="18">
                <c:v>30427.620665931496</c:v>
              </c:pt>
              <c:pt idx="19">
                <c:v>30527.611069988452</c:v>
              </c:pt>
              <c:pt idx="20">
                <c:v>30619.72879712499</c:v>
              </c:pt>
              <c:pt idx="21">
                <c:v>30703.359660472488</c:v>
              </c:pt>
              <c:pt idx="22">
                <c:v>30777.236571319532</c:v>
              </c:pt>
              <c:pt idx="23">
                <c:v>30842.946841149169</c:v>
              </c:pt>
              <c:pt idx="24">
                <c:v>30898.296838045193</c:v>
              </c:pt>
              <c:pt idx="25">
                <c:v>30946.268543532122</c:v>
              </c:pt>
              <c:pt idx="26">
                <c:v>30982.735774349647</c:v>
              </c:pt>
              <c:pt idx="27">
                <c:v>31011.117250141142</c:v>
              </c:pt>
              <c:pt idx="28">
                <c:v>31028.831131203195</c:v>
              </c:pt>
              <c:pt idx="29">
                <c:v>31037.021351136813</c:v>
              </c:pt>
              <c:pt idx="30">
                <c:v>31037.516965911018</c:v>
              </c:pt>
              <c:pt idx="31">
                <c:v>31028.158684519505</c:v>
              </c:pt>
              <c:pt idx="32">
                <c:v>31009.603294761961</c:v>
              </c:pt>
              <c:pt idx="33">
                <c:v>30984.393095406562</c:v>
              </c:pt>
              <c:pt idx="34">
                <c:v>30948.785023524633</c:v>
              </c:pt>
              <c:pt idx="35">
                <c:v>30907.006273353047</c:v>
              </c:pt>
              <c:pt idx="36">
                <c:v>30856.969136052649</c:v>
              </c:pt>
              <c:pt idx="37">
                <c:v>30799.533492553233</c:v>
              </c:pt>
              <c:pt idx="38">
                <c:v>30736.771466429956</c:v>
              </c:pt>
              <c:pt idx="39">
                <c:v>30667.664673045896</c:v>
              </c:pt>
              <c:pt idx="40">
                <c:v>30592.246044002233</c:v>
              </c:pt>
              <c:pt idx="41">
                <c:v>30511.970666019097</c:v>
              </c:pt>
              <c:pt idx="42">
                <c:v>30426.947544388</c:v>
              </c:pt>
              <c:pt idx="43">
                <c:v>30336.989605587627</c:v>
              </c:pt>
              <c:pt idx="44">
                <c:v>30243.808521130752</c:v>
              </c:pt>
              <c:pt idx="45">
                <c:v>30146.69627469228</c:v>
              </c:pt>
              <c:pt idx="46">
                <c:v>30045.237353685607</c:v>
              </c:pt>
              <c:pt idx="47">
                <c:v>29941.835666803374</c:v>
              </c:pt>
              <c:pt idx="48">
                <c:v>29836.043526530084</c:v>
              </c:pt>
              <c:pt idx="49">
                <c:v>29727.73535036364</c:v>
              </c:pt>
              <c:pt idx="50">
                <c:v>29618.872911125844</c:v>
              </c:pt>
              <c:pt idx="51">
                <c:v>29507.92789377693</c:v>
              </c:pt>
              <c:pt idx="52">
                <c:v>29395.6648893975</c:v>
              </c:pt>
              <c:pt idx="53">
                <c:v>29283.49707557982</c:v>
              </c:pt>
              <c:pt idx="54">
                <c:v>29170.886896674874</c:v>
              </c:pt>
              <c:pt idx="55">
                <c:v>29058.559478129944</c:v>
              </c:pt>
              <c:pt idx="56">
                <c:v>28946.306967946428</c:v>
              </c:pt>
              <c:pt idx="57">
                <c:v>28834.750429168555</c:v>
              </c:pt>
              <c:pt idx="58">
                <c:v>28723.796301615555</c:v>
              </c:pt>
              <c:pt idx="59">
                <c:v>28614.356274430396</c:v>
              </c:pt>
              <c:pt idx="60">
                <c:v>28506.364134766227</c:v>
              </c:pt>
              <c:pt idx="61">
                <c:v>28400.045582412709</c:v>
              </c:pt>
              <c:pt idx="62">
                <c:v>28295.460733992324</c:v>
              </c:pt>
              <c:pt idx="63">
                <c:v>28192.905792860452</c:v>
              </c:pt>
              <c:pt idx="64">
                <c:v>28092.5766830879</c:v>
              </c:pt>
              <c:pt idx="65">
                <c:v>27994.538712229867</c:v>
              </c:pt>
              <c:pt idx="66">
                <c:v>27899.041714654337</c:v>
              </c:pt>
              <c:pt idx="67">
                <c:v>27806.213416419854</c:v>
              </c:pt>
              <c:pt idx="68">
                <c:v>27715.919217119492</c:v>
              </c:pt>
              <c:pt idx="69">
                <c:v>27628.951386759905</c:v>
              </c:pt>
              <c:pt idx="70">
                <c:v>27544.833979294017</c:v>
              </c:pt>
              <c:pt idx="71">
                <c:v>27463.701642116332</c:v>
              </c:pt>
              <c:pt idx="72">
                <c:v>27385.94497005994</c:v>
              </c:pt>
              <c:pt idx="73">
                <c:v>27310.89932146715</c:v>
              </c:pt>
              <c:pt idx="74">
                <c:v>27239.00583579297</c:v>
              </c:pt>
              <c:pt idx="75">
                <c:v>27171.034478031212</c:v>
              </c:pt>
              <c:pt idx="76">
                <c:v>27105.80918077079</c:v>
              </c:pt>
              <c:pt idx="77">
                <c:v>27045.683598035652</c:v>
              </c:pt>
              <c:pt idx="78">
                <c:v>26987.087644605104</c:v>
              </c:pt>
              <c:pt idx="79">
                <c:v>26932.694869588944</c:v>
              </c:pt>
              <c:pt idx="80">
                <c:v>26881.846857689488</c:v>
              </c:pt>
              <c:pt idx="81">
                <c:v>26833.648902924509</c:v>
              </c:pt>
              <c:pt idx="82">
                <c:v>26790.02491193511</c:v>
              </c:pt>
              <c:pt idx="83">
                <c:v>26749.349829998922</c:v>
              </c:pt>
              <c:pt idx="84">
                <c:v>26712.668203506084</c:v>
              </c:pt>
              <c:pt idx="85">
                <c:v>26678.026883401984</c:v>
              </c:pt>
              <c:pt idx="86">
                <c:v>26647.697755419722</c:v>
              </c:pt>
              <c:pt idx="87">
                <c:v>26621.451330454751</c:v>
              </c:pt>
              <c:pt idx="88">
                <c:v>26598.010504326296</c:v>
              </c:pt>
              <c:pt idx="89">
                <c:v>26578.172390561434</c:v>
              </c:pt>
              <c:pt idx="90">
                <c:v>26561.986006558123</c:v>
              </c:pt>
              <c:pt idx="91">
                <c:v>26549.810925439753</c:v>
              </c:pt>
              <c:pt idx="92">
                <c:v>26538.690593739346</c:v>
              </c:pt>
              <c:pt idx="93">
                <c:v>26533.159004192956</c:v>
              </c:pt>
              <c:pt idx="94">
                <c:v>26531.32640907148</c:v>
              </c:pt>
              <c:pt idx="95">
                <c:v>26532.486615432063</c:v>
              </c:pt>
              <c:pt idx="96">
                <c:v>26537.552239525856</c:v>
              </c:pt>
              <c:pt idx="97">
                <c:v>26545.268031719468</c:v>
              </c:pt>
              <c:pt idx="98">
                <c:v>26557.622601569099</c:v>
              </c:pt>
              <c:pt idx="99">
                <c:v>26572.653889546917</c:v>
              </c:pt>
              <c:pt idx="100">
                <c:v>26591.811021668316</c:v>
              </c:pt>
              <c:pt idx="101">
                <c:v>26613.678573861253</c:v>
              </c:pt>
              <c:pt idx="102">
                <c:v>26641.626493710577</c:v>
              </c:pt>
              <c:pt idx="103">
                <c:v>26669.861789358001</c:v>
              </c:pt>
              <c:pt idx="104">
                <c:v>26703.828598496351</c:v>
              </c:pt>
              <c:pt idx="105">
                <c:v>26739.580242194505</c:v>
              </c:pt>
              <c:pt idx="106">
                <c:v>26781.364648846236</c:v>
              </c:pt>
              <c:pt idx="107">
                <c:v>26826.155050678404</c:v>
              </c:pt>
              <c:pt idx="108">
                <c:v>26873.989175373859</c:v>
              </c:pt>
              <c:pt idx="109">
                <c:v>26926.335218283912</c:v>
              </c:pt>
              <c:pt idx="110">
                <c:v>26981.944187107725</c:v>
              </c:pt>
              <c:pt idx="111">
                <c:v>27041.907745119865</c:v>
              </c:pt>
              <c:pt idx="112">
                <c:v>27105.328913213874</c:v>
              </c:pt>
              <c:pt idx="113">
                <c:v>27172.945870996515</c:v>
              </c:pt>
              <c:pt idx="114">
                <c:v>27244.871885194538</c:v>
              </c:pt>
              <c:pt idx="115">
                <c:v>27320.05633904985</c:v>
              </c:pt>
              <c:pt idx="116">
                <c:v>27399.773696984914</c:v>
              </c:pt>
              <c:pt idx="117">
                <c:v>27483.146212217347</c:v>
              </c:pt>
              <c:pt idx="118">
                <c:v>27571.095867548782</c:v>
              </c:pt>
              <c:pt idx="119">
                <c:v>27662.769595650701</c:v>
              </c:pt>
              <c:pt idx="120">
                <c:v>27759.203436663745</c:v>
              </c:pt>
              <c:pt idx="121">
                <c:v>27858.687628311382</c:v>
              </c:pt>
              <c:pt idx="122">
                <c:v>27962.003705444469</c:v>
              </c:pt>
              <c:pt idx="123">
                <c:v>28069.604548939213</c:v>
              </c:pt>
              <c:pt idx="124">
                <c:v>28180.867788738324</c:v>
              </c:pt>
              <c:pt idx="125">
                <c:v>28296.023462016288</c:v>
              </c:pt>
              <c:pt idx="126">
                <c:v>28415.225429734935</c:v>
              </c:pt>
              <c:pt idx="127">
                <c:v>28537.855645816817</c:v>
              </c:pt>
              <c:pt idx="128">
                <c:v>28664.184353795994</c:v>
              </c:pt>
              <c:pt idx="129">
                <c:v>28793.980809703735</c:v>
              </c:pt>
              <c:pt idx="130">
                <c:v>28927.058718443281</c:v>
              </c:pt>
              <c:pt idx="131">
                <c:v>29063.367348403197</c:v>
              </c:pt>
              <c:pt idx="132">
                <c:v>29202.650695915716</c:v>
              </c:pt>
              <c:pt idx="133">
                <c:v>29344.718283031805</c:v>
              </c:pt>
              <c:pt idx="134">
                <c:v>29489.473383522669</c:v>
              </c:pt>
              <c:pt idx="135">
                <c:v>29636.704736883432</c:v>
              </c:pt>
              <c:pt idx="136">
                <c:v>29786.298172180519</c:v>
              </c:pt>
              <c:pt idx="137">
                <c:v>29937.694751620245</c:v>
              </c:pt>
              <c:pt idx="138">
                <c:v>30089.753275449497</c:v>
              </c:pt>
              <c:pt idx="139">
                <c:v>30244.426329068665</c:v>
              </c:pt>
              <c:pt idx="140">
                <c:v>30399.511402880416</c:v>
              </c:pt>
              <c:pt idx="141">
                <c:v>30555.346903795311</c:v>
              </c:pt>
              <c:pt idx="142">
                <c:v>30711.748187184628</c:v>
              </c:pt>
              <c:pt idx="143">
                <c:v>30867.855857681156</c:v>
              </c:pt>
              <c:pt idx="144">
                <c:v>31022.88371663454</c:v>
              </c:pt>
              <c:pt idx="145">
                <c:v>31177.901145809261</c:v>
              </c:pt>
              <c:pt idx="146">
                <c:v>31332.181165526708</c:v>
              </c:pt>
              <c:pt idx="147">
                <c:v>31483.783972353471</c:v>
              </c:pt>
              <c:pt idx="148">
                <c:v>31632.339979498352</c:v>
              </c:pt>
              <c:pt idx="149">
                <c:v>31779.018023292731</c:v>
              </c:pt>
              <c:pt idx="150">
                <c:v>31922.788258022101</c:v>
              </c:pt>
              <c:pt idx="151">
                <c:v>32062.641548663156</c:v>
              </c:pt>
              <c:pt idx="152">
                <c:v>32197.588189037178</c:v>
              </c:pt>
              <c:pt idx="153">
                <c:v>32329.244752080143</c:v>
              </c:pt>
              <c:pt idx="154">
                <c:v>32455.18809351448</c:v>
              </c:pt>
              <c:pt idx="155">
                <c:v>32575.639667294286</c:v>
              </c:pt>
              <c:pt idx="156">
                <c:v>32687.457419973594</c:v>
              </c:pt>
              <c:pt idx="157">
                <c:v>32793.774438576402</c:v>
              </c:pt>
              <c:pt idx="158">
                <c:v>32892.207096450002</c:v>
              </c:pt>
              <c:pt idx="159">
                <c:v>32981.551842465204</c:v>
              </c:pt>
              <c:pt idx="160">
                <c:v>33065.630470710574</c:v>
              </c:pt>
              <c:pt idx="161">
                <c:v>33137.863868090397</c:v>
              </c:pt>
              <c:pt idx="162">
                <c:v>33202.153741591857</c:v>
              </c:pt>
              <c:pt idx="163">
                <c:v>33251.656011622137</c:v>
              </c:pt>
              <c:pt idx="164">
                <c:v>33295.421511324203</c:v>
              </c:pt>
              <c:pt idx="165">
                <c:v>33327.403122302356</c:v>
              </c:pt>
              <c:pt idx="166">
                <c:v>33345.672693231725</c:v>
              </c:pt>
              <c:pt idx="167">
                <c:v>33352.891771023875</c:v>
              </c:pt>
              <c:pt idx="168">
                <c:v>33345.833089526881</c:v>
              </c:pt>
              <c:pt idx="169">
                <c:v>33328.140143809724</c:v>
              </c:pt>
              <c:pt idx="170">
                <c:v>33294.686697899015</c:v>
              </c:pt>
              <c:pt idx="171">
                <c:v>33251.363457618514</c:v>
              </c:pt>
              <c:pt idx="172">
                <c:v>33187.727147050078</c:v>
              </c:pt>
              <c:pt idx="173">
                <c:v>33116.007478320149</c:v>
              </c:pt>
              <c:pt idx="174">
                <c:v>33027.790289791155</c:v>
              </c:pt>
              <c:pt idx="175">
                <c:v>32922.180473115186</c:v>
              </c:pt>
              <c:pt idx="176">
                <c:v>32804.400141770035</c:v>
              </c:pt>
              <c:pt idx="177">
                <c:v>32672.285507270517</c:v>
              </c:pt>
              <c:pt idx="178">
                <c:v>32524.918726729509</c:v>
              </c:pt>
              <c:pt idx="179">
                <c:v>32363.530783714708</c:v>
              </c:pt>
              <c:pt idx="180">
                <c:v>32185.608543086812</c:v>
              </c:pt>
              <c:pt idx="181">
                <c:v>31997.496659427597</c:v>
              </c:pt>
              <c:pt idx="182">
                <c:v>31795.760208020562</c:v>
              </c:pt>
              <c:pt idx="183">
                <c:v>31581.848899208118</c:v>
              </c:pt>
              <c:pt idx="184">
                <c:v>31357.041123112693</c:v>
              </c:pt>
              <c:pt idx="185">
                <c:v>31121.6326594928</c:v>
              </c:pt>
              <c:pt idx="186">
                <c:v>30878.410377563556</c:v>
              </c:pt>
              <c:pt idx="187">
                <c:v>30626.585168236586</c:v>
              </c:pt>
              <c:pt idx="188">
                <c:v>30369.216970597339</c:v>
              </c:pt>
              <c:pt idx="189">
                <c:v>30108.557928567097</c:v>
              </c:pt>
              <c:pt idx="190">
                <c:v>29844.014848071296</c:v>
              </c:pt>
              <c:pt idx="191">
                <c:v>29580.304915774279</c:v>
              </c:pt>
              <c:pt idx="192">
                <c:v>29317.896967373621</c:v>
              </c:pt>
              <c:pt idx="193">
                <c:v>29059.968609592452</c:v>
              </c:pt>
              <c:pt idx="194">
                <c:v>28808.156731418356</c:v>
              </c:pt>
              <c:pt idx="195">
                <c:v>28565.127780958333</c:v>
              </c:pt>
              <c:pt idx="196">
                <c:v>28332.534558712756</c:v>
              </c:pt>
              <c:pt idx="197">
                <c:v>28112.769813200135</c:v>
              </c:pt>
              <c:pt idx="198">
                <c:v>27908.216267699456</c:v>
              </c:pt>
              <c:pt idx="199">
                <c:v>27722.186220343418</c:v>
              </c:pt>
            </c:numLit>
          </c:yVal>
          <c:smooth val="0"/>
        </c:ser>
        <c:ser>
          <c:idx val="6"/>
          <c:order val="6"/>
          <c:tx>
            <c:v/>
          </c:tx>
          <c:spPr>
            <a:ln w="12700">
              <a:solidFill>
                <a:srgbClr val="000000"/>
              </a:solidFill>
              <a:prstDash val="solid"/>
            </a:ln>
            <a:effectLst/>
          </c:spPr>
          <c:marker>
            <c:symbol val="none"/>
          </c:marker>
          <c:xVal>
            <c:numRef>
              <c:f>XLSTAT_20210211_171000_1_HID!xdata1</c:f>
              <c:numCache>
                <c:formatCode>General</c:formatCode>
                <c:ptCount val="200"/>
                <c:pt idx="0">
                  <c:v>2315.6999999999998</c:v>
                </c:pt>
                <c:pt idx="1">
                  <c:v>2319.8412060302071</c:v>
                </c:pt>
                <c:pt idx="2">
                  <c:v>2323.9824120604012</c:v>
                </c:pt>
                <c:pt idx="3">
                  <c:v>2328.1236180906003</c:v>
                </c:pt>
                <c:pt idx="4">
                  <c:v>2332.2648241207899</c:v>
                </c:pt>
                <c:pt idx="5">
                  <c:v>2336.4060301509999</c:v>
                </c:pt>
                <c:pt idx="6">
                  <c:v>2340.5472361812012</c:v>
                </c:pt>
                <c:pt idx="7">
                  <c:v>2344.6884422113999</c:v>
                </c:pt>
                <c:pt idx="8">
                  <c:v>2348.8296482416004</c:v>
                </c:pt>
                <c:pt idx="9">
                  <c:v>2352.9708542718022</c:v>
                </c:pt>
                <c:pt idx="10">
                  <c:v>2357.1120603019999</c:v>
                </c:pt>
                <c:pt idx="11">
                  <c:v>2361.2532663322022</c:v>
                </c:pt>
                <c:pt idx="12">
                  <c:v>2365.3944723624022</c:v>
                </c:pt>
                <c:pt idx="13">
                  <c:v>2369.5356783926004</c:v>
                </c:pt>
                <c:pt idx="14">
                  <c:v>2373.67688442279</c:v>
                </c:pt>
                <c:pt idx="15">
                  <c:v>2377.818090453</c:v>
                </c:pt>
                <c:pt idx="16">
                  <c:v>2381.9592964832045</c:v>
                </c:pt>
                <c:pt idx="17">
                  <c:v>2386.1005025134045</c:v>
                </c:pt>
                <c:pt idx="18">
                  <c:v>2390.2417085436</c:v>
                </c:pt>
                <c:pt idx="19">
                  <c:v>2394.3829145738046</c:v>
                </c:pt>
                <c:pt idx="20">
                  <c:v>2398.524120604</c:v>
                </c:pt>
                <c:pt idx="21">
                  <c:v>2402.665326634205</c:v>
                </c:pt>
                <c:pt idx="22">
                  <c:v>2406.806532664405</c:v>
                </c:pt>
                <c:pt idx="23">
                  <c:v>2410.9477386946</c:v>
                </c:pt>
                <c:pt idx="24">
                  <c:v>2415.0889447247914</c:v>
                </c:pt>
                <c:pt idx="25">
                  <c:v>2419.2301507549996</c:v>
                </c:pt>
                <c:pt idx="26">
                  <c:v>2423.3713567852096</c:v>
                </c:pt>
                <c:pt idx="27">
                  <c:v>2427.5125628154046</c:v>
                </c:pt>
                <c:pt idx="28">
                  <c:v>2431.6537688456001</c:v>
                </c:pt>
                <c:pt idx="29">
                  <c:v>2435.7949748758001</c:v>
                </c:pt>
                <c:pt idx="30">
                  <c:v>2439.9361809060001</c:v>
                </c:pt>
                <c:pt idx="31">
                  <c:v>2444.0773869362056</c:v>
                </c:pt>
                <c:pt idx="32">
                  <c:v>2448.2185929664001</c:v>
                </c:pt>
                <c:pt idx="33">
                  <c:v>2452.3597989966006</c:v>
                </c:pt>
                <c:pt idx="34">
                  <c:v>2456.5010050267997</c:v>
                </c:pt>
                <c:pt idx="35">
                  <c:v>2460.6422110569997</c:v>
                </c:pt>
                <c:pt idx="36">
                  <c:v>2464.7834170872002</c:v>
                </c:pt>
                <c:pt idx="37">
                  <c:v>2468.9246231173997</c:v>
                </c:pt>
                <c:pt idx="38">
                  <c:v>2473.0658291475997</c:v>
                </c:pt>
                <c:pt idx="39">
                  <c:v>2477.2070351777998</c:v>
                </c:pt>
                <c:pt idx="40">
                  <c:v>2481.3482412079998</c:v>
                </c:pt>
                <c:pt idx="41">
                  <c:v>2485.4894472382002</c:v>
                </c:pt>
                <c:pt idx="42">
                  <c:v>2489.6306532684002</c:v>
                </c:pt>
                <c:pt idx="43">
                  <c:v>2493.7718592985998</c:v>
                </c:pt>
                <c:pt idx="44">
                  <c:v>2497.9130653287998</c:v>
                </c:pt>
                <c:pt idx="45">
                  <c:v>2502.0542713589998</c:v>
                </c:pt>
                <c:pt idx="46">
                  <c:v>2506.1954773892012</c:v>
                </c:pt>
                <c:pt idx="47">
                  <c:v>2510.3366834193998</c:v>
                </c:pt>
                <c:pt idx="48">
                  <c:v>2514.4778894495998</c:v>
                </c:pt>
                <c:pt idx="49">
                  <c:v>2518.6190954797999</c:v>
                </c:pt>
                <c:pt idx="50">
                  <c:v>2522.7603015099999</c:v>
                </c:pt>
                <c:pt idx="51">
                  <c:v>2526.9015075402081</c:v>
                </c:pt>
                <c:pt idx="52">
                  <c:v>2531.0427135704081</c:v>
                </c:pt>
                <c:pt idx="53">
                  <c:v>2535.1839196006003</c:v>
                </c:pt>
                <c:pt idx="54">
                  <c:v>2539.3251256308022</c:v>
                </c:pt>
                <c:pt idx="55">
                  <c:v>2543.4663316609999</c:v>
                </c:pt>
                <c:pt idx="56">
                  <c:v>2547.6075376912022</c:v>
                </c:pt>
                <c:pt idx="57">
                  <c:v>2551.7487437213949</c:v>
                </c:pt>
                <c:pt idx="58">
                  <c:v>2555.8899497515999</c:v>
                </c:pt>
                <c:pt idx="59">
                  <c:v>2560.0311557818022</c:v>
                </c:pt>
                <c:pt idx="60">
                  <c:v>2564.172361812</c:v>
                </c:pt>
                <c:pt idx="61">
                  <c:v>2568.3135678422086</c:v>
                </c:pt>
                <c:pt idx="62">
                  <c:v>2572.4547738724091</c:v>
                </c:pt>
                <c:pt idx="63">
                  <c:v>2576.5959799026</c:v>
                </c:pt>
                <c:pt idx="64">
                  <c:v>2580.7371859328</c:v>
                </c:pt>
                <c:pt idx="65">
                  <c:v>2584.878391963</c:v>
                </c:pt>
                <c:pt idx="66">
                  <c:v>2589.019597993205</c:v>
                </c:pt>
                <c:pt idx="67">
                  <c:v>2593.1608040233987</c:v>
                </c:pt>
                <c:pt idx="68">
                  <c:v>2597.3020100536</c:v>
                </c:pt>
                <c:pt idx="69">
                  <c:v>2601.4432160838046</c:v>
                </c:pt>
                <c:pt idx="70">
                  <c:v>2605.5844221139987</c:v>
                </c:pt>
                <c:pt idx="71">
                  <c:v>2609.7256281441987</c:v>
                </c:pt>
                <c:pt idx="72">
                  <c:v>2613.8668341743996</c:v>
                </c:pt>
                <c:pt idx="73">
                  <c:v>2618.0080402045996</c:v>
                </c:pt>
                <c:pt idx="74">
                  <c:v>2622.1492462347996</c:v>
                </c:pt>
                <c:pt idx="75">
                  <c:v>2626.2904522650001</c:v>
                </c:pt>
                <c:pt idx="76">
                  <c:v>2630.4316582952056</c:v>
                </c:pt>
                <c:pt idx="77">
                  <c:v>2634.5728643253997</c:v>
                </c:pt>
                <c:pt idx="78">
                  <c:v>2638.7140703555997</c:v>
                </c:pt>
                <c:pt idx="79">
                  <c:v>2642.8552763858056</c:v>
                </c:pt>
                <c:pt idx="80">
                  <c:v>2646.9964824159997</c:v>
                </c:pt>
                <c:pt idx="81">
                  <c:v>2651.1376884461997</c:v>
                </c:pt>
                <c:pt idx="82">
                  <c:v>2655.2788944763997</c:v>
                </c:pt>
                <c:pt idx="83">
                  <c:v>2659.4201005066006</c:v>
                </c:pt>
                <c:pt idx="84">
                  <c:v>2663.5613065368066</c:v>
                </c:pt>
                <c:pt idx="85">
                  <c:v>2667.7025125670002</c:v>
                </c:pt>
                <c:pt idx="86">
                  <c:v>2671.843718597207</c:v>
                </c:pt>
                <c:pt idx="87">
                  <c:v>2675.9849246273998</c:v>
                </c:pt>
                <c:pt idx="88">
                  <c:v>2680.1261306575998</c:v>
                </c:pt>
                <c:pt idx="89">
                  <c:v>2684.2673366878012</c:v>
                </c:pt>
                <c:pt idx="90">
                  <c:v>2688.4085427179998</c:v>
                </c:pt>
                <c:pt idx="91">
                  <c:v>2692.5497487481998</c:v>
                </c:pt>
                <c:pt idx="92">
                  <c:v>2696.6909547784012</c:v>
                </c:pt>
                <c:pt idx="93">
                  <c:v>2700.8321608086012</c:v>
                </c:pt>
                <c:pt idx="94">
                  <c:v>2704.973366838808</c:v>
                </c:pt>
                <c:pt idx="95">
                  <c:v>2709.1145728690012</c:v>
                </c:pt>
                <c:pt idx="96">
                  <c:v>2713.2557788992012</c:v>
                </c:pt>
                <c:pt idx="97">
                  <c:v>2717.3969849293999</c:v>
                </c:pt>
                <c:pt idx="98">
                  <c:v>2721.5381909596003</c:v>
                </c:pt>
                <c:pt idx="99">
                  <c:v>2725.6793969898022</c:v>
                </c:pt>
                <c:pt idx="100">
                  <c:v>2729.8206030199999</c:v>
                </c:pt>
                <c:pt idx="101">
                  <c:v>2733.9618090501999</c:v>
                </c:pt>
                <c:pt idx="102">
                  <c:v>2738.1030150804022</c:v>
                </c:pt>
                <c:pt idx="103">
                  <c:v>2742.2442211105949</c:v>
                </c:pt>
                <c:pt idx="104">
                  <c:v>2746.3854271407999</c:v>
                </c:pt>
                <c:pt idx="105">
                  <c:v>2750.526633171</c:v>
                </c:pt>
                <c:pt idx="106">
                  <c:v>2754.6678392012</c:v>
                </c:pt>
                <c:pt idx="107">
                  <c:v>2758.8090452314045</c:v>
                </c:pt>
                <c:pt idx="108">
                  <c:v>2762.9502512616</c:v>
                </c:pt>
                <c:pt idx="109">
                  <c:v>2767.0914572918045</c:v>
                </c:pt>
                <c:pt idx="110">
                  <c:v>2771.2326633219955</c:v>
                </c:pt>
                <c:pt idx="111">
                  <c:v>2775.3738693522</c:v>
                </c:pt>
                <c:pt idx="112">
                  <c:v>2779.515075382405</c:v>
                </c:pt>
                <c:pt idx="113">
                  <c:v>2783.6562814125987</c:v>
                </c:pt>
                <c:pt idx="114">
                  <c:v>2787.7974874427987</c:v>
                </c:pt>
                <c:pt idx="115">
                  <c:v>2791.9386934730001</c:v>
                </c:pt>
                <c:pt idx="116">
                  <c:v>2796.0798995032001</c:v>
                </c:pt>
                <c:pt idx="117">
                  <c:v>2800.2211055334051</c:v>
                </c:pt>
                <c:pt idx="118">
                  <c:v>2804.3623115636001</c:v>
                </c:pt>
                <c:pt idx="119">
                  <c:v>2808.5035175938051</c:v>
                </c:pt>
                <c:pt idx="120">
                  <c:v>2812.6447236239997</c:v>
                </c:pt>
                <c:pt idx="121">
                  <c:v>2816.7859296541997</c:v>
                </c:pt>
                <c:pt idx="122">
                  <c:v>2820.9271356844056</c:v>
                </c:pt>
                <c:pt idx="123">
                  <c:v>2825.0683417145997</c:v>
                </c:pt>
                <c:pt idx="124">
                  <c:v>2829.2095477447997</c:v>
                </c:pt>
                <c:pt idx="125">
                  <c:v>2833.3507537750056</c:v>
                </c:pt>
                <c:pt idx="126">
                  <c:v>2837.4919598052056</c:v>
                </c:pt>
                <c:pt idx="127">
                  <c:v>2841.6331658354056</c:v>
                </c:pt>
                <c:pt idx="128">
                  <c:v>2845.7743718655997</c:v>
                </c:pt>
                <c:pt idx="129">
                  <c:v>2849.9155778958066</c:v>
                </c:pt>
                <c:pt idx="130">
                  <c:v>2854.0567839259998</c:v>
                </c:pt>
                <c:pt idx="131">
                  <c:v>2858.1979899561998</c:v>
                </c:pt>
                <c:pt idx="132">
                  <c:v>2862.339195986407</c:v>
                </c:pt>
                <c:pt idx="133">
                  <c:v>2866.4804020165998</c:v>
                </c:pt>
                <c:pt idx="134">
                  <c:v>2870.6216080467998</c:v>
                </c:pt>
                <c:pt idx="135">
                  <c:v>2874.7628140769998</c:v>
                </c:pt>
                <c:pt idx="136">
                  <c:v>2878.9040201071998</c:v>
                </c:pt>
                <c:pt idx="137">
                  <c:v>2883.0452261374012</c:v>
                </c:pt>
                <c:pt idx="138">
                  <c:v>2887.1864321675998</c:v>
                </c:pt>
                <c:pt idx="139">
                  <c:v>2891.3276381977998</c:v>
                </c:pt>
                <c:pt idx="140">
                  <c:v>2895.4688442279944</c:v>
                </c:pt>
                <c:pt idx="141">
                  <c:v>2899.6100502582012</c:v>
                </c:pt>
                <c:pt idx="142">
                  <c:v>2903.7512562884081</c:v>
                </c:pt>
                <c:pt idx="143">
                  <c:v>2907.8924623186003</c:v>
                </c:pt>
                <c:pt idx="144">
                  <c:v>2912.0336683487999</c:v>
                </c:pt>
                <c:pt idx="145">
                  <c:v>2916.1748743789999</c:v>
                </c:pt>
                <c:pt idx="146">
                  <c:v>2920.3160804091999</c:v>
                </c:pt>
                <c:pt idx="147">
                  <c:v>2924.4572864394022</c:v>
                </c:pt>
                <c:pt idx="148">
                  <c:v>2928.5984924695999</c:v>
                </c:pt>
                <c:pt idx="149">
                  <c:v>2932.7396984997949</c:v>
                </c:pt>
                <c:pt idx="150">
                  <c:v>2936.8809045300022</c:v>
                </c:pt>
                <c:pt idx="151">
                  <c:v>2941.0221105602022</c:v>
                </c:pt>
                <c:pt idx="152">
                  <c:v>2945.1633165904086</c:v>
                </c:pt>
                <c:pt idx="153">
                  <c:v>2949.3045226206</c:v>
                </c:pt>
                <c:pt idx="154">
                  <c:v>2953.4457286508</c:v>
                </c:pt>
                <c:pt idx="155">
                  <c:v>2957.586934681</c:v>
                </c:pt>
                <c:pt idx="156">
                  <c:v>2961.7281407111955</c:v>
                </c:pt>
                <c:pt idx="157">
                  <c:v>2965.869346741405</c:v>
                </c:pt>
                <c:pt idx="158">
                  <c:v>2970.010552771605</c:v>
                </c:pt>
                <c:pt idx="159">
                  <c:v>2974.1517588018046</c:v>
                </c:pt>
                <c:pt idx="160">
                  <c:v>2978.2929648319996</c:v>
                </c:pt>
                <c:pt idx="161">
                  <c:v>2982.4341708622046</c:v>
                </c:pt>
                <c:pt idx="162">
                  <c:v>2986.5753768924096</c:v>
                </c:pt>
                <c:pt idx="163">
                  <c:v>2990.7165829225996</c:v>
                </c:pt>
                <c:pt idx="164">
                  <c:v>2994.8577889527996</c:v>
                </c:pt>
                <c:pt idx="165">
                  <c:v>2998.9989949829996</c:v>
                </c:pt>
                <c:pt idx="166">
                  <c:v>3003.1402010131997</c:v>
                </c:pt>
                <c:pt idx="167">
                  <c:v>3007.2814070434001</c:v>
                </c:pt>
                <c:pt idx="168">
                  <c:v>3011.4226130736006</c:v>
                </c:pt>
                <c:pt idx="169">
                  <c:v>3015.5638191037997</c:v>
                </c:pt>
                <c:pt idx="170">
                  <c:v>3019.7050251339997</c:v>
                </c:pt>
                <c:pt idx="171">
                  <c:v>3023.8462311641997</c:v>
                </c:pt>
                <c:pt idx="172">
                  <c:v>3027.9874371944002</c:v>
                </c:pt>
                <c:pt idx="173">
                  <c:v>3032.1286432245997</c:v>
                </c:pt>
                <c:pt idx="174">
                  <c:v>3036.2698492547934</c:v>
                </c:pt>
                <c:pt idx="175">
                  <c:v>3040.4110552850066</c:v>
                </c:pt>
                <c:pt idx="176">
                  <c:v>3044.5522613151998</c:v>
                </c:pt>
                <c:pt idx="177">
                  <c:v>3048.6934673454002</c:v>
                </c:pt>
                <c:pt idx="178">
                  <c:v>3052.8346733756011</c:v>
                </c:pt>
                <c:pt idx="179">
                  <c:v>3056.9758794057998</c:v>
                </c:pt>
                <c:pt idx="180">
                  <c:v>3061.1170854359998</c:v>
                </c:pt>
                <c:pt idx="181">
                  <c:v>3065.2582914661944</c:v>
                </c:pt>
                <c:pt idx="182">
                  <c:v>3069.3994974964012</c:v>
                </c:pt>
                <c:pt idx="183">
                  <c:v>3073.5407035266003</c:v>
                </c:pt>
                <c:pt idx="184">
                  <c:v>3077.6819095567998</c:v>
                </c:pt>
                <c:pt idx="185">
                  <c:v>3081.823115587008</c:v>
                </c:pt>
                <c:pt idx="186">
                  <c:v>3085.9643216171999</c:v>
                </c:pt>
                <c:pt idx="187">
                  <c:v>3090.1055276474012</c:v>
                </c:pt>
                <c:pt idx="188">
                  <c:v>3094.2467336776003</c:v>
                </c:pt>
                <c:pt idx="189">
                  <c:v>3098.3879397077999</c:v>
                </c:pt>
                <c:pt idx="190">
                  <c:v>3102.5291457379999</c:v>
                </c:pt>
                <c:pt idx="191">
                  <c:v>3106.6703517681999</c:v>
                </c:pt>
                <c:pt idx="192">
                  <c:v>3110.8115577984081</c:v>
                </c:pt>
                <c:pt idx="193">
                  <c:v>3114.9527638286004</c:v>
                </c:pt>
                <c:pt idx="194">
                  <c:v>3119.0939698587999</c:v>
                </c:pt>
                <c:pt idx="195">
                  <c:v>3123.2351758890022</c:v>
                </c:pt>
                <c:pt idx="196">
                  <c:v>3127.3763819192</c:v>
                </c:pt>
                <c:pt idx="197">
                  <c:v>3131.5175879494022</c:v>
                </c:pt>
                <c:pt idx="198">
                  <c:v>3135.6587939796</c:v>
                </c:pt>
                <c:pt idx="199">
                  <c:v>3139.8000000098</c:v>
                </c:pt>
              </c:numCache>
            </c:numRef>
          </c:xVal>
          <c:yVal>
            <c:numRef>
              <c:f>XLSTAT_20210211_171000_1_HID!ydata1</c:f>
              <c:numCache>
                <c:formatCode>General</c:formatCode>
                <c:ptCount val="200"/>
                <c:pt idx="0">
                  <c:v>14486.928401630372</c:v>
                </c:pt>
                <c:pt idx="1">
                  <c:v>14856.048332922162</c:v>
                </c:pt>
                <c:pt idx="2">
                  <c:v>15205.984892889857</c:v>
                </c:pt>
                <c:pt idx="3">
                  <c:v>15537.22640094161</c:v>
                </c:pt>
                <c:pt idx="4">
                  <c:v>15850.255995959022</c:v>
                </c:pt>
                <c:pt idx="5">
                  <c:v>16145.551636632525</c:v>
                </c:pt>
                <c:pt idx="6">
                  <c:v>16423.586101070061</c:v>
                </c:pt>
                <c:pt idx="7">
                  <c:v>16684.826987180859</c:v>
                </c:pt>
                <c:pt idx="8">
                  <c:v>16929.736712299309</c:v>
                </c:pt>
                <c:pt idx="9">
                  <c:v>17158.7725135535</c:v>
                </c:pt>
                <c:pt idx="10">
                  <c:v>17372.386447571218</c:v>
                </c:pt>
                <c:pt idx="11">
                  <c:v>17571.025390665978</c:v>
                </c:pt>
                <c:pt idx="12">
                  <c:v>17755.131038717896</c:v>
                </c:pt>
                <c:pt idx="13">
                  <c:v>17925.139907214747</c:v>
                </c:pt>
                <c:pt idx="14">
                  <c:v>18081.483331251929</c:v>
                </c:pt>
                <c:pt idx="15">
                  <c:v>18224.587465688626</c:v>
                </c:pt>
                <c:pt idx="16">
                  <c:v>18354.873284801841</c:v>
                </c:pt>
                <c:pt idx="17">
                  <c:v>18472.756582535803</c:v>
                </c:pt>
                <c:pt idx="18">
                  <c:v>18578.647972550243</c:v>
                </c:pt>
                <c:pt idx="19">
                  <c:v>18672.952887937427</c:v>
                </c:pt>
                <c:pt idx="20">
                  <c:v>18756.071581613305</c:v>
                </c:pt>
                <c:pt idx="21">
                  <c:v>18828.399126000666</c:v>
                </c:pt>
                <c:pt idx="22">
                  <c:v>18890.325413133949</c:v>
                </c:pt>
                <c:pt idx="23">
                  <c:v>18942.235154632479</c:v>
                </c:pt>
                <c:pt idx="24">
                  <c:v>18984.507881883535</c:v>
                </c:pt>
                <c:pt idx="25">
                  <c:v>19017.517945662141</c:v>
                </c:pt>
                <c:pt idx="26">
                  <c:v>19041.634516525959</c:v>
                </c:pt>
                <c:pt idx="27">
                  <c:v>19057.221584577113</c:v>
                </c:pt>
                <c:pt idx="28">
                  <c:v>19064.637959629297</c:v>
                </c:pt>
                <c:pt idx="29">
                  <c:v>19064.237270951257</c:v>
                </c:pt>
                <c:pt idx="30">
                  <c:v>19056.367967572056</c:v>
                </c:pt>
                <c:pt idx="31">
                  <c:v>19041.373318035094</c:v>
                </c:pt>
                <c:pt idx="32">
                  <c:v>19019.591410573572</c:v>
                </c:pt>
                <c:pt idx="33">
                  <c:v>18991.355153035332</c:v>
                </c:pt>
                <c:pt idx="34">
                  <c:v>18956.9922727421</c:v>
                </c:pt>
                <c:pt idx="35">
                  <c:v>18916.825316835118</c:v>
                </c:pt>
                <c:pt idx="36">
                  <c:v>18871.171651899771</c:v>
                </c:pt>
                <c:pt idx="37">
                  <c:v>18820.343464322388</c:v>
                </c:pt>
                <c:pt idx="38">
                  <c:v>18764.647759903222</c:v>
                </c:pt>
                <c:pt idx="39">
                  <c:v>18704.386364202961</c:v>
                </c:pt>
                <c:pt idx="40">
                  <c:v>18639.855922300314</c:v>
                </c:pt>
                <c:pt idx="41">
                  <c:v>18571.347898956388</c:v>
                </c:pt>
                <c:pt idx="42">
                  <c:v>18499.148578561842</c:v>
                </c:pt>
                <c:pt idx="43">
                  <c:v>18423.539065018296</c:v>
                </c:pt>
                <c:pt idx="44">
                  <c:v>18344.795281939209</c:v>
                </c:pt>
                <c:pt idx="45">
                  <c:v>18263.187972567976</c:v>
                </c:pt>
                <c:pt idx="46">
                  <c:v>18178.982699602897</c:v>
                </c:pt>
                <c:pt idx="47">
                  <c:v>18092.43984564022</c:v>
                </c:pt>
                <c:pt idx="48">
                  <c:v>18003.814612567417</c:v>
                </c:pt>
                <c:pt idx="49">
                  <c:v>17913.357022169977</c:v>
                </c:pt>
                <c:pt idx="50">
                  <c:v>17821.311915617436</c:v>
                </c:pt>
                <c:pt idx="51">
                  <c:v>17727.918953895529</c:v>
                </c:pt>
                <c:pt idx="52">
                  <c:v>17633.412617426329</c:v>
                </c:pt>
                <c:pt idx="53">
                  <c:v>17538.022206418216</c:v>
                </c:pt>
                <c:pt idx="54">
                  <c:v>17441.971840575316</c:v>
                </c:pt>
                <c:pt idx="55">
                  <c:v>17345.480459202121</c:v>
                </c:pt>
                <c:pt idx="56">
                  <c:v>17248.761821314725</c:v>
                </c:pt>
                <c:pt idx="57">
                  <c:v>17152.024505477362</c:v>
                </c:pt>
                <c:pt idx="58">
                  <c:v>17055.471909932792</c:v>
                </c:pt>
                <c:pt idx="59">
                  <c:v>16959.302252452817</c:v>
                </c:pt>
                <c:pt idx="60">
                  <c:v>16863.708570450512</c:v>
                </c:pt>
                <c:pt idx="61">
                  <c:v>16768.878720987552</c:v>
                </c:pt>
                <c:pt idx="62">
                  <c:v>16674.995380770451</c:v>
                </c:pt>
                <c:pt idx="63">
                  <c:v>16582.236045982689</c:v>
                </c:pt>
                <c:pt idx="64">
                  <c:v>16490.773032639176</c:v>
                </c:pt>
                <c:pt idx="65">
                  <c:v>16400.773476079092</c:v>
                </c:pt>
                <c:pt idx="66">
                  <c:v>16312.399331614361</c:v>
                </c:pt>
                <c:pt idx="67">
                  <c:v>16225.807373821723</c:v>
                </c:pt>
                <c:pt idx="68">
                  <c:v>16141.149197172394</c:v>
                </c:pt>
                <c:pt idx="69">
                  <c:v>16058.571215517819</c:v>
                </c:pt>
                <c:pt idx="70">
                  <c:v>15978.21466253701</c:v>
                </c:pt>
                <c:pt idx="71">
                  <c:v>15900.215591445565</c:v>
                </c:pt>
                <c:pt idx="72">
                  <c:v>15824.704874917868</c:v>
                </c:pt>
                <c:pt idx="73">
                  <c:v>15751.808205485324</c:v>
                </c:pt>
                <c:pt idx="74">
                  <c:v>15681.646095171574</c:v>
                </c:pt>
                <c:pt idx="75">
                  <c:v>15614.333875656128</c:v>
                </c:pt>
                <c:pt idx="76">
                  <c:v>15549.98169815541</c:v>
                </c:pt>
                <c:pt idx="77">
                  <c:v>15488.694533675909</c:v>
                </c:pt>
                <c:pt idx="78">
                  <c:v>15430.572172574699</c:v>
                </c:pt>
                <c:pt idx="79">
                  <c:v>15375.709225066006</c:v>
                </c:pt>
                <c:pt idx="80">
                  <c:v>15324.195120871067</c:v>
                </c:pt>
                <c:pt idx="81">
                  <c:v>15276.114109300077</c:v>
                </c:pt>
                <c:pt idx="82">
                  <c:v>15231.545259371414</c:v>
                </c:pt>
                <c:pt idx="83">
                  <c:v>15190.562459632754</c:v>
                </c:pt>
                <c:pt idx="84">
                  <c:v>15153.234418295358</c:v>
                </c:pt>
                <c:pt idx="85">
                  <c:v>15119.624663174152</c:v>
                </c:pt>
                <c:pt idx="86">
                  <c:v>15089.791541658356</c:v>
                </c:pt>
                <c:pt idx="87">
                  <c:v>15063.788220874972</c:v>
                </c:pt>
                <c:pt idx="88">
                  <c:v>15041.662687383587</c:v>
                </c:pt>
                <c:pt idx="89">
                  <c:v>15023.45774752647</c:v>
                </c:pt>
                <c:pt idx="90">
                  <c:v>15009.211027175208</c:v>
                </c:pt>
                <c:pt idx="91">
                  <c:v>14998.954971820111</c:v>
                </c:pt>
                <c:pt idx="92">
                  <c:v>14992.71684657783</c:v>
                </c:pt>
                <c:pt idx="93">
                  <c:v>14990.518736191094</c:v>
                </c:pt>
                <c:pt idx="94">
                  <c:v>14992.377545028925</c:v>
                </c:pt>
                <c:pt idx="95">
                  <c:v>14998.304996997094</c:v>
                </c:pt>
                <c:pt idx="96">
                  <c:v>15008.307635731981</c:v>
                </c:pt>
                <c:pt idx="97">
                  <c:v>15022.386824436466</c:v>
                </c:pt>
                <c:pt idx="98">
                  <c:v>15040.538745887578</c:v>
                </c:pt>
                <c:pt idx="99">
                  <c:v>15062.754402473574</c:v>
                </c:pt>
                <c:pt idx="100">
                  <c:v>15089.019616350532</c:v>
                </c:pt>
                <c:pt idx="101">
                  <c:v>15119.315029084648</c:v>
                </c:pt>
                <c:pt idx="102">
                  <c:v>15153.616101987638</c:v>
                </c:pt>
                <c:pt idx="103">
                  <c:v>15191.893115885547</c:v>
                </c:pt>
                <c:pt idx="104">
                  <c:v>15234.111171394588</c:v>
                </c:pt>
                <c:pt idx="105">
                  <c:v>15280.230188511334</c:v>
                </c:pt>
                <c:pt idx="106">
                  <c:v>15330.204907074572</c:v>
                </c:pt>
                <c:pt idx="107">
                  <c:v>15383.984886303544</c:v>
                </c:pt>
                <c:pt idx="108">
                  <c:v>15441.514505282044</c:v>
                </c:pt>
                <c:pt idx="109">
                  <c:v>15502.7329625413</c:v>
                </c:pt>
                <c:pt idx="110">
                  <c:v>15567.574276283383</c:v>
                </c:pt>
                <c:pt idx="111">
                  <c:v>15635.967284314333</c:v>
                </c:pt>
                <c:pt idx="112">
                  <c:v>15707.835644043962</c:v>
                </c:pt>
                <c:pt idx="113">
                  <c:v>15783.097832590342</c:v>
                </c:pt>
                <c:pt idx="114">
                  <c:v>15861.667146466671</c:v>
                </c:pt>
                <c:pt idx="115">
                  <c:v>15943.451702073215</c:v>
                </c:pt>
                <c:pt idx="116">
                  <c:v>16028.354435242711</c:v>
                </c:pt>
                <c:pt idx="117">
                  <c:v>16116.273101486266</c:v>
                </c:pt>
                <c:pt idx="118">
                  <c:v>16207.10027590394</c:v>
                </c:pt>
                <c:pt idx="119">
                  <c:v>16300.723353199681</c:v>
                </c:pt>
                <c:pt idx="120">
                  <c:v>16397.024547792957</c:v>
                </c:pt>
                <c:pt idx="121">
                  <c:v>16495.880893640264</c:v>
                </c:pt>
                <c:pt idx="122">
                  <c:v>16597.164244256914</c:v>
                </c:pt>
                <c:pt idx="123">
                  <c:v>16700.741272889056</c:v>
                </c:pt>
                <c:pt idx="124">
                  <c:v>16806.4734723121</c:v>
                </c:pt>
                <c:pt idx="125">
                  <c:v>16914.217155002061</c:v>
                </c:pt>
                <c:pt idx="126">
                  <c:v>17023.823452927172</c:v>
                </c:pt>
                <c:pt idx="127">
                  <c:v>17135.138317845689</c:v>
                </c:pt>
                <c:pt idx="128">
                  <c:v>17248.002520889004</c:v>
                </c:pt>
                <c:pt idx="129">
                  <c:v>17362.251653052866</c:v>
                </c:pt>
                <c:pt idx="130">
                  <c:v>17477.716124780505</c:v>
                </c:pt>
                <c:pt idx="131">
                  <c:v>17594.221166208386</c:v>
                </c:pt>
                <c:pt idx="132">
                  <c:v>17711.586827054663</c:v>
                </c:pt>
                <c:pt idx="133">
                  <c:v>17829.627976655902</c:v>
                </c:pt>
                <c:pt idx="134">
                  <c:v>17948.154304020107</c:v>
                </c:pt>
                <c:pt idx="135">
                  <c:v>18066.970317721367</c:v>
                </c:pt>
                <c:pt idx="136">
                  <c:v>18185.875345915556</c:v>
                </c:pt>
                <c:pt idx="137">
                  <c:v>18304.663536399541</c:v>
                </c:pt>
                <c:pt idx="138">
                  <c:v>18423.123856604099</c:v>
                </c:pt>
                <c:pt idx="139">
                  <c:v>18541.040093652929</c:v>
                </c:pt>
                <c:pt idx="140">
                  <c:v>18658.190854027867</c:v>
                </c:pt>
                <c:pt idx="141">
                  <c:v>18774.349564164877</c:v>
                </c:pt>
                <c:pt idx="142">
                  <c:v>18889.284469872713</c:v>
                </c:pt>
                <c:pt idx="143">
                  <c:v>19002.758636660874</c:v>
                </c:pt>
                <c:pt idx="144">
                  <c:v>19114.529949650114</c:v>
                </c:pt>
                <c:pt idx="145">
                  <c:v>19224.351113490757</c:v>
                </c:pt>
                <c:pt idx="146">
                  <c:v>19331.969652697444</c:v>
                </c:pt>
                <c:pt idx="147">
                  <c:v>19437.127911061049</c:v>
                </c:pt>
                <c:pt idx="148">
                  <c:v>19539.563052281737</c:v>
                </c:pt>
                <c:pt idx="149">
                  <c:v>19639.007059492156</c:v>
                </c:pt>
                <c:pt idx="150">
                  <c:v>19735.186735525727</c:v>
                </c:pt>
                <c:pt idx="151">
                  <c:v>19827.823702760081</c:v>
                </c:pt>
                <c:pt idx="152">
                  <c:v>19916.634403154261</c:v>
                </c:pt>
                <c:pt idx="153">
                  <c:v>20001.330098569393</c:v>
                </c:pt>
                <c:pt idx="154">
                  <c:v>20081.616870157417</c:v>
                </c:pt>
                <c:pt idx="155">
                  <c:v>20157.195618808233</c:v>
                </c:pt>
                <c:pt idx="156">
                  <c:v>20227.762065008301</c:v>
                </c:pt>
                <c:pt idx="157">
                  <c:v>20293.006748862557</c:v>
                </c:pt>
                <c:pt idx="158">
                  <c:v>20352.6150302067</c:v>
                </c:pt>
                <c:pt idx="159">
                  <c:v>20406.267088197175</c:v>
                </c:pt>
                <c:pt idx="160">
                  <c:v>20453.637921966612</c:v>
                </c:pt>
                <c:pt idx="161">
                  <c:v>20494.397349953651</c:v>
                </c:pt>
                <c:pt idx="162">
                  <c:v>20528.210010513663</c:v>
                </c:pt>
                <c:pt idx="163">
                  <c:v>20554.735361203551</c:v>
                </c:pt>
                <c:pt idx="164">
                  <c:v>20573.627679675767</c:v>
                </c:pt>
                <c:pt idx="165">
                  <c:v>20584.536062903702</c:v>
                </c:pt>
                <c:pt idx="166">
                  <c:v>20587.104427501556</c:v>
                </c:pt>
                <c:pt idx="167">
                  <c:v>20580.971509791911</c:v>
                </c:pt>
                <c:pt idx="168">
                  <c:v>20565.770865537226</c:v>
                </c:pt>
                <c:pt idx="169">
                  <c:v>20541.130870312452</c:v>
                </c:pt>
                <c:pt idx="170">
                  <c:v>20506.674719303846</c:v>
                </c:pt>
                <c:pt idx="171">
                  <c:v>20462.020427085456</c:v>
                </c:pt>
                <c:pt idx="172">
                  <c:v>20406.78082818538</c:v>
                </c:pt>
                <c:pt idx="173">
                  <c:v>20340.563576355496</c:v>
                </c:pt>
                <c:pt idx="174">
                  <c:v>20262.971145324453</c:v>
                </c:pt>
                <c:pt idx="175">
                  <c:v>20173.600828245282</c:v>
                </c:pt>
                <c:pt idx="176">
                  <c:v>20072.044737890352</c:v>
                </c:pt>
                <c:pt idx="177">
                  <c:v>19957.889806643117</c:v>
                </c:pt>
                <c:pt idx="178">
                  <c:v>19830.717786625028</c:v>
                </c:pt>
                <c:pt idx="179">
                  <c:v>19690.105249449563</c:v>
                </c:pt>
                <c:pt idx="180">
                  <c:v>19535.623586401303</c:v>
                </c:pt>
                <c:pt idx="181">
                  <c:v>19366.839008316318</c:v>
                </c:pt>
                <c:pt idx="182">
                  <c:v>19183.312545761466</c:v>
                </c:pt>
                <c:pt idx="183">
                  <c:v>18984.600048698456</c:v>
                </c:pt>
                <c:pt idx="184">
                  <c:v>18770.252187110505</c:v>
                </c:pt>
                <c:pt idx="185">
                  <c:v>18539.814450070222</c:v>
                </c:pt>
                <c:pt idx="186">
                  <c:v>18292.827146694064</c:v>
                </c:pt>
                <c:pt idx="187">
                  <c:v>18028.825405530635</c:v>
                </c:pt>
                <c:pt idx="188">
                  <c:v>17747.33917473253</c:v>
                </c:pt>
                <c:pt idx="189">
                  <c:v>17447.893222138286</c:v>
                </c:pt>
                <c:pt idx="190">
                  <c:v>17130.007135063468</c:v>
                </c:pt>
                <c:pt idx="191">
                  <c:v>16793.195320740342</c:v>
                </c:pt>
                <c:pt idx="192">
                  <c:v>16436.967005625422</c:v>
                </c:pt>
                <c:pt idx="193">
                  <c:v>16060.826236128807</c:v>
                </c:pt>
                <c:pt idx="194">
                  <c:v>15664.271878063679</c:v>
                </c:pt>
                <c:pt idx="195">
                  <c:v>15246.797616928809</c:v>
                </c:pt>
                <c:pt idx="196">
                  <c:v>14807.891957730055</c:v>
                </c:pt>
                <c:pt idx="197">
                  <c:v>14347.038225352784</c:v>
                </c:pt>
                <c:pt idx="198">
                  <c:v>13863.714564055224</c:v>
                </c:pt>
                <c:pt idx="199">
                  <c:v>13357.393937841051</c:v>
                </c:pt>
              </c:numCache>
            </c:numRef>
          </c:yVal>
          <c:smooth val="0"/>
        </c:ser>
        <c:dLbls>
          <c:showLegendKey val="0"/>
          <c:showVal val="0"/>
          <c:showCatName val="0"/>
          <c:showSerName val="0"/>
          <c:showPercent val="0"/>
          <c:showBubbleSize val="0"/>
        </c:dLbls>
        <c:axId val="223676672"/>
        <c:axId val="223699328"/>
      </c:scatterChart>
      <c:valAx>
        <c:axId val="223676672"/>
        <c:scaling>
          <c:orientation val="minMax"/>
          <c:max val="3200"/>
          <c:min val="2300"/>
        </c:scaling>
        <c:delete val="0"/>
        <c:axPos val="b"/>
        <c:title>
          <c:tx>
            <c:rich>
              <a:bodyPr/>
              <a:lstStyle/>
              <a:p>
                <a:pPr>
                  <a:defRPr/>
                </a:pPr>
                <a:r>
                  <a:rPr lang="ru-RU"/>
                  <a:t>займы </a:t>
                </a:r>
              </a:p>
            </c:rich>
          </c:tx>
          <c:overlay val="0"/>
        </c:title>
        <c:numFmt formatCode="General" sourceLinked="0"/>
        <c:majorTickMark val="cross"/>
        <c:minorTickMark val="none"/>
        <c:tickLblPos val="nextTo"/>
        <c:txPr>
          <a:bodyPr rot="0" vert="horz"/>
          <a:lstStyle/>
          <a:p>
            <a:pPr>
              <a:defRPr/>
            </a:pPr>
            <a:endParaRPr lang="ru-RU"/>
          </a:p>
        </c:txPr>
        <c:crossAx val="223699328"/>
        <c:crosses val="autoZero"/>
        <c:crossBetween val="midCat"/>
      </c:valAx>
      <c:valAx>
        <c:axId val="223699328"/>
        <c:scaling>
          <c:orientation val="minMax"/>
          <c:max val="35000"/>
          <c:min val="-5000"/>
        </c:scaling>
        <c:delete val="0"/>
        <c:axPos val="l"/>
        <c:title>
          <c:tx>
            <c:rich>
              <a:bodyPr/>
              <a:lstStyle/>
              <a:p>
                <a:pPr>
                  <a:defRPr/>
                </a:pPr>
                <a:r>
                  <a:rPr lang="ru-RU"/>
                  <a:t>ВВП</a:t>
                </a:r>
              </a:p>
            </c:rich>
          </c:tx>
          <c:overlay val="0"/>
        </c:title>
        <c:numFmt formatCode="General" sourceLinked="0"/>
        <c:majorTickMark val="cross"/>
        <c:minorTickMark val="none"/>
        <c:tickLblPos val="nextTo"/>
        <c:crossAx val="223676672"/>
        <c:crosses val="autoZero"/>
        <c:crossBetween val="midCat"/>
      </c:valAx>
      <c:spPr>
        <a:ln>
          <a:solidFill>
            <a:srgbClr val="C0C0C0"/>
          </a:solidFill>
          <a:prstDash val="solid"/>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29485237109574"/>
          <c:y val="7.6071922544951584E-2"/>
          <c:w val="0.65443775828834405"/>
          <c:h val="0.734222563465875"/>
        </c:manualLayout>
      </c:layout>
      <c:scatterChart>
        <c:scatterStyle val="lineMarker"/>
        <c:varyColors val="0"/>
        <c:ser>
          <c:idx val="0"/>
          <c:order val="0"/>
          <c:tx>
            <c:v/>
          </c:tx>
          <c:spPr>
            <a:ln w="28575">
              <a:noFill/>
            </a:ln>
            <a:effectLst/>
          </c:spPr>
          <c:marker>
            <c:symbol val="circle"/>
            <c:size val="3"/>
            <c:spPr>
              <a:solidFill>
                <a:srgbClr val="2A7498"/>
              </a:solidFill>
              <a:ln>
                <a:solidFill>
                  <a:srgbClr val="2A7498"/>
                </a:solidFill>
                <a:prstDash val="solid"/>
              </a:ln>
            </c:spPr>
          </c:marker>
          <c:xVal>
            <c:numRef>
              <c:f>'Nonlinear regression полученные'!$C$84:$C$94</c:f>
              <c:numCache>
                <c:formatCode>General</c:formatCode>
                <c:ptCount val="11"/>
                <c:pt idx="0">
                  <c:v>2515.4</c:v>
                </c:pt>
                <c:pt idx="1">
                  <c:v>2659.8</c:v>
                </c:pt>
                <c:pt idx="2">
                  <c:v>3008</c:v>
                </c:pt>
                <c:pt idx="3">
                  <c:v>3139.8</c:v>
                </c:pt>
                <c:pt idx="4">
                  <c:v>2315.6999999999998</c:v>
                </c:pt>
                <c:pt idx="5">
                  <c:v>2396.6999999999998</c:v>
                </c:pt>
                <c:pt idx="6">
                  <c:v>2464</c:v>
                </c:pt>
                <c:pt idx="7">
                  <c:v>2737.4</c:v>
                </c:pt>
                <c:pt idx="8">
                  <c:v>2792.1</c:v>
                </c:pt>
                <c:pt idx="9">
                  <c:v>2930.4</c:v>
                </c:pt>
                <c:pt idx="10">
                  <c:v>2775.1</c:v>
                </c:pt>
              </c:numCache>
            </c:numRef>
          </c:xVal>
          <c:yVal>
            <c:numRef>
              <c:f>'Nonlinear regression полученные'!$D$84:$D$94</c:f>
              <c:numCache>
                <c:formatCode>General</c:formatCode>
                <c:ptCount val="11"/>
                <c:pt idx="0">
                  <c:v>13070.949999999983</c:v>
                </c:pt>
                <c:pt idx="1">
                  <c:v>14909.9</c:v>
                </c:pt>
                <c:pt idx="2">
                  <c:v>22052.43</c:v>
                </c:pt>
                <c:pt idx="3">
                  <c:v>13180.859999999968</c:v>
                </c:pt>
                <c:pt idx="4">
                  <c:v>14727.76</c:v>
                </c:pt>
                <c:pt idx="5">
                  <c:v>16389.29</c:v>
                </c:pt>
                <c:pt idx="6">
                  <c:v>25234.71</c:v>
                </c:pt>
                <c:pt idx="7">
                  <c:v>15093.34</c:v>
                </c:pt>
                <c:pt idx="8">
                  <c:v>13306.25</c:v>
                </c:pt>
                <c:pt idx="9">
                  <c:v>17403.66</c:v>
                </c:pt>
                <c:pt idx="10">
                  <c:v>20134.759999999958</c:v>
                </c:pt>
              </c:numCache>
            </c:numRef>
          </c:yVal>
          <c:smooth val="0"/>
        </c:ser>
        <c:ser>
          <c:idx val="1"/>
          <c:order val="1"/>
          <c:tx>
            <c:v/>
          </c:tx>
          <c:spPr>
            <a:ln w="28575">
              <a:noFill/>
            </a:ln>
            <a:effectLst/>
          </c:spPr>
          <c:marker>
            <c:symbol val="circle"/>
            <c:size val="3"/>
            <c:spPr>
              <a:solidFill>
                <a:srgbClr val="2A7498"/>
              </a:solidFill>
              <a:ln>
                <a:solidFill>
                  <a:srgbClr val="2A7498"/>
                </a:solidFill>
                <a:prstDash val="solid"/>
              </a:ln>
            </c:spPr>
          </c:marker>
          <c:xVal>
            <c:numLit>
              <c:formatCode>General</c:formatCode>
              <c:ptCount val="1"/>
              <c:pt idx="0">
                <c:v>2659.8</c:v>
              </c:pt>
            </c:numLit>
          </c:xVal>
          <c:yVal>
            <c:numLit>
              <c:formatCode>General</c:formatCode>
              <c:ptCount val="1"/>
              <c:pt idx="0">
                <c:v>14909.9</c:v>
              </c:pt>
            </c:numLit>
          </c:yVal>
          <c:smooth val="0"/>
        </c:ser>
        <c:ser>
          <c:idx val="2"/>
          <c:order val="2"/>
          <c:tx>
            <c:v>95%CI</c:v>
          </c:tx>
          <c:spPr>
            <a:ln w="12700">
              <a:solidFill>
                <a:srgbClr val="C0C0C0"/>
              </a:solidFill>
              <a:prstDash val="solid"/>
            </a:ln>
            <a:effectLst/>
          </c:spPr>
          <c:marker>
            <c:symbol val="none"/>
          </c:marker>
          <c:xVal>
            <c:numLit>
              <c:formatCode>General</c:formatCode>
              <c:ptCount val="200"/>
              <c:pt idx="0">
                <c:v>2315.6999999999998</c:v>
              </c:pt>
              <c:pt idx="1">
                <c:v>2319.8412060301575</c:v>
              </c:pt>
              <c:pt idx="2">
                <c:v>2323.9824120603016</c:v>
              </c:pt>
              <c:pt idx="3">
                <c:v>2328.1236180904525</c:v>
              </c:pt>
              <c:pt idx="4">
                <c:v>2332.2648241205957</c:v>
              </c:pt>
              <c:pt idx="5">
                <c:v>2336.4060301507543</c:v>
              </c:pt>
              <c:pt idx="6">
                <c:v>2340.5472361809052</c:v>
              </c:pt>
              <c:pt idx="7">
                <c:v>2344.6884422110547</c:v>
              </c:pt>
              <c:pt idx="8">
                <c:v>2348.829648241207</c:v>
              </c:pt>
              <c:pt idx="9">
                <c:v>2352.9708542713634</c:v>
              </c:pt>
              <c:pt idx="10">
                <c:v>2357.1120603015092</c:v>
              </c:pt>
              <c:pt idx="11">
                <c:v>2361.2532663316601</c:v>
              </c:pt>
              <c:pt idx="12">
                <c:v>2365.3944723618106</c:v>
              </c:pt>
              <c:pt idx="13">
                <c:v>2369.5356783919615</c:v>
              </c:pt>
              <c:pt idx="14">
                <c:v>2373.6768844221042</c:v>
              </c:pt>
              <c:pt idx="15">
                <c:v>2377.8180904522642</c:v>
              </c:pt>
              <c:pt idx="16">
                <c:v>2381.9592964824192</c:v>
              </c:pt>
              <c:pt idx="17">
                <c:v>2386.1005025125701</c:v>
              </c:pt>
              <c:pt idx="18">
                <c:v>2390.241708542716</c:v>
              </c:pt>
              <c:pt idx="19">
                <c:v>2394.3829145728719</c:v>
              </c:pt>
              <c:pt idx="20">
                <c:v>2398.5241206030178</c:v>
              </c:pt>
              <c:pt idx="21">
                <c:v>2402.6653266331737</c:v>
              </c:pt>
              <c:pt idx="22">
                <c:v>2406.8065326633246</c:v>
              </c:pt>
              <c:pt idx="23">
                <c:v>2410.947738693475</c:v>
              </c:pt>
              <c:pt idx="24">
                <c:v>2415.0889447236123</c:v>
              </c:pt>
              <c:pt idx="25">
                <c:v>2419.2301507537723</c:v>
              </c:pt>
              <c:pt idx="26">
                <c:v>2423.3713567839322</c:v>
              </c:pt>
              <c:pt idx="27">
                <c:v>2427.5125628140772</c:v>
              </c:pt>
              <c:pt idx="28">
                <c:v>2431.6537688442272</c:v>
              </c:pt>
              <c:pt idx="29">
                <c:v>2435.7949748743772</c:v>
              </c:pt>
              <c:pt idx="30">
                <c:v>2439.9361809045272</c:v>
              </c:pt>
              <c:pt idx="31">
                <c:v>2444.0773869346776</c:v>
              </c:pt>
              <c:pt idx="32">
                <c:v>2448.2185929648285</c:v>
              </c:pt>
              <c:pt idx="33">
                <c:v>2452.3597989949812</c:v>
              </c:pt>
              <c:pt idx="34">
                <c:v>2456.5010050251303</c:v>
              </c:pt>
              <c:pt idx="35">
                <c:v>2460.6422110552808</c:v>
              </c:pt>
              <c:pt idx="36">
                <c:v>2464.7834170854321</c:v>
              </c:pt>
              <c:pt idx="37">
                <c:v>2468.924623115583</c:v>
              </c:pt>
              <c:pt idx="38">
                <c:v>2473.0658291457285</c:v>
              </c:pt>
              <c:pt idx="39">
                <c:v>2477.2070351758848</c:v>
              </c:pt>
              <c:pt idx="40">
                <c:v>2481.3482412060357</c:v>
              </c:pt>
              <c:pt idx="41">
                <c:v>2485.4894472361866</c:v>
              </c:pt>
              <c:pt idx="42">
                <c:v>2489.6306532663375</c:v>
              </c:pt>
              <c:pt idx="43">
                <c:v>2493.7718592964902</c:v>
              </c:pt>
              <c:pt idx="44">
                <c:v>2497.9130653266393</c:v>
              </c:pt>
              <c:pt idx="45">
                <c:v>2502.0542713567897</c:v>
              </c:pt>
              <c:pt idx="46">
                <c:v>2506.1954773869411</c:v>
              </c:pt>
              <c:pt idx="47">
                <c:v>2510.3366834170897</c:v>
              </c:pt>
              <c:pt idx="48">
                <c:v>2514.4778894472397</c:v>
              </c:pt>
              <c:pt idx="49">
                <c:v>2518.6190954773942</c:v>
              </c:pt>
              <c:pt idx="50">
                <c:v>2522.7603015075451</c:v>
              </c:pt>
              <c:pt idx="51">
                <c:v>2526.901507537701</c:v>
              </c:pt>
              <c:pt idx="52">
                <c:v>2531.0427135678465</c:v>
              </c:pt>
              <c:pt idx="53">
                <c:v>2535.1839195979974</c:v>
              </c:pt>
              <c:pt idx="54">
                <c:v>2539.3251256281492</c:v>
              </c:pt>
              <c:pt idx="55">
                <c:v>2543.4663316582992</c:v>
              </c:pt>
              <c:pt idx="56">
                <c:v>2547.6075376884551</c:v>
              </c:pt>
              <c:pt idx="57">
                <c:v>2551.7487437185987</c:v>
              </c:pt>
              <c:pt idx="58">
                <c:v>2555.8899497487487</c:v>
              </c:pt>
              <c:pt idx="59">
                <c:v>2560.0311557789078</c:v>
              </c:pt>
              <c:pt idx="60">
                <c:v>2564.1723618090541</c:v>
              </c:pt>
              <c:pt idx="61">
                <c:v>2568.3135678392136</c:v>
              </c:pt>
              <c:pt idx="62">
                <c:v>2572.45477386936</c:v>
              </c:pt>
              <c:pt idx="63">
                <c:v>2576.5959798995109</c:v>
              </c:pt>
              <c:pt idx="64">
                <c:v>2580.7371859296522</c:v>
              </c:pt>
              <c:pt idx="65">
                <c:v>2584.8783919598081</c:v>
              </c:pt>
              <c:pt idx="66">
                <c:v>2589.0195979899622</c:v>
              </c:pt>
              <c:pt idx="67">
                <c:v>2593.1608040201049</c:v>
              </c:pt>
              <c:pt idx="68">
                <c:v>2597.3020100502622</c:v>
              </c:pt>
              <c:pt idx="69">
                <c:v>2601.4432160804199</c:v>
              </c:pt>
              <c:pt idx="70">
                <c:v>2605.5844221105617</c:v>
              </c:pt>
              <c:pt idx="71">
                <c:v>2609.7256281407085</c:v>
              </c:pt>
              <c:pt idx="72">
                <c:v>2613.8668341708644</c:v>
              </c:pt>
              <c:pt idx="73">
                <c:v>2618.0080402010153</c:v>
              </c:pt>
              <c:pt idx="74">
                <c:v>2622.1492462311662</c:v>
              </c:pt>
              <c:pt idx="75">
                <c:v>2626.2904522613171</c:v>
              </c:pt>
              <c:pt idx="76">
                <c:v>2630.4316582914757</c:v>
              </c:pt>
              <c:pt idx="77">
                <c:v>2634.5728643216135</c:v>
              </c:pt>
              <c:pt idx="78">
                <c:v>2638.7140703517698</c:v>
              </c:pt>
              <c:pt idx="79">
                <c:v>2642.8552763819275</c:v>
              </c:pt>
              <c:pt idx="80">
                <c:v>2646.9964824120707</c:v>
              </c:pt>
              <c:pt idx="81">
                <c:v>2651.1376884422207</c:v>
              </c:pt>
              <c:pt idx="82">
                <c:v>2655.2788944723734</c:v>
              </c:pt>
              <c:pt idx="83">
                <c:v>2659.4201005025307</c:v>
              </c:pt>
              <c:pt idx="84">
                <c:v>2663.5613065326806</c:v>
              </c:pt>
              <c:pt idx="85">
                <c:v>2667.7025125628261</c:v>
              </c:pt>
              <c:pt idx="86">
                <c:v>2671.8437185929824</c:v>
              </c:pt>
              <c:pt idx="87">
                <c:v>2675.9849246231247</c:v>
              </c:pt>
              <c:pt idx="88">
                <c:v>2680.1261306532792</c:v>
              </c:pt>
              <c:pt idx="89">
                <c:v>2684.2673366834356</c:v>
              </c:pt>
              <c:pt idx="90">
                <c:v>2688.4085427135806</c:v>
              </c:pt>
              <c:pt idx="91">
                <c:v>2692.5497487437297</c:v>
              </c:pt>
              <c:pt idx="92">
                <c:v>2696.6909547738824</c:v>
              </c:pt>
              <c:pt idx="93">
                <c:v>2700.8321608040383</c:v>
              </c:pt>
              <c:pt idx="94">
                <c:v>2704.9733668341937</c:v>
              </c:pt>
              <c:pt idx="95">
                <c:v>2709.1145728643401</c:v>
              </c:pt>
              <c:pt idx="96">
                <c:v>2713.255778894491</c:v>
              </c:pt>
              <c:pt idx="97">
                <c:v>2717.3969849246337</c:v>
              </c:pt>
              <c:pt idx="98">
                <c:v>2721.5381909547878</c:v>
              </c:pt>
              <c:pt idx="99">
                <c:v>2725.6793969849432</c:v>
              </c:pt>
              <c:pt idx="100">
                <c:v>2729.8206030150895</c:v>
              </c:pt>
              <c:pt idx="101">
                <c:v>2733.9618090452404</c:v>
              </c:pt>
              <c:pt idx="102">
                <c:v>2738.1030150753922</c:v>
              </c:pt>
              <c:pt idx="103">
                <c:v>2742.2442211055372</c:v>
              </c:pt>
              <c:pt idx="104">
                <c:v>2746.3854271356931</c:v>
              </c:pt>
              <c:pt idx="105">
                <c:v>2750.526633165839</c:v>
              </c:pt>
              <c:pt idx="106">
                <c:v>2754.6678391959899</c:v>
              </c:pt>
              <c:pt idx="107">
                <c:v>2758.8090452261458</c:v>
              </c:pt>
              <c:pt idx="108">
                <c:v>2762.9502512562972</c:v>
              </c:pt>
              <c:pt idx="109">
                <c:v>2767.0914572864558</c:v>
              </c:pt>
              <c:pt idx="110">
                <c:v>2771.2326633165985</c:v>
              </c:pt>
              <c:pt idx="111">
                <c:v>2775.3738693467494</c:v>
              </c:pt>
              <c:pt idx="112">
                <c:v>2779.5150753769012</c:v>
              </c:pt>
              <c:pt idx="113">
                <c:v>2783.6562814070453</c:v>
              </c:pt>
              <c:pt idx="114">
                <c:v>2787.7974874372017</c:v>
              </c:pt>
              <c:pt idx="115">
                <c:v>2791.938693467353</c:v>
              </c:pt>
              <c:pt idx="116">
                <c:v>2796.0798994975039</c:v>
              </c:pt>
              <c:pt idx="117">
                <c:v>2800.2211055276548</c:v>
              </c:pt>
              <c:pt idx="118">
                <c:v>2804.3623115578062</c:v>
              </c:pt>
              <c:pt idx="119">
                <c:v>2808.503517587963</c:v>
              </c:pt>
              <c:pt idx="120">
                <c:v>2812.6447236181057</c:v>
              </c:pt>
              <c:pt idx="121">
                <c:v>2816.7859296482584</c:v>
              </c:pt>
              <c:pt idx="122">
                <c:v>2820.9271356784157</c:v>
              </c:pt>
              <c:pt idx="123">
                <c:v>2825.0683417085597</c:v>
              </c:pt>
              <c:pt idx="124">
                <c:v>2829.2095477387097</c:v>
              </c:pt>
              <c:pt idx="125">
                <c:v>2833.350753768862</c:v>
              </c:pt>
              <c:pt idx="126">
                <c:v>2837.4919597990129</c:v>
              </c:pt>
              <c:pt idx="127">
                <c:v>2841.6331658291642</c:v>
              </c:pt>
              <c:pt idx="128">
                <c:v>2845.7743718593151</c:v>
              </c:pt>
              <c:pt idx="129">
                <c:v>2849.915577889476</c:v>
              </c:pt>
              <c:pt idx="130">
                <c:v>2854.0567839196137</c:v>
              </c:pt>
              <c:pt idx="131">
                <c:v>2858.1979899497637</c:v>
              </c:pt>
              <c:pt idx="132">
                <c:v>2862.3391959799233</c:v>
              </c:pt>
              <c:pt idx="133">
                <c:v>2866.4804020100692</c:v>
              </c:pt>
              <c:pt idx="134">
                <c:v>2870.6216080402201</c:v>
              </c:pt>
              <c:pt idx="135">
                <c:v>2874.762814070371</c:v>
              </c:pt>
              <c:pt idx="136">
                <c:v>2878.9040201005218</c:v>
              </c:pt>
              <c:pt idx="137">
                <c:v>2883.0452261306727</c:v>
              </c:pt>
              <c:pt idx="138">
                <c:v>2887.1864321608191</c:v>
              </c:pt>
              <c:pt idx="139">
                <c:v>2891.3276381909745</c:v>
              </c:pt>
              <c:pt idx="140">
                <c:v>2895.4688442211209</c:v>
              </c:pt>
              <c:pt idx="141">
                <c:v>2899.6100502512772</c:v>
              </c:pt>
              <c:pt idx="142">
                <c:v>2903.7512562814354</c:v>
              </c:pt>
              <c:pt idx="143">
                <c:v>2907.8924623115822</c:v>
              </c:pt>
              <c:pt idx="144">
                <c:v>2912.033668341729</c:v>
              </c:pt>
              <c:pt idx="145">
                <c:v>2916.1748743718799</c:v>
              </c:pt>
              <c:pt idx="146">
                <c:v>2920.3160804020308</c:v>
              </c:pt>
              <c:pt idx="147">
                <c:v>2924.4572864321822</c:v>
              </c:pt>
              <c:pt idx="148">
                <c:v>2928.5984924623317</c:v>
              </c:pt>
              <c:pt idx="149">
                <c:v>2932.7396984924835</c:v>
              </c:pt>
              <c:pt idx="150">
                <c:v>2936.8809045226344</c:v>
              </c:pt>
              <c:pt idx="151">
                <c:v>2941.0221105527862</c:v>
              </c:pt>
              <c:pt idx="152">
                <c:v>2945.1633165829439</c:v>
              </c:pt>
              <c:pt idx="153">
                <c:v>2949.3045226130871</c:v>
              </c:pt>
              <c:pt idx="154">
                <c:v>2953.4457286432412</c:v>
              </c:pt>
              <c:pt idx="155">
                <c:v>2957.5869346733912</c:v>
              </c:pt>
              <c:pt idx="156">
                <c:v>2961.7281407035398</c:v>
              </c:pt>
              <c:pt idx="157">
                <c:v>2965.8693467336911</c:v>
              </c:pt>
              <c:pt idx="158">
                <c:v>2970.0105527638416</c:v>
              </c:pt>
              <c:pt idx="159">
                <c:v>2974.1517587939925</c:v>
              </c:pt>
              <c:pt idx="160">
                <c:v>2978.2929648241434</c:v>
              </c:pt>
              <c:pt idx="161">
                <c:v>2982.4341708543002</c:v>
              </c:pt>
              <c:pt idx="162">
                <c:v>2986.5753768844552</c:v>
              </c:pt>
              <c:pt idx="163">
                <c:v>2990.7165829145961</c:v>
              </c:pt>
              <c:pt idx="164">
                <c:v>2994.857788944747</c:v>
              </c:pt>
              <c:pt idx="165">
                <c:v>2998.9989949748979</c:v>
              </c:pt>
              <c:pt idx="166">
                <c:v>3003.1402010050488</c:v>
              </c:pt>
              <c:pt idx="167">
                <c:v>3007.2814070352001</c:v>
              </c:pt>
              <c:pt idx="168">
                <c:v>3011.4226130653506</c:v>
              </c:pt>
              <c:pt idx="169">
                <c:v>3015.5638190955015</c:v>
              </c:pt>
              <c:pt idx="170">
                <c:v>3019.7050251256442</c:v>
              </c:pt>
              <c:pt idx="171">
                <c:v>3023.8462311558033</c:v>
              </c:pt>
              <c:pt idx="172">
                <c:v>3027.9874371859541</c:v>
              </c:pt>
              <c:pt idx="173">
                <c:v>3032.1286432161037</c:v>
              </c:pt>
              <c:pt idx="174">
                <c:v>3036.2698492462537</c:v>
              </c:pt>
              <c:pt idx="175">
                <c:v>3040.4110552764168</c:v>
              </c:pt>
              <c:pt idx="176">
                <c:v>3044.5522613065577</c:v>
              </c:pt>
              <c:pt idx="177">
                <c:v>3048.6934673367086</c:v>
              </c:pt>
              <c:pt idx="178">
                <c:v>3052.8346733668595</c:v>
              </c:pt>
              <c:pt idx="179">
                <c:v>3056.9758793970104</c:v>
              </c:pt>
              <c:pt idx="180">
                <c:v>3061.1170854271563</c:v>
              </c:pt>
              <c:pt idx="181">
                <c:v>3065.2582914573072</c:v>
              </c:pt>
              <c:pt idx="182">
                <c:v>3069.3994974874672</c:v>
              </c:pt>
              <c:pt idx="183">
                <c:v>3073.540703517614</c:v>
              </c:pt>
              <c:pt idx="184">
                <c:v>3077.6819095477649</c:v>
              </c:pt>
              <c:pt idx="185">
                <c:v>3081.823115577924</c:v>
              </c:pt>
              <c:pt idx="186">
                <c:v>3085.9643216080667</c:v>
              </c:pt>
              <c:pt idx="187">
                <c:v>3090.1055276382176</c:v>
              </c:pt>
              <c:pt idx="188">
                <c:v>3094.2467336683685</c:v>
              </c:pt>
              <c:pt idx="189">
                <c:v>3098.3879396985212</c:v>
              </c:pt>
              <c:pt idx="190">
                <c:v>3102.5291457286648</c:v>
              </c:pt>
              <c:pt idx="191">
                <c:v>3106.6703517588207</c:v>
              </c:pt>
              <c:pt idx="192">
                <c:v>3110.8115577889789</c:v>
              </c:pt>
              <c:pt idx="193">
                <c:v>3114.9527638191262</c:v>
              </c:pt>
              <c:pt idx="194">
                <c:v>3119.0939698492762</c:v>
              </c:pt>
              <c:pt idx="195">
                <c:v>3123.2351758794321</c:v>
              </c:pt>
              <c:pt idx="196">
                <c:v>3127.3763819095761</c:v>
              </c:pt>
              <c:pt idx="197">
                <c:v>3131.5175879397266</c:v>
              </c:pt>
              <c:pt idx="198">
                <c:v>3135.6587939698757</c:v>
              </c:pt>
              <c:pt idx="199">
                <c:v>3139.8000000000302</c:v>
              </c:pt>
            </c:numLit>
          </c:xVal>
          <c:yVal>
            <c:numLit>
              <c:formatCode>General</c:formatCode>
              <c:ptCount val="200"/>
              <c:pt idx="0">
                <c:v>4709.9573498177915</c:v>
              </c:pt>
              <c:pt idx="1">
                <c:v>5588.2416302347592</c:v>
              </c:pt>
              <c:pt idx="2">
                <c:v>6404.7134215079759</c:v>
              </c:pt>
              <c:pt idx="3">
                <c:v>7161.7641657255344</c:v>
              </c:pt>
              <c:pt idx="4">
                <c:v>7861.4052262172454</c:v>
              </c:pt>
              <c:pt idx="5">
                <c:v>8502.4184503238375</c:v>
              </c:pt>
              <c:pt idx="6">
                <c:v>9087.1232129597738</c:v>
              </c:pt>
              <c:pt idx="7">
                <c:v>9616.5586512033497</c:v>
              </c:pt>
              <c:pt idx="8">
                <c:v>10093.035949994241</c:v>
              </c:pt>
              <c:pt idx="9">
                <c:v>10518.814861930308</c:v>
              </c:pt>
              <c:pt idx="10">
                <c:v>10896.376471482065</c:v>
              </c:pt>
              <c:pt idx="11">
                <c:v>11228.074056895468</c:v>
              </c:pt>
              <c:pt idx="12">
                <c:v>11518.105133550169</c:v>
              </c:pt>
              <c:pt idx="13">
                <c:v>11767.839635123271</c:v>
              </c:pt>
              <c:pt idx="14">
                <c:v>11982.080200326454</c:v>
              </c:pt>
              <c:pt idx="15">
                <c:v>12164.647675032174</c:v>
              </c:pt>
              <c:pt idx="16">
                <c:v>12319.337020087964</c:v>
              </c:pt>
              <c:pt idx="17">
                <c:v>12446.779748332177</c:v>
              </c:pt>
              <c:pt idx="18">
                <c:v>12551.830916518391</c:v>
              </c:pt>
              <c:pt idx="19">
                <c:v>12634.965595034901</c:v>
              </c:pt>
              <c:pt idx="20">
                <c:v>12700.435160718233</c:v>
              </c:pt>
              <c:pt idx="21">
                <c:v>12750.648092005034</c:v>
              </c:pt>
              <c:pt idx="22">
                <c:v>12789.257734580053</c:v>
              </c:pt>
              <c:pt idx="23">
                <c:v>12814.322901653521</c:v>
              </c:pt>
              <c:pt idx="24">
                <c:v>12831.237432110895</c:v>
              </c:pt>
              <c:pt idx="25">
                <c:v>12835.328951279786</c:v>
              </c:pt>
              <c:pt idx="26">
                <c:v>12835.64795629201</c:v>
              </c:pt>
              <c:pt idx="27">
                <c:v>12826.652467926398</c:v>
              </c:pt>
              <c:pt idx="28">
                <c:v>12814.334912428511</c:v>
              </c:pt>
              <c:pt idx="29">
                <c:v>12797.505382117168</c:v>
              </c:pt>
              <c:pt idx="30">
                <c:v>12773.669402866353</c:v>
              </c:pt>
              <c:pt idx="31">
                <c:v>12747.932815612578</c:v>
              </c:pt>
              <c:pt idx="32">
                <c:v>12720.007700692291</c:v>
              </c:pt>
              <c:pt idx="33">
                <c:v>12686.013844028639</c:v>
              </c:pt>
              <c:pt idx="34">
                <c:v>12654.019695191175</c:v>
              </c:pt>
              <c:pt idx="35">
                <c:v>12616.91981712529</c:v>
              </c:pt>
              <c:pt idx="36">
                <c:v>12579.612920873751</c:v>
              </c:pt>
              <c:pt idx="37">
                <c:v>12541.381474686305</c:v>
              </c:pt>
              <c:pt idx="38">
                <c:v>12499.177627576471</c:v>
              </c:pt>
              <c:pt idx="39">
                <c:v>12455.834705687907</c:v>
              </c:pt>
              <c:pt idx="40">
                <c:v>12412.175812078291</c:v>
              </c:pt>
              <c:pt idx="41">
                <c:v>12366.282065332083</c:v>
              </c:pt>
              <c:pt idx="42">
                <c:v>12318.795991184767</c:v>
              </c:pt>
              <c:pt idx="43">
                <c:v>12270.923871720946</c:v>
              </c:pt>
              <c:pt idx="44">
                <c:v>12220.182151300018</c:v>
              </c:pt>
              <c:pt idx="45">
                <c:v>12168.752846940606</c:v>
              </c:pt>
              <c:pt idx="46">
                <c:v>12118.259190963183</c:v>
              </c:pt>
              <c:pt idx="47">
                <c:v>12064.790945741268</c:v>
              </c:pt>
              <c:pt idx="48">
                <c:v>12009.983533420025</c:v>
              </c:pt>
              <c:pt idx="49">
                <c:v>11954.841668809118</c:v>
              </c:pt>
              <c:pt idx="50">
                <c:v>11896.211462799916</c:v>
              </c:pt>
              <c:pt idx="51">
                <c:v>11837.844204261242</c:v>
              </c:pt>
              <c:pt idx="52">
                <c:v>11778.931560780027</c:v>
              </c:pt>
              <c:pt idx="53">
                <c:v>11717.322090893293</c:v>
              </c:pt>
              <c:pt idx="54">
                <c:v>11654.760221178894</c:v>
              </c:pt>
              <c:pt idx="55">
                <c:v>11590.43136839317</c:v>
              </c:pt>
              <c:pt idx="56">
                <c:v>11525.394596435164</c:v>
              </c:pt>
              <c:pt idx="57">
                <c:v>11459.006418369132</c:v>
              </c:pt>
              <c:pt idx="58">
                <c:v>11392.066217054191</c:v>
              </c:pt>
              <c:pt idx="59">
                <c:v>11323.28821872847</c:v>
              </c:pt>
              <c:pt idx="60">
                <c:v>11253.378943623482</c:v>
              </c:pt>
              <c:pt idx="61">
                <c:v>11182.429715496997</c:v>
              </c:pt>
              <c:pt idx="62">
                <c:v>11110.861579578685</c:v>
              </c:pt>
              <c:pt idx="63">
                <c:v>11038.589060236916</c:v>
              </c:pt>
              <c:pt idx="64">
                <c:v>10965.719378884272</c:v>
              </c:pt>
              <c:pt idx="65">
                <c:v>10892.619313192574</c:v>
              </c:pt>
              <c:pt idx="66">
                <c:v>10819.253452849098</c:v>
              </c:pt>
              <c:pt idx="67">
                <c:v>10745.827990352753</c:v>
              </c:pt>
              <c:pt idx="68">
                <c:v>10673.090039789789</c:v>
              </c:pt>
              <c:pt idx="69">
                <c:v>10599.810619991771</c:v>
              </c:pt>
              <c:pt idx="70">
                <c:v>10527.430099699181</c:v>
              </c:pt>
              <c:pt idx="71">
                <c:v>10456.08300874369</c:v>
              </c:pt>
              <c:pt idx="72">
                <c:v>10385.344391183753</c:v>
              </c:pt>
              <c:pt idx="73">
                <c:v>10317.016823858385</c:v>
              </c:pt>
              <c:pt idx="74">
                <c:v>10250.538095246135</c:v>
              </c:pt>
              <c:pt idx="75">
                <c:v>10184.628658505755</c:v>
              </c:pt>
              <c:pt idx="76">
                <c:v>10122.135095663429</c:v>
              </c:pt>
              <c:pt idx="77">
                <c:v>10058.375374827432</c:v>
              </c:pt>
              <c:pt idx="78">
                <c:v>10001.261001878098</c:v>
              </c:pt>
              <c:pt idx="79">
                <c:v>9945.397344573621</c:v>
              </c:pt>
              <c:pt idx="80">
                <c:v>9892.465782708141</c:v>
              </c:pt>
              <c:pt idx="81">
                <c:v>9844.6336077881624</c:v>
              </c:pt>
              <c:pt idx="82">
                <c:v>9798.0545018141129</c:v>
              </c:pt>
              <c:pt idx="83">
                <c:v>9756.4171352686826</c:v>
              </c:pt>
              <c:pt idx="84">
                <c:v>9717.7142620538452</c:v>
              </c:pt>
              <c:pt idx="85">
                <c:v>9686.2986268003551</c:v>
              </c:pt>
              <c:pt idx="86">
                <c:v>9657.5207476133128</c:v>
              </c:pt>
              <c:pt idx="87">
                <c:v>9632.0346837080051</c:v>
              </c:pt>
              <c:pt idx="88">
                <c:v>9612.7083867265028</c:v>
              </c:pt>
              <c:pt idx="89">
                <c:v>9597.9807716560044</c:v>
              </c:pt>
              <c:pt idx="90">
                <c:v>9587.866206951825</c:v>
              </c:pt>
              <c:pt idx="91">
                <c:v>9581.7007599503868</c:v>
              </c:pt>
              <c:pt idx="92">
                <c:v>9585.8804604681754</c:v>
              </c:pt>
              <c:pt idx="93">
                <c:v>9590.8044575462045</c:v>
              </c:pt>
              <c:pt idx="94">
                <c:v>9600.558666138737</c:v>
              </c:pt>
              <c:pt idx="95">
                <c:v>9616.6959863884476</c:v>
              </c:pt>
              <c:pt idx="96">
                <c:v>9637.2880798532278</c:v>
              </c:pt>
              <c:pt idx="97">
                <c:v>9665.0403494376005</c:v>
              </c:pt>
              <c:pt idx="98">
                <c:v>9695.6729407825551</c:v>
              </c:pt>
              <c:pt idx="99">
                <c:v>9733.387072544665</c:v>
              </c:pt>
              <c:pt idx="100">
                <c:v>9775.0211171465926</c:v>
              </c:pt>
              <c:pt idx="101">
                <c:v>9823.5843679734771</c:v>
              </c:pt>
              <c:pt idx="102">
                <c:v>9871.6891149750827</c:v>
              </c:pt>
              <c:pt idx="103">
                <c:v>9931.8422792469846</c:v>
              </c:pt>
              <c:pt idx="104">
                <c:v>9992.089825113464</c:v>
              </c:pt>
              <c:pt idx="105">
                <c:v>10060.931999203271</c:v>
              </c:pt>
              <c:pt idx="106">
                <c:v>10128.913781870036</c:v>
              </c:pt>
              <c:pt idx="107">
                <c:v>10202.515209939382</c:v>
              </c:pt>
              <c:pt idx="108">
                <c:v>10281.490569329086</c:v>
              </c:pt>
              <c:pt idx="109">
                <c:v>10362.396549962707</c:v>
              </c:pt>
              <c:pt idx="110">
                <c:v>10447.788109024545</c:v>
              </c:pt>
              <c:pt idx="111">
                <c:v>10535.001911708971</c:v>
              </c:pt>
              <c:pt idx="112">
                <c:v>10625.786573235988</c:v>
              </c:pt>
              <c:pt idx="113">
                <c:v>10718.217944845966</c:v>
              </c:pt>
              <c:pt idx="114">
                <c:v>10811.744368703288</c:v>
              </c:pt>
              <c:pt idx="115">
                <c:v>10908.42409491145</c:v>
              </c:pt>
              <c:pt idx="116">
                <c:v>11005.054129107983</c:v>
              </c:pt>
              <c:pt idx="117">
                <c:v>11103.272577349378</c:v>
              </c:pt>
              <c:pt idx="118">
                <c:v>11200.627890337986</c:v>
              </c:pt>
              <c:pt idx="119">
                <c:v>11298.677296443351</c:v>
              </c:pt>
              <c:pt idx="120">
                <c:v>11394.677194673572</c:v>
              </c:pt>
              <c:pt idx="121">
                <c:v>11492.107634535047</c:v>
              </c:pt>
              <c:pt idx="122">
                <c:v>11588.776687655027</c:v>
              </c:pt>
              <c:pt idx="123">
                <c:v>11683.229725534396</c:v>
              </c:pt>
              <c:pt idx="124">
                <c:v>11776.442060592544</c:v>
              </c:pt>
              <c:pt idx="125">
                <c:v>11867.447420885834</c:v>
              </c:pt>
              <c:pt idx="126">
                <c:v>11955.450051526886</c:v>
              </c:pt>
              <c:pt idx="127">
                <c:v>12041.384063698601</c:v>
              </c:pt>
              <c:pt idx="128">
                <c:v>12124.178013596173</c:v>
              </c:pt>
              <c:pt idx="129">
                <c:v>12203.879676131022</c:v>
              </c:pt>
              <c:pt idx="130">
                <c:v>12280.426853646421</c:v>
              </c:pt>
              <c:pt idx="131">
                <c:v>12353.449840383037</c:v>
              </c:pt>
              <c:pt idx="132">
                <c:v>12423.021919677265</c:v>
              </c:pt>
              <c:pt idx="133">
                <c:v>12489.05921450248</c:v>
              </c:pt>
              <c:pt idx="134">
                <c:v>12551.264826279679</c:v>
              </c:pt>
              <c:pt idx="135">
                <c:v>12609.578589911573</c:v>
              </c:pt>
              <c:pt idx="136">
                <c:v>12663.721808550077</c:v>
              </c:pt>
              <c:pt idx="137">
                <c:v>12714.333922131034</c:v>
              </c:pt>
              <c:pt idx="138">
                <c:v>12763.211141902579</c:v>
              </c:pt>
              <c:pt idx="139">
                <c:v>12805.744171254086</c:v>
              </c:pt>
              <c:pt idx="140">
                <c:v>12845.878218591988</c:v>
              </c:pt>
              <c:pt idx="141">
                <c:v>12882.29828670499</c:v>
              </c:pt>
              <c:pt idx="142">
                <c:v>12914.75366905533</c:v>
              </c:pt>
              <c:pt idx="143">
                <c:v>12944.301571886512</c:v>
              </c:pt>
              <c:pt idx="144">
                <c:v>12971.789569283987</c:v>
              </c:pt>
              <c:pt idx="145">
                <c:v>12994.445149979871</c:v>
              </c:pt>
              <c:pt idx="146">
                <c:v>13012.994554301818</c:v>
              </c:pt>
              <c:pt idx="147">
                <c:v>13030.389880062285</c:v>
              </c:pt>
              <c:pt idx="148">
                <c:v>13046.518793279323</c:v>
              </c:pt>
              <c:pt idx="149">
                <c:v>13058.41163479138</c:v>
              </c:pt>
              <c:pt idx="150">
                <c:v>13067.20347113939</c:v>
              </c:pt>
              <c:pt idx="151">
                <c:v>13073.92574202483</c:v>
              </c:pt>
              <c:pt idx="152">
                <c:v>13079.515431642249</c:v>
              </c:pt>
              <c:pt idx="153">
                <c:v>13080.213884866636</c:v>
              </c:pt>
              <c:pt idx="154">
                <c:v>13079.500421644465</c:v>
              </c:pt>
              <c:pt idx="155">
                <c:v>13076.085358050586</c:v>
              </c:pt>
              <c:pt idx="156">
                <c:v>13074.554513458705</c:v>
              </c:pt>
              <c:pt idx="157">
                <c:v>13068.495501253365</c:v>
              </c:pt>
              <c:pt idx="158">
                <c:v>13061.131016056339</c:v>
              </c:pt>
              <c:pt idx="159">
                <c:v>13053.569856193159</c:v>
              </c:pt>
              <c:pt idx="160">
                <c:v>13038.334422639738</c:v>
              </c:pt>
              <c:pt idx="161">
                <c:v>13025.688256040768</c:v>
              </c:pt>
              <c:pt idx="162">
                <c:v>13008.02253702726</c:v>
              </c:pt>
              <c:pt idx="163">
                <c:v>12995.888627882005</c:v>
              </c:pt>
              <c:pt idx="164">
                <c:v>12973.074526993711</c:v>
              </c:pt>
              <c:pt idx="165">
                <c:v>12948.762963460651</c:v>
              </c:pt>
              <c:pt idx="166">
                <c:v>12925.157277896196</c:v>
              </c:pt>
              <c:pt idx="167">
                <c:v>12896.811367550659</c:v>
              </c:pt>
              <c:pt idx="168">
                <c:v>12868.085474429961</c:v>
              </c:pt>
              <c:pt idx="169">
                <c:v>12831.917156165553</c:v>
              </c:pt>
              <c:pt idx="170">
                <c:v>12795.797966533966</c:v>
              </c:pt>
              <c:pt idx="171">
                <c:v>12748.936408349356</c:v>
              </c:pt>
              <c:pt idx="172">
                <c:v>12707.627710147992</c:v>
              </c:pt>
              <c:pt idx="173">
                <c:v>12650.548178451118</c:v>
              </c:pt>
              <c:pt idx="174">
                <c:v>12590.619633747141</c:v>
              </c:pt>
              <c:pt idx="175">
                <c:v>12528.298160019032</c:v>
              </c:pt>
              <c:pt idx="176">
                <c:v>12453.826832402323</c:v>
              </c:pt>
              <c:pt idx="177">
                <c:v>12369.726131770391</c:v>
              </c:pt>
              <c:pt idx="178">
                <c:v>12276.440360783365</c:v>
              </c:pt>
              <c:pt idx="179">
                <c:v>12170.791139050521</c:v>
              </c:pt>
              <c:pt idx="180">
                <c:v>12055.884999918553</c:v>
              </c:pt>
              <c:pt idx="181">
                <c:v>11919.834065463503</c:v>
              </c:pt>
              <c:pt idx="182">
                <c:v>11767.235014566488</c:v>
              </c:pt>
              <c:pt idx="183">
                <c:v>11594.400557932944</c:v>
              </c:pt>
              <c:pt idx="184">
                <c:v>11397.896686042601</c:v>
              </c:pt>
              <c:pt idx="185">
                <c:v>11175.948660549999</c:v>
              </c:pt>
              <c:pt idx="186">
                <c:v>10922.530329669025</c:v>
              </c:pt>
              <c:pt idx="187">
                <c:v>10637.755053597743</c:v>
              </c:pt>
              <c:pt idx="188">
                <c:v>10315.23523301328</c:v>
              </c:pt>
              <c:pt idx="189">
                <c:v>9950.1068345825461</c:v>
              </c:pt>
              <c:pt idx="190">
                <c:v>9542.493574828437</c:v>
              </c:pt>
              <c:pt idx="191">
                <c:v>9083.8152096155809</c:v>
              </c:pt>
              <c:pt idx="192">
                <c:v>8572.952345306614</c:v>
              </c:pt>
              <c:pt idx="193">
                <c:v>8004.6439925375844</c:v>
              </c:pt>
              <c:pt idx="194">
                <c:v>7376.5653839879014</c:v>
              </c:pt>
              <c:pt idx="195">
                <c:v>6685.1220652536394</c:v>
              </c:pt>
              <c:pt idx="196">
                <c:v>5928.6843709040295</c:v>
              </c:pt>
              <c:pt idx="197">
                <c:v>5104.7584183203171</c:v>
              </c:pt>
              <c:pt idx="198">
                <c:v>4211.1295228477802</c:v>
              </c:pt>
              <c:pt idx="199">
                <c:v>3244.4503905525667</c:v>
              </c:pt>
            </c:numLit>
          </c:yVal>
          <c:smooth val="0"/>
        </c:ser>
        <c:ser>
          <c:idx val="3"/>
          <c:order val="3"/>
          <c:tx>
            <c:v/>
          </c:tx>
          <c:spPr>
            <a:ln w="12700">
              <a:solidFill>
                <a:srgbClr val="C0C0C0"/>
              </a:solidFill>
              <a:prstDash val="solid"/>
            </a:ln>
            <a:effectLst/>
          </c:spPr>
          <c:marker>
            <c:symbol val="none"/>
          </c:marker>
          <c:xVal>
            <c:numLit>
              <c:formatCode>General</c:formatCode>
              <c:ptCount val="200"/>
              <c:pt idx="0">
                <c:v>2315.6999999999998</c:v>
              </c:pt>
              <c:pt idx="1">
                <c:v>2319.8412060301575</c:v>
              </c:pt>
              <c:pt idx="2">
                <c:v>2323.9824120603016</c:v>
              </c:pt>
              <c:pt idx="3">
                <c:v>2328.1236180904525</c:v>
              </c:pt>
              <c:pt idx="4">
                <c:v>2332.2648241205957</c:v>
              </c:pt>
              <c:pt idx="5">
                <c:v>2336.4060301507543</c:v>
              </c:pt>
              <c:pt idx="6">
                <c:v>2340.5472361809052</c:v>
              </c:pt>
              <c:pt idx="7">
                <c:v>2344.6884422110547</c:v>
              </c:pt>
              <c:pt idx="8">
                <c:v>2348.829648241207</c:v>
              </c:pt>
              <c:pt idx="9">
                <c:v>2352.9708542713634</c:v>
              </c:pt>
              <c:pt idx="10">
                <c:v>2357.1120603015092</c:v>
              </c:pt>
              <c:pt idx="11">
                <c:v>2361.2532663316601</c:v>
              </c:pt>
              <c:pt idx="12">
                <c:v>2365.3944723618106</c:v>
              </c:pt>
              <c:pt idx="13">
                <c:v>2369.5356783919615</c:v>
              </c:pt>
              <c:pt idx="14">
                <c:v>2373.6768844221042</c:v>
              </c:pt>
              <c:pt idx="15">
                <c:v>2377.8180904522642</c:v>
              </c:pt>
              <c:pt idx="16">
                <c:v>2381.9592964824192</c:v>
              </c:pt>
              <c:pt idx="17">
                <c:v>2386.1005025125701</c:v>
              </c:pt>
              <c:pt idx="18">
                <c:v>2390.241708542716</c:v>
              </c:pt>
              <c:pt idx="19">
                <c:v>2394.3829145728719</c:v>
              </c:pt>
              <c:pt idx="20">
                <c:v>2398.5241206030178</c:v>
              </c:pt>
              <c:pt idx="21">
                <c:v>2402.6653266331737</c:v>
              </c:pt>
              <c:pt idx="22">
                <c:v>2406.8065326633246</c:v>
              </c:pt>
              <c:pt idx="23">
                <c:v>2410.947738693475</c:v>
              </c:pt>
              <c:pt idx="24">
                <c:v>2415.0889447236123</c:v>
              </c:pt>
              <c:pt idx="25">
                <c:v>2419.2301507537723</c:v>
              </c:pt>
              <c:pt idx="26">
                <c:v>2423.3713567839322</c:v>
              </c:pt>
              <c:pt idx="27">
                <c:v>2427.5125628140772</c:v>
              </c:pt>
              <c:pt idx="28">
                <c:v>2431.6537688442272</c:v>
              </c:pt>
              <c:pt idx="29">
                <c:v>2435.7949748743772</c:v>
              </c:pt>
              <c:pt idx="30">
                <c:v>2439.9361809045272</c:v>
              </c:pt>
              <c:pt idx="31">
                <c:v>2444.0773869346776</c:v>
              </c:pt>
              <c:pt idx="32">
                <c:v>2448.2185929648285</c:v>
              </c:pt>
              <c:pt idx="33">
                <c:v>2452.3597989949812</c:v>
              </c:pt>
              <c:pt idx="34">
                <c:v>2456.5010050251303</c:v>
              </c:pt>
              <c:pt idx="35">
                <c:v>2460.6422110552808</c:v>
              </c:pt>
              <c:pt idx="36">
                <c:v>2464.7834170854321</c:v>
              </c:pt>
              <c:pt idx="37">
                <c:v>2468.924623115583</c:v>
              </c:pt>
              <c:pt idx="38">
                <c:v>2473.0658291457285</c:v>
              </c:pt>
              <c:pt idx="39">
                <c:v>2477.2070351758848</c:v>
              </c:pt>
              <c:pt idx="40">
                <c:v>2481.3482412060357</c:v>
              </c:pt>
              <c:pt idx="41">
                <c:v>2485.4894472361866</c:v>
              </c:pt>
              <c:pt idx="42">
                <c:v>2489.6306532663375</c:v>
              </c:pt>
              <c:pt idx="43">
                <c:v>2493.7718592964902</c:v>
              </c:pt>
              <c:pt idx="44">
                <c:v>2497.9130653266393</c:v>
              </c:pt>
              <c:pt idx="45">
                <c:v>2502.0542713567897</c:v>
              </c:pt>
              <c:pt idx="46">
                <c:v>2506.1954773869411</c:v>
              </c:pt>
              <c:pt idx="47">
                <c:v>2510.3366834170897</c:v>
              </c:pt>
              <c:pt idx="48">
                <c:v>2514.4778894472397</c:v>
              </c:pt>
              <c:pt idx="49">
                <c:v>2518.6190954773942</c:v>
              </c:pt>
              <c:pt idx="50">
                <c:v>2522.7603015075451</c:v>
              </c:pt>
              <c:pt idx="51">
                <c:v>2526.901507537701</c:v>
              </c:pt>
              <c:pt idx="52">
                <c:v>2531.0427135678465</c:v>
              </c:pt>
              <c:pt idx="53">
                <c:v>2535.1839195979974</c:v>
              </c:pt>
              <c:pt idx="54">
                <c:v>2539.3251256281492</c:v>
              </c:pt>
              <c:pt idx="55">
                <c:v>2543.4663316582992</c:v>
              </c:pt>
              <c:pt idx="56">
                <c:v>2547.6075376884551</c:v>
              </c:pt>
              <c:pt idx="57">
                <c:v>2551.7487437185987</c:v>
              </c:pt>
              <c:pt idx="58">
                <c:v>2555.8899497487487</c:v>
              </c:pt>
              <c:pt idx="59">
                <c:v>2560.0311557789078</c:v>
              </c:pt>
              <c:pt idx="60">
                <c:v>2564.1723618090541</c:v>
              </c:pt>
              <c:pt idx="61">
                <c:v>2568.3135678392136</c:v>
              </c:pt>
              <c:pt idx="62">
                <c:v>2572.45477386936</c:v>
              </c:pt>
              <c:pt idx="63">
                <c:v>2576.5959798995109</c:v>
              </c:pt>
              <c:pt idx="64">
                <c:v>2580.7371859296522</c:v>
              </c:pt>
              <c:pt idx="65">
                <c:v>2584.8783919598081</c:v>
              </c:pt>
              <c:pt idx="66">
                <c:v>2589.0195979899622</c:v>
              </c:pt>
              <c:pt idx="67">
                <c:v>2593.1608040201049</c:v>
              </c:pt>
              <c:pt idx="68">
                <c:v>2597.3020100502622</c:v>
              </c:pt>
              <c:pt idx="69">
                <c:v>2601.4432160804199</c:v>
              </c:pt>
              <c:pt idx="70">
                <c:v>2605.5844221105617</c:v>
              </c:pt>
              <c:pt idx="71">
                <c:v>2609.7256281407085</c:v>
              </c:pt>
              <c:pt idx="72">
                <c:v>2613.8668341708644</c:v>
              </c:pt>
              <c:pt idx="73">
                <c:v>2618.0080402010153</c:v>
              </c:pt>
              <c:pt idx="74">
                <c:v>2622.1492462311662</c:v>
              </c:pt>
              <c:pt idx="75">
                <c:v>2626.2904522613171</c:v>
              </c:pt>
              <c:pt idx="76">
                <c:v>2630.4316582914757</c:v>
              </c:pt>
              <c:pt idx="77">
                <c:v>2634.5728643216135</c:v>
              </c:pt>
              <c:pt idx="78">
                <c:v>2638.7140703517698</c:v>
              </c:pt>
              <c:pt idx="79">
                <c:v>2642.8552763819275</c:v>
              </c:pt>
              <c:pt idx="80">
                <c:v>2646.9964824120707</c:v>
              </c:pt>
              <c:pt idx="81">
                <c:v>2651.1376884422207</c:v>
              </c:pt>
              <c:pt idx="82">
                <c:v>2655.2788944723734</c:v>
              </c:pt>
              <c:pt idx="83">
                <c:v>2659.4201005025307</c:v>
              </c:pt>
              <c:pt idx="84">
                <c:v>2663.5613065326806</c:v>
              </c:pt>
              <c:pt idx="85">
                <c:v>2667.7025125628261</c:v>
              </c:pt>
              <c:pt idx="86">
                <c:v>2671.8437185929824</c:v>
              </c:pt>
              <c:pt idx="87">
                <c:v>2675.9849246231247</c:v>
              </c:pt>
              <c:pt idx="88">
                <c:v>2680.1261306532792</c:v>
              </c:pt>
              <c:pt idx="89">
                <c:v>2684.2673366834356</c:v>
              </c:pt>
              <c:pt idx="90">
                <c:v>2688.4085427135806</c:v>
              </c:pt>
              <c:pt idx="91">
                <c:v>2692.5497487437297</c:v>
              </c:pt>
              <c:pt idx="92">
                <c:v>2696.6909547738824</c:v>
              </c:pt>
              <c:pt idx="93">
                <c:v>2700.8321608040383</c:v>
              </c:pt>
              <c:pt idx="94">
                <c:v>2704.9733668341937</c:v>
              </c:pt>
              <c:pt idx="95">
                <c:v>2709.1145728643401</c:v>
              </c:pt>
              <c:pt idx="96">
                <c:v>2713.255778894491</c:v>
              </c:pt>
              <c:pt idx="97">
                <c:v>2717.3969849246337</c:v>
              </c:pt>
              <c:pt idx="98">
                <c:v>2721.5381909547878</c:v>
              </c:pt>
              <c:pt idx="99">
                <c:v>2725.6793969849432</c:v>
              </c:pt>
              <c:pt idx="100">
                <c:v>2729.8206030150895</c:v>
              </c:pt>
              <c:pt idx="101">
                <c:v>2733.9618090452404</c:v>
              </c:pt>
              <c:pt idx="102">
                <c:v>2738.1030150753922</c:v>
              </c:pt>
              <c:pt idx="103">
                <c:v>2742.2442211055372</c:v>
              </c:pt>
              <c:pt idx="104">
                <c:v>2746.3854271356931</c:v>
              </c:pt>
              <c:pt idx="105">
                <c:v>2750.526633165839</c:v>
              </c:pt>
              <c:pt idx="106">
                <c:v>2754.6678391959899</c:v>
              </c:pt>
              <c:pt idx="107">
                <c:v>2758.8090452261458</c:v>
              </c:pt>
              <c:pt idx="108">
                <c:v>2762.9502512562972</c:v>
              </c:pt>
              <c:pt idx="109">
                <c:v>2767.0914572864558</c:v>
              </c:pt>
              <c:pt idx="110">
                <c:v>2771.2326633165985</c:v>
              </c:pt>
              <c:pt idx="111">
                <c:v>2775.3738693467494</c:v>
              </c:pt>
              <c:pt idx="112">
                <c:v>2779.5150753769012</c:v>
              </c:pt>
              <c:pt idx="113">
                <c:v>2783.6562814070453</c:v>
              </c:pt>
              <c:pt idx="114">
                <c:v>2787.7974874372017</c:v>
              </c:pt>
              <c:pt idx="115">
                <c:v>2791.938693467353</c:v>
              </c:pt>
              <c:pt idx="116">
                <c:v>2796.0798994975039</c:v>
              </c:pt>
              <c:pt idx="117">
                <c:v>2800.2211055276548</c:v>
              </c:pt>
              <c:pt idx="118">
                <c:v>2804.3623115578062</c:v>
              </c:pt>
              <c:pt idx="119">
                <c:v>2808.503517587963</c:v>
              </c:pt>
              <c:pt idx="120">
                <c:v>2812.6447236181057</c:v>
              </c:pt>
              <c:pt idx="121">
                <c:v>2816.7859296482584</c:v>
              </c:pt>
              <c:pt idx="122">
                <c:v>2820.9271356784157</c:v>
              </c:pt>
              <c:pt idx="123">
                <c:v>2825.0683417085597</c:v>
              </c:pt>
              <c:pt idx="124">
                <c:v>2829.2095477387097</c:v>
              </c:pt>
              <c:pt idx="125">
                <c:v>2833.350753768862</c:v>
              </c:pt>
              <c:pt idx="126">
                <c:v>2837.4919597990129</c:v>
              </c:pt>
              <c:pt idx="127">
                <c:v>2841.6331658291642</c:v>
              </c:pt>
              <c:pt idx="128">
                <c:v>2845.7743718593151</c:v>
              </c:pt>
              <c:pt idx="129">
                <c:v>2849.915577889476</c:v>
              </c:pt>
              <c:pt idx="130">
                <c:v>2854.0567839196137</c:v>
              </c:pt>
              <c:pt idx="131">
                <c:v>2858.1979899497637</c:v>
              </c:pt>
              <c:pt idx="132">
                <c:v>2862.3391959799233</c:v>
              </c:pt>
              <c:pt idx="133">
                <c:v>2866.4804020100692</c:v>
              </c:pt>
              <c:pt idx="134">
                <c:v>2870.6216080402201</c:v>
              </c:pt>
              <c:pt idx="135">
                <c:v>2874.762814070371</c:v>
              </c:pt>
              <c:pt idx="136">
                <c:v>2878.9040201005218</c:v>
              </c:pt>
              <c:pt idx="137">
                <c:v>2883.0452261306727</c:v>
              </c:pt>
              <c:pt idx="138">
                <c:v>2887.1864321608191</c:v>
              </c:pt>
              <c:pt idx="139">
                <c:v>2891.3276381909745</c:v>
              </c:pt>
              <c:pt idx="140">
                <c:v>2895.4688442211209</c:v>
              </c:pt>
              <c:pt idx="141">
                <c:v>2899.6100502512772</c:v>
              </c:pt>
              <c:pt idx="142">
                <c:v>2903.7512562814354</c:v>
              </c:pt>
              <c:pt idx="143">
                <c:v>2907.8924623115822</c:v>
              </c:pt>
              <c:pt idx="144">
                <c:v>2912.033668341729</c:v>
              </c:pt>
              <c:pt idx="145">
                <c:v>2916.1748743718799</c:v>
              </c:pt>
              <c:pt idx="146">
                <c:v>2920.3160804020308</c:v>
              </c:pt>
              <c:pt idx="147">
                <c:v>2924.4572864321822</c:v>
              </c:pt>
              <c:pt idx="148">
                <c:v>2928.5984924623317</c:v>
              </c:pt>
              <c:pt idx="149">
                <c:v>2932.7396984924835</c:v>
              </c:pt>
              <c:pt idx="150">
                <c:v>2936.8809045226344</c:v>
              </c:pt>
              <c:pt idx="151">
                <c:v>2941.0221105527862</c:v>
              </c:pt>
              <c:pt idx="152">
                <c:v>2945.1633165829439</c:v>
              </c:pt>
              <c:pt idx="153">
                <c:v>2949.3045226130871</c:v>
              </c:pt>
              <c:pt idx="154">
                <c:v>2953.4457286432412</c:v>
              </c:pt>
              <c:pt idx="155">
                <c:v>2957.5869346733912</c:v>
              </c:pt>
              <c:pt idx="156">
                <c:v>2961.7281407035398</c:v>
              </c:pt>
              <c:pt idx="157">
                <c:v>2965.8693467336911</c:v>
              </c:pt>
              <c:pt idx="158">
                <c:v>2970.0105527638416</c:v>
              </c:pt>
              <c:pt idx="159">
                <c:v>2974.1517587939925</c:v>
              </c:pt>
              <c:pt idx="160">
                <c:v>2978.2929648241434</c:v>
              </c:pt>
              <c:pt idx="161">
                <c:v>2982.4341708543002</c:v>
              </c:pt>
              <c:pt idx="162">
                <c:v>2986.5753768844552</c:v>
              </c:pt>
              <c:pt idx="163">
                <c:v>2990.7165829145961</c:v>
              </c:pt>
              <c:pt idx="164">
                <c:v>2994.857788944747</c:v>
              </c:pt>
              <c:pt idx="165">
                <c:v>2998.9989949748979</c:v>
              </c:pt>
              <c:pt idx="166">
                <c:v>3003.1402010050488</c:v>
              </c:pt>
              <c:pt idx="167">
                <c:v>3007.2814070352001</c:v>
              </c:pt>
              <c:pt idx="168">
                <c:v>3011.4226130653506</c:v>
              </c:pt>
              <c:pt idx="169">
                <c:v>3015.5638190955015</c:v>
              </c:pt>
              <c:pt idx="170">
                <c:v>3019.7050251256442</c:v>
              </c:pt>
              <c:pt idx="171">
                <c:v>3023.8462311558033</c:v>
              </c:pt>
              <c:pt idx="172">
                <c:v>3027.9874371859541</c:v>
              </c:pt>
              <c:pt idx="173">
                <c:v>3032.1286432161037</c:v>
              </c:pt>
              <c:pt idx="174">
                <c:v>3036.2698492462537</c:v>
              </c:pt>
              <c:pt idx="175">
                <c:v>3040.4110552764168</c:v>
              </c:pt>
              <c:pt idx="176">
                <c:v>3044.5522613065577</c:v>
              </c:pt>
              <c:pt idx="177">
                <c:v>3048.6934673367086</c:v>
              </c:pt>
              <c:pt idx="178">
                <c:v>3052.8346733668595</c:v>
              </c:pt>
              <c:pt idx="179">
                <c:v>3056.9758793970104</c:v>
              </c:pt>
              <c:pt idx="180">
                <c:v>3061.1170854271563</c:v>
              </c:pt>
              <c:pt idx="181">
                <c:v>3065.2582914573072</c:v>
              </c:pt>
              <c:pt idx="182">
                <c:v>3069.3994974874672</c:v>
              </c:pt>
              <c:pt idx="183">
                <c:v>3073.540703517614</c:v>
              </c:pt>
              <c:pt idx="184">
                <c:v>3077.6819095477649</c:v>
              </c:pt>
              <c:pt idx="185">
                <c:v>3081.823115577924</c:v>
              </c:pt>
              <c:pt idx="186">
                <c:v>3085.9643216080667</c:v>
              </c:pt>
              <c:pt idx="187">
                <c:v>3090.1055276382176</c:v>
              </c:pt>
              <c:pt idx="188">
                <c:v>3094.2467336683685</c:v>
              </c:pt>
              <c:pt idx="189">
                <c:v>3098.3879396985212</c:v>
              </c:pt>
              <c:pt idx="190">
                <c:v>3102.5291457286648</c:v>
              </c:pt>
              <c:pt idx="191">
                <c:v>3106.6703517588207</c:v>
              </c:pt>
              <c:pt idx="192">
                <c:v>3110.8115577889789</c:v>
              </c:pt>
              <c:pt idx="193">
                <c:v>3114.9527638191262</c:v>
              </c:pt>
              <c:pt idx="194">
                <c:v>3119.0939698492762</c:v>
              </c:pt>
              <c:pt idx="195">
                <c:v>3123.2351758794321</c:v>
              </c:pt>
              <c:pt idx="196">
                <c:v>3127.3763819095761</c:v>
              </c:pt>
              <c:pt idx="197">
                <c:v>3131.5175879397266</c:v>
              </c:pt>
              <c:pt idx="198">
                <c:v>3135.6587939698757</c:v>
              </c:pt>
              <c:pt idx="199">
                <c:v>3139.8000000000302</c:v>
              </c:pt>
            </c:numLit>
          </c:xVal>
          <c:yVal>
            <c:numLit>
              <c:formatCode>General</c:formatCode>
              <c:ptCount val="200"/>
              <c:pt idx="0">
                <c:v>24263.899453577022</c:v>
              </c:pt>
              <c:pt idx="1">
                <c:v>24123.855035795827</c:v>
              </c:pt>
              <c:pt idx="2">
                <c:v>24007.256364458015</c:v>
              </c:pt>
              <c:pt idx="3">
                <c:v>23912.688636261995</c:v>
              </c:pt>
              <c:pt idx="4">
                <c:v>23839.106765902015</c:v>
              </c:pt>
              <c:pt idx="5">
                <c:v>23788.684823075317</c:v>
              </c:pt>
              <c:pt idx="6">
                <c:v>23760.048989359151</c:v>
              </c:pt>
              <c:pt idx="7">
                <c:v>23753.095323277557</c:v>
              </c:pt>
              <c:pt idx="8">
                <c:v>23766.437474716105</c:v>
              </c:pt>
              <c:pt idx="9">
                <c:v>23798.73016534061</c:v>
              </c:pt>
              <c:pt idx="10">
                <c:v>23848.396423801922</c:v>
              </c:pt>
              <c:pt idx="11">
                <c:v>23913.976724570621</c:v>
              </c:pt>
              <c:pt idx="12">
                <c:v>23992.15694400487</c:v>
              </c:pt>
              <c:pt idx="13">
                <c:v>24082.440179365898</c:v>
              </c:pt>
              <c:pt idx="14">
                <c:v>24180.886462333787</c:v>
              </c:pt>
              <c:pt idx="15">
                <c:v>24284.527256486494</c:v>
              </c:pt>
              <c:pt idx="16">
                <c:v>24390.409549672102</c:v>
              </c:pt>
              <c:pt idx="17">
                <c:v>24498.733416910833</c:v>
              </c:pt>
              <c:pt idx="18">
                <c:v>24605.465028619361</c:v>
              </c:pt>
              <c:pt idx="19">
                <c:v>24710.940181011345</c:v>
              </c:pt>
              <c:pt idx="20">
                <c:v>24811.708002739309</c:v>
              </c:pt>
              <c:pt idx="21">
                <c:v>24906.150160167716</c:v>
              </c:pt>
              <c:pt idx="22">
                <c:v>24991.393091874088</c:v>
              </c:pt>
              <c:pt idx="23">
                <c:v>25070.147407857297</c:v>
              </c:pt>
              <c:pt idx="24">
                <c:v>25137.778331820115</c:v>
              </c:pt>
              <c:pt idx="25">
                <c:v>25199.706940208409</c:v>
              </c:pt>
              <c:pt idx="26">
                <c:v>25247.621076916439</c:v>
              </c:pt>
              <c:pt idx="27">
                <c:v>25287.790701496051</c:v>
              </c:pt>
              <c:pt idx="28">
                <c:v>25314.941007046142</c:v>
              </c:pt>
              <c:pt idx="29">
                <c:v>25330.969159964188</c:v>
              </c:pt>
              <c:pt idx="30">
                <c:v>25339.066532523699</c:v>
              </c:pt>
              <c:pt idx="31">
                <c:v>25334.813820658899</c:v>
              </c:pt>
              <c:pt idx="32">
                <c:v>25319.175120685817</c:v>
              </c:pt>
              <c:pt idx="33">
                <c:v>25296.696462213469</c:v>
              </c:pt>
              <c:pt idx="34">
                <c:v>25259.964850479275</c:v>
              </c:pt>
              <c:pt idx="35">
                <c:v>25216.730816753719</c:v>
              </c:pt>
              <c:pt idx="36">
                <c:v>25162.730383156861</c:v>
              </c:pt>
              <c:pt idx="37">
                <c:v>25099.305454189434</c:v>
              </c:pt>
              <c:pt idx="38">
                <c:v>25030.117892468395</c:v>
              </c:pt>
              <c:pt idx="39">
                <c:v>24952.938022978746</c:v>
              </c:pt>
              <c:pt idx="40">
                <c:v>24867.536032805514</c:v>
              </c:pt>
              <c:pt idx="41">
                <c:v>24776.413732841487</c:v>
              </c:pt>
              <c:pt idx="42">
                <c:v>24679.501166154976</c:v>
              </c:pt>
              <c:pt idx="43">
                <c:v>24576.154258583829</c:v>
              </c:pt>
              <c:pt idx="44">
                <c:v>24469.408412883909</c:v>
              </c:pt>
              <c:pt idx="45">
                <c:v>24357.623098485896</c:v>
              </c:pt>
              <c:pt idx="46">
                <c:v>24239.706208600099</c:v>
              </c:pt>
              <c:pt idx="47">
                <c:v>24120.088745829729</c:v>
              </c:pt>
              <c:pt idx="48">
                <c:v>23997.645692057526</c:v>
              </c:pt>
              <c:pt idx="49">
                <c:v>23871.872375784173</c:v>
              </c:pt>
              <c:pt idx="50">
                <c:v>23746.41236876282</c:v>
              </c:pt>
              <c:pt idx="51">
                <c:v>23617.993703894979</c:v>
              </c:pt>
              <c:pt idx="52">
                <c:v>23487.89367440794</c:v>
              </c:pt>
              <c:pt idx="53">
                <c:v>23358.722322300757</c:v>
              </c:pt>
              <c:pt idx="54">
                <c:v>23229.183460232551</c:v>
              </c:pt>
              <c:pt idx="55">
                <c:v>23100.5295503015</c:v>
              </c:pt>
              <c:pt idx="56">
                <c:v>22972.129046522012</c:v>
              </c:pt>
              <c:pt idx="57">
                <c:v>22845.042592987997</c:v>
              </c:pt>
              <c:pt idx="58">
                <c:v>22718.877603183922</c:v>
              </c:pt>
              <c:pt idx="59">
                <c:v>22595.316286519897</c:v>
              </c:pt>
              <c:pt idx="60">
                <c:v>22474.038197665021</c:v>
              </c:pt>
              <c:pt idx="61">
                <c:v>22355.327726850697</c:v>
              </c:pt>
              <c:pt idx="62">
                <c:v>22239.129182364464</c:v>
              </c:pt>
              <c:pt idx="63">
                <c:v>22125.883032168065</c:v>
              </c:pt>
              <c:pt idx="64">
                <c:v>22015.826686729364</c:v>
              </c:pt>
              <c:pt idx="65">
                <c:v>21908.927639427573</c:v>
              </c:pt>
              <c:pt idx="66">
                <c:v>21805.545210737306</c:v>
              </c:pt>
              <c:pt idx="67">
                <c:v>21705.786757715421</c:v>
              </c:pt>
              <c:pt idx="68">
                <c:v>21609.208354852963</c:v>
              </c:pt>
              <c:pt idx="69">
                <c:v>21517.33181144614</c:v>
              </c:pt>
              <c:pt idx="70">
                <c:v>21428.999225806896</c:v>
              </c:pt>
              <c:pt idx="71">
                <c:v>21344.348174445462</c:v>
              </c:pt>
              <c:pt idx="72">
                <c:v>21264.065358920197</c:v>
              </c:pt>
              <c:pt idx="73">
                <c:v>21186.599587395358</c:v>
              </c:pt>
              <c:pt idx="74">
                <c:v>21112.754095469561</c:v>
              </c:pt>
              <c:pt idx="75">
                <c:v>21044.039093208859</c:v>
              </c:pt>
              <c:pt idx="76">
                <c:v>20977.828301049685</c:v>
              </c:pt>
              <c:pt idx="77">
                <c:v>20919.013692867084</c:v>
              </c:pt>
              <c:pt idx="78">
                <c:v>20859.883343628928</c:v>
              </c:pt>
              <c:pt idx="79">
                <c:v>20806.02110599052</c:v>
              </c:pt>
              <c:pt idx="80">
                <c:v>20755.92445936182</c:v>
              </c:pt>
              <c:pt idx="81">
                <c:v>20707.59461119942</c:v>
              </c:pt>
              <c:pt idx="82">
                <c:v>20665.036017241615</c:v>
              </c:pt>
              <c:pt idx="83">
                <c:v>20624.707784354472</c:v>
              </c:pt>
              <c:pt idx="84">
                <c:v>20588.754574819912</c:v>
              </c:pt>
              <c:pt idx="85">
                <c:v>20552.950699905556</c:v>
              </c:pt>
              <c:pt idx="86">
                <c:v>20522.062336016294</c:v>
              </c:pt>
              <c:pt idx="87">
                <c:v>20495.541758339896</c:v>
              </c:pt>
              <c:pt idx="88">
                <c:v>20470.616988428112</c:v>
              </c:pt>
              <c:pt idx="89">
                <c:v>20448.934723709892</c:v>
              </c:pt>
              <c:pt idx="90">
                <c:v>20430.555847607156</c:v>
              </c:pt>
              <c:pt idx="91">
                <c:v>20416.209183943167</c:v>
              </c:pt>
              <c:pt idx="92">
                <c:v>20399.553232866256</c:v>
              </c:pt>
              <c:pt idx="93">
                <c:v>20390.233015104262</c:v>
              </c:pt>
              <c:pt idx="94">
                <c:v>20384.19642411287</c:v>
              </c:pt>
              <c:pt idx="95">
                <c:v>20379.91400778458</c:v>
              </c:pt>
              <c:pt idx="96">
                <c:v>20379.327191819379</c:v>
              </c:pt>
              <c:pt idx="97">
                <c:v>20379.733299614185</c:v>
              </c:pt>
              <c:pt idx="98">
                <c:v>20385.404551186297</c:v>
              </c:pt>
              <c:pt idx="99">
                <c:v>20392.121732655782</c:v>
              </c:pt>
              <c:pt idx="100">
                <c:v>20403.018115777988</c:v>
              </c:pt>
              <c:pt idx="101">
                <c:v>20415.04569040452</c:v>
              </c:pt>
              <c:pt idx="102">
                <c:v>20435.543089193961</c:v>
              </c:pt>
              <c:pt idx="103">
                <c:v>20451.943952777445</c:v>
              </c:pt>
              <c:pt idx="104">
                <c:v>20476.132517779966</c:v>
              </c:pt>
              <c:pt idx="105">
                <c:v>20499.528377998104</c:v>
              </c:pt>
              <c:pt idx="106">
                <c:v>20531.496032368523</c:v>
              </c:pt>
              <c:pt idx="107">
                <c:v>20565.454562816696</c:v>
              </c:pt>
              <c:pt idx="108">
                <c:v>20601.538441339297</c:v>
              </c:pt>
              <c:pt idx="109">
                <c:v>20643.069375239054</c:v>
              </c:pt>
              <c:pt idx="110">
                <c:v>20687.360443646518</c:v>
              </c:pt>
              <c:pt idx="111">
                <c:v>20736.932657038862</c:v>
              </c:pt>
              <c:pt idx="112">
                <c:v>20789.884714956301</c:v>
              </c:pt>
              <c:pt idx="113">
                <c:v>20847.977720319821</c:v>
              </c:pt>
              <c:pt idx="114">
                <c:v>20911.589924319487</c:v>
              </c:pt>
              <c:pt idx="115">
                <c:v>20978.479309249884</c:v>
              </c:pt>
              <c:pt idx="116">
                <c:v>21051.654741362516</c:v>
              </c:pt>
              <c:pt idx="117">
                <c:v>21129.27362559336</c:v>
              </c:pt>
              <c:pt idx="118">
                <c:v>21213.572661380447</c:v>
              </c:pt>
              <c:pt idx="119">
                <c:v>21302.769410000659</c:v>
              </c:pt>
              <c:pt idx="120">
                <c:v>21399.3719009421</c:v>
              </c:pt>
              <c:pt idx="121">
                <c:v>21499.654152745356</c:v>
              </c:pt>
              <c:pt idx="122">
                <c:v>21605.551800888603</c:v>
              </c:pt>
              <c:pt idx="123">
                <c:v>21718.252820288471</c:v>
              </c:pt>
              <c:pt idx="124">
                <c:v>21836.504884135968</c:v>
              </c:pt>
              <c:pt idx="125">
                <c:v>21960.986889133263</c:v>
              </c:pt>
              <c:pt idx="126">
                <c:v>22092.196854342357</c:v>
              </c:pt>
              <c:pt idx="127">
                <c:v>22228.892571933276</c:v>
              </c:pt>
              <c:pt idx="128">
                <c:v>22371.827028152107</c:v>
              </c:pt>
              <c:pt idx="129">
                <c:v>22520.623629840549</c:v>
              </c:pt>
              <c:pt idx="130">
                <c:v>22675.005395810225</c:v>
              </c:pt>
              <c:pt idx="131">
                <c:v>22834.992491914567</c:v>
              </c:pt>
              <c:pt idx="132">
                <c:v>23000.15173429784</c:v>
              </c:pt>
              <c:pt idx="133">
                <c:v>23170.196738794541</c:v>
              </c:pt>
              <c:pt idx="134">
                <c:v>23345.04378170097</c:v>
              </c:pt>
              <c:pt idx="135">
                <c:v>23524.36204542686</c:v>
              </c:pt>
              <c:pt idx="136">
                <c:v>23708.028883102317</c:v>
              </c:pt>
              <c:pt idx="137">
                <c:v>23894.99315050431</c:v>
              </c:pt>
              <c:pt idx="138">
                <c:v>24083.03657117148</c:v>
              </c:pt>
              <c:pt idx="139">
                <c:v>24276.336015872916</c:v>
              </c:pt>
              <c:pt idx="140">
                <c:v>24470.503489344537</c:v>
              </c:pt>
              <c:pt idx="141">
                <c:v>24666.400841580071</c:v>
              </c:pt>
              <c:pt idx="142">
                <c:v>24863.815270481417</c:v>
              </c:pt>
              <c:pt idx="143">
                <c:v>25061.215701301116</c:v>
              </c:pt>
              <c:pt idx="144">
                <c:v>25257.270329912033</c:v>
              </c:pt>
              <c:pt idx="145">
                <c:v>25454.257077001646</c:v>
              </c:pt>
              <c:pt idx="146">
                <c:v>25650.94475095897</c:v>
              </c:pt>
              <c:pt idx="147">
                <c:v>25843.86594207471</c:v>
              </c:pt>
              <c:pt idx="148">
                <c:v>26032.607311343756</c:v>
              </c:pt>
              <c:pt idx="149">
                <c:v>26219.602484014129</c:v>
              </c:pt>
              <c:pt idx="150">
                <c:v>26403.169999703488</c:v>
              </c:pt>
              <c:pt idx="151">
                <c:v>26581.72166336115</c:v>
              </c:pt>
              <c:pt idx="152">
                <c:v>26753.75337463645</c:v>
              </c:pt>
              <c:pt idx="153">
                <c:v>26922.446312257303</c:v>
              </c:pt>
              <c:pt idx="154">
                <c:v>27083.733318670336</c:v>
              </c:pt>
              <c:pt idx="155">
                <c:v>27238.30587953611</c:v>
              </c:pt>
              <c:pt idx="156">
                <c:v>27380.969616662162</c:v>
              </c:pt>
              <c:pt idx="157">
                <c:v>27517.517996695282</c:v>
              </c:pt>
              <c:pt idx="158">
                <c:v>27644.099044267754</c:v>
              </c:pt>
              <c:pt idx="159">
                <c:v>27758.96432042474</c:v>
              </c:pt>
              <c:pt idx="160">
                <c:v>27868.941421368021</c:v>
              </c:pt>
              <c:pt idx="161">
                <c:v>27963.10644410496</c:v>
              </c:pt>
              <c:pt idx="162">
                <c:v>28048.397484059715</c:v>
              </c:pt>
              <c:pt idx="163">
                <c:v>28113.582094733749</c:v>
              </c:pt>
              <c:pt idx="164">
                <c:v>28174.18083271556</c:v>
              </c:pt>
              <c:pt idx="165">
                <c:v>28220.309162659658</c:v>
              </c:pt>
              <c:pt idx="166">
                <c:v>28249.051577449591</c:v>
              </c:pt>
              <c:pt idx="167">
                <c:v>28265.131652360931</c:v>
              </c:pt>
              <c:pt idx="168">
                <c:v>28263.456257017016</c:v>
              </c:pt>
              <c:pt idx="169">
                <c:v>28250.344584906386</c:v>
              </c:pt>
              <c:pt idx="170">
                <c:v>28217.551472431314</c:v>
              </c:pt>
              <c:pt idx="171">
                <c:v>28175.104446387759</c:v>
              </c:pt>
              <c:pt idx="172">
                <c:v>28105.933946699603</c:v>
              </c:pt>
              <c:pt idx="173">
                <c:v>28030.578974811357</c:v>
              </c:pt>
              <c:pt idx="174">
                <c:v>27935.322657527497</c:v>
              </c:pt>
              <c:pt idx="175">
                <c:v>27818.903497052721</c:v>
              </c:pt>
              <c:pt idx="176">
                <c:v>27690.262644078757</c:v>
              </c:pt>
              <c:pt idx="177">
                <c:v>27546.05348223112</c:v>
              </c:pt>
              <c:pt idx="178">
                <c:v>27384.995213465059</c:v>
              </c:pt>
              <c:pt idx="179">
                <c:v>27209.419360876804</c:v>
              </c:pt>
              <c:pt idx="180">
                <c:v>27015.3621739421</c:v>
              </c:pt>
              <c:pt idx="181">
                <c:v>26813.843952152762</c:v>
              </c:pt>
              <c:pt idx="182">
                <c:v>26599.390078133616</c:v>
              </c:pt>
              <c:pt idx="183">
                <c:v>26374.799540834898</c:v>
              </c:pt>
              <c:pt idx="184">
                <c:v>26142.607689400262</c:v>
              </c:pt>
              <c:pt idx="185">
                <c:v>25903.680240991216</c:v>
              </c:pt>
              <c:pt idx="186">
                <c:v>25663.123965179355</c:v>
              </c:pt>
              <c:pt idx="187">
                <c:v>25419.8957589983</c:v>
              </c:pt>
              <c:pt idx="188">
                <c:v>25179.443118061179</c:v>
              </c:pt>
              <c:pt idx="189">
                <c:v>24945.679611392683</c:v>
              </c:pt>
              <c:pt idx="190">
                <c:v>24717.520697205717</c:v>
              </c:pt>
              <c:pt idx="191">
                <c:v>24502.575433653266</c:v>
              </c:pt>
              <c:pt idx="192">
                <c:v>24300.981667911074</c:v>
              </c:pt>
              <c:pt idx="193">
                <c:v>24117.008481746634</c:v>
              </c:pt>
              <c:pt idx="194">
                <c:v>23951.978374255421</c:v>
              </c:pt>
              <c:pt idx="195">
                <c:v>23808.473170660371</c:v>
              </c:pt>
              <c:pt idx="196">
                <c:v>23687.099546940193</c:v>
              </c:pt>
              <c:pt idx="197">
                <c:v>23589.31803482899</c:v>
              </c:pt>
              <c:pt idx="198">
                <c:v>23516.299608004454</c:v>
              </c:pt>
              <c:pt idx="199">
                <c:v>23470.337487901172</c:v>
              </c:pt>
            </c:numLit>
          </c:yVal>
          <c:smooth val="0"/>
        </c:ser>
        <c:ser>
          <c:idx val="4"/>
          <c:order val="4"/>
          <c:tx>
            <c:v>95%PI</c:v>
          </c:tx>
          <c:spPr>
            <a:ln w="12700">
              <a:solidFill>
                <a:srgbClr val="C0C0C0"/>
              </a:solidFill>
              <a:prstDash val="lgDash"/>
            </a:ln>
            <a:effectLst/>
          </c:spPr>
          <c:marker>
            <c:symbol val="none"/>
          </c:marker>
          <c:xVal>
            <c:numLit>
              <c:formatCode>General</c:formatCode>
              <c:ptCount val="200"/>
              <c:pt idx="0">
                <c:v>2315.6999999999998</c:v>
              </c:pt>
              <c:pt idx="1">
                <c:v>2319.8412060301575</c:v>
              </c:pt>
              <c:pt idx="2">
                <c:v>2323.9824120603016</c:v>
              </c:pt>
              <c:pt idx="3">
                <c:v>2328.1236180904525</c:v>
              </c:pt>
              <c:pt idx="4">
                <c:v>2332.2648241205957</c:v>
              </c:pt>
              <c:pt idx="5">
                <c:v>2336.4060301507543</c:v>
              </c:pt>
              <c:pt idx="6">
                <c:v>2340.5472361809052</c:v>
              </c:pt>
              <c:pt idx="7">
                <c:v>2344.6884422110547</c:v>
              </c:pt>
              <c:pt idx="8">
                <c:v>2348.829648241207</c:v>
              </c:pt>
              <c:pt idx="9">
                <c:v>2352.9708542713634</c:v>
              </c:pt>
              <c:pt idx="10">
                <c:v>2357.1120603015092</c:v>
              </c:pt>
              <c:pt idx="11">
                <c:v>2361.2532663316601</c:v>
              </c:pt>
              <c:pt idx="12">
                <c:v>2365.3944723618106</c:v>
              </c:pt>
              <c:pt idx="13">
                <c:v>2369.5356783919615</c:v>
              </c:pt>
              <c:pt idx="14">
                <c:v>2373.6768844221042</c:v>
              </c:pt>
              <c:pt idx="15">
                <c:v>2377.8180904522642</c:v>
              </c:pt>
              <c:pt idx="16">
                <c:v>2381.9592964824192</c:v>
              </c:pt>
              <c:pt idx="17">
                <c:v>2386.1005025125701</c:v>
              </c:pt>
              <c:pt idx="18">
                <c:v>2390.241708542716</c:v>
              </c:pt>
              <c:pt idx="19">
                <c:v>2394.3829145728719</c:v>
              </c:pt>
              <c:pt idx="20">
                <c:v>2398.5241206030178</c:v>
              </c:pt>
              <c:pt idx="21">
                <c:v>2402.6653266331737</c:v>
              </c:pt>
              <c:pt idx="22">
                <c:v>2406.8065326633246</c:v>
              </c:pt>
              <c:pt idx="23">
                <c:v>2410.947738693475</c:v>
              </c:pt>
              <c:pt idx="24">
                <c:v>2415.0889447236123</c:v>
              </c:pt>
              <c:pt idx="25">
                <c:v>2419.2301507537723</c:v>
              </c:pt>
              <c:pt idx="26">
                <c:v>2423.3713567839322</c:v>
              </c:pt>
              <c:pt idx="27">
                <c:v>2427.5125628140772</c:v>
              </c:pt>
              <c:pt idx="28">
                <c:v>2431.6537688442272</c:v>
              </c:pt>
              <c:pt idx="29">
                <c:v>2435.7949748743772</c:v>
              </c:pt>
              <c:pt idx="30">
                <c:v>2439.9361809045272</c:v>
              </c:pt>
              <c:pt idx="31">
                <c:v>2444.0773869346776</c:v>
              </c:pt>
              <c:pt idx="32">
                <c:v>2448.2185929648285</c:v>
              </c:pt>
              <c:pt idx="33">
                <c:v>2452.3597989949812</c:v>
              </c:pt>
              <c:pt idx="34">
                <c:v>2456.5010050251303</c:v>
              </c:pt>
              <c:pt idx="35">
                <c:v>2460.6422110552808</c:v>
              </c:pt>
              <c:pt idx="36">
                <c:v>2464.7834170854321</c:v>
              </c:pt>
              <c:pt idx="37">
                <c:v>2468.924623115583</c:v>
              </c:pt>
              <c:pt idx="38">
                <c:v>2473.0658291457285</c:v>
              </c:pt>
              <c:pt idx="39">
                <c:v>2477.2070351758848</c:v>
              </c:pt>
              <c:pt idx="40">
                <c:v>2481.3482412060357</c:v>
              </c:pt>
              <c:pt idx="41">
                <c:v>2485.4894472361866</c:v>
              </c:pt>
              <c:pt idx="42">
                <c:v>2489.6306532663375</c:v>
              </c:pt>
              <c:pt idx="43">
                <c:v>2493.7718592964902</c:v>
              </c:pt>
              <c:pt idx="44">
                <c:v>2497.9130653266393</c:v>
              </c:pt>
              <c:pt idx="45">
                <c:v>2502.0542713567897</c:v>
              </c:pt>
              <c:pt idx="46">
                <c:v>2506.1954773869411</c:v>
              </c:pt>
              <c:pt idx="47">
                <c:v>2510.3366834170897</c:v>
              </c:pt>
              <c:pt idx="48">
                <c:v>2514.4778894472397</c:v>
              </c:pt>
              <c:pt idx="49">
                <c:v>2518.6190954773942</c:v>
              </c:pt>
              <c:pt idx="50">
                <c:v>2522.7603015075451</c:v>
              </c:pt>
              <c:pt idx="51">
                <c:v>2526.901507537701</c:v>
              </c:pt>
              <c:pt idx="52">
                <c:v>2531.0427135678465</c:v>
              </c:pt>
              <c:pt idx="53">
                <c:v>2535.1839195979974</c:v>
              </c:pt>
              <c:pt idx="54">
                <c:v>2539.3251256281492</c:v>
              </c:pt>
              <c:pt idx="55">
                <c:v>2543.4663316582992</c:v>
              </c:pt>
              <c:pt idx="56">
                <c:v>2547.6075376884551</c:v>
              </c:pt>
              <c:pt idx="57">
                <c:v>2551.7487437185987</c:v>
              </c:pt>
              <c:pt idx="58">
                <c:v>2555.8899497487487</c:v>
              </c:pt>
              <c:pt idx="59">
                <c:v>2560.0311557789078</c:v>
              </c:pt>
              <c:pt idx="60">
                <c:v>2564.1723618090541</c:v>
              </c:pt>
              <c:pt idx="61">
                <c:v>2568.3135678392136</c:v>
              </c:pt>
              <c:pt idx="62">
                <c:v>2572.45477386936</c:v>
              </c:pt>
              <c:pt idx="63">
                <c:v>2576.5959798995109</c:v>
              </c:pt>
              <c:pt idx="64">
                <c:v>2580.7371859296522</c:v>
              </c:pt>
              <c:pt idx="65">
                <c:v>2584.8783919598081</c:v>
              </c:pt>
              <c:pt idx="66">
                <c:v>2589.0195979899622</c:v>
              </c:pt>
              <c:pt idx="67">
                <c:v>2593.1608040201049</c:v>
              </c:pt>
              <c:pt idx="68">
                <c:v>2597.3020100502622</c:v>
              </c:pt>
              <c:pt idx="69">
                <c:v>2601.4432160804199</c:v>
              </c:pt>
              <c:pt idx="70">
                <c:v>2605.5844221105617</c:v>
              </c:pt>
              <c:pt idx="71">
                <c:v>2609.7256281407085</c:v>
              </c:pt>
              <c:pt idx="72">
                <c:v>2613.8668341708644</c:v>
              </c:pt>
              <c:pt idx="73">
                <c:v>2618.0080402010153</c:v>
              </c:pt>
              <c:pt idx="74">
                <c:v>2622.1492462311662</c:v>
              </c:pt>
              <c:pt idx="75">
                <c:v>2626.2904522613171</c:v>
              </c:pt>
              <c:pt idx="76">
                <c:v>2630.4316582914757</c:v>
              </c:pt>
              <c:pt idx="77">
                <c:v>2634.5728643216135</c:v>
              </c:pt>
              <c:pt idx="78">
                <c:v>2638.7140703517698</c:v>
              </c:pt>
              <c:pt idx="79">
                <c:v>2642.8552763819275</c:v>
              </c:pt>
              <c:pt idx="80">
                <c:v>2646.9964824120707</c:v>
              </c:pt>
              <c:pt idx="81">
                <c:v>2651.1376884422207</c:v>
              </c:pt>
              <c:pt idx="82">
                <c:v>2655.2788944723734</c:v>
              </c:pt>
              <c:pt idx="83">
                <c:v>2659.4201005025307</c:v>
              </c:pt>
              <c:pt idx="84">
                <c:v>2663.5613065326806</c:v>
              </c:pt>
              <c:pt idx="85">
                <c:v>2667.7025125628261</c:v>
              </c:pt>
              <c:pt idx="86">
                <c:v>2671.8437185929824</c:v>
              </c:pt>
              <c:pt idx="87">
                <c:v>2675.9849246231247</c:v>
              </c:pt>
              <c:pt idx="88">
                <c:v>2680.1261306532792</c:v>
              </c:pt>
              <c:pt idx="89">
                <c:v>2684.2673366834356</c:v>
              </c:pt>
              <c:pt idx="90">
                <c:v>2688.4085427135806</c:v>
              </c:pt>
              <c:pt idx="91">
                <c:v>2692.5497487437297</c:v>
              </c:pt>
              <c:pt idx="92">
                <c:v>2696.6909547738824</c:v>
              </c:pt>
              <c:pt idx="93">
                <c:v>2700.8321608040383</c:v>
              </c:pt>
              <c:pt idx="94">
                <c:v>2704.9733668341937</c:v>
              </c:pt>
              <c:pt idx="95">
                <c:v>2709.1145728643401</c:v>
              </c:pt>
              <c:pt idx="96">
                <c:v>2713.255778894491</c:v>
              </c:pt>
              <c:pt idx="97">
                <c:v>2717.3969849246337</c:v>
              </c:pt>
              <c:pt idx="98">
                <c:v>2721.5381909547878</c:v>
              </c:pt>
              <c:pt idx="99">
                <c:v>2725.6793969849432</c:v>
              </c:pt>
              <c:pt idx="100">
                <c:v>2729.8206030150895</c:v>
              </c:pt>
              <c:pt idx="101">
                <c:v>2733.9618090452404</c:v>
              </c:pt>
              <c:pt idx="102">
                <c:v>2738.1030150753922</c:v>
              </c:pt>
              <c:pt idx="103">
                <c:v>2742.2442211055372</c:v>
              </c:pt>
              <c:pt idx="104">
                <c:v>2746.3854271356931</c:v>
              </c:pt>
              <c:pt idx="105">
                <c:v>2750.526633165839</c:v>
              </c:pt>
              <c:pt idx="106">
                <c:v>2754.6678391959899</c:v>
              </c:pt>
              <c:pt idx="107">
                <c:v>2758.8090452261458</c:v>
              </c:pt>
              <c:pt idx="108">
                <c:v>2762.9502512562972</c:v>
              </c:pt>
              <c:pt idx="109">
                <c:v>2767.0914572864558</c:v>
              </c:pt>
              <c:pt idx="110">
                <c:v>2771.2326633165985</c:v>
              </c:pt>
              <c:pt idx="111">
                <c:v>2775.3738693467494</c:v>
              </c:pt>
              <c:pt idx="112">
                <c:v>2779.5150753769012</c:v>
              </c:pt>
              <c:pt idx="113">
                <c:v>2783.6562814070453</c:v>
              </c:pt>
              <c:pt idx="114">
                <c:v>2787.7974874372017</c:v>
              </c:pt>
              <c:pt idx="115">
                <c:v>2791.938693467353</c:v>
              </c:pt>
              <c:pt idx="116">
                <c:v>2796.0798994975039</c:v>
              </c:pt>
              <c:pt idx="117">
                <c:v>2800.2211055276548</c:v>
              </c:pt>
              <c:pt idx="118">
                <c:v>2804.3623115578062</c:v>
              </c:pt>
              <c:pt idx="119">
                <c:v>2808.503517587963</c:v>
              </c:pt>
              <c:pt idx="120">
                <c:v>2812.6447236181057</c:v>
              </c:pt>
              <c:pt idx="121">
                <c:v>2816.7859296482584</c:v>
              </c:pt>
              <c:pt idx="122">
                <c:v>2820.9271356784157</c:v>
              </c:pt>
              <c:pt idx="123">
                <c:v>2825.0683417085597</c:v>
              </c:pt>
              <c:pt idx="124">
                <c:v>2829.2095477387097</c:v>
              </c:pt>
              <c:pt idx="125">
                <c:v>2833.350753768862</c:v>
              </c:pt>
              <c:pt idx="126">
                <c:v>2837.4919597990129</c:v>
              </c:pt>
              <c:pt idx="127">
                <c:v>2841.6331658291642</c:v>
              </c:pt>
              <c:pt idx="128">
                <c:v>2845.7743718593151</c:v>
              </c:pt>
              <c:pt idx="129">
                <c:v>2849.915577889476</c:v>
              </c:pt>
              <c:pt idx="130">
                <c:v>2854.0567839196137</c:v>
              </c:pt>
              <c:pt idx="131">
                <c:v>2858.1979899497637</c:v>
              </c:pt>
              <c:pt idx="132">
                <c:v>2862.3391959799233</c:v>
              </c:pt>
              <c:pt idx="133">
                <c:v>2866.4804020100692</c:v>
              </c:pt>
              <c:pt idx="134">
                <c:v>2870.6216080402201</c:v>
              </c:pt>
              <c:pt idx="135">
                <c:v>2874.762814070371</c:v>
              </c:pt>
              <c:pt idx="136">
                <c:v>2878.9040201005218</c:v>
              </c:pt>
              <c:pt idx="137">
                <c:v>2883.0452261306727</c:v>
              </c:pt>
              <c:pt idx="138">
                <c:v>2887.1864321608191</c:v>
              </c:pt>
              <c:pt idx="139">
                <c:v>2891.3276381909745</c:v>
              </c:pt>
              <c:pt idx="140">
                <c:v>2895.4688442211209</c:v>
              </c:pt>
              <c:pt idx="141">
                <c:v>2899.6100502512772</c:v>
              </c:pt>
              <c:pt idx="142">
                <c:v>2903.7512562814354</c:v>
              </c:pt>
              <c:pt idx="143">
                <c:v>2907.8924623115822</c:v>
              </c:pt>
              <c:pt idx="144">
                <c:v>2912.033668341729</c:v>
              </c:pt>
              <c:pt idx="145">
                <c:v>2916.1748743718799</c:v>
              </c:pt>
              <c:pt idx="146">
                <c:v>2920.3160804020308</c:v>
              </c:pt>
              <c:pt idx="147">
                <c:v>2924.4572864321822</c:v>
              </c:pt>
              <c:pt idx="148">
                <c:v>2928.5984924623317</c:v>
              </c:pt>
              <c:pt idx="149">
                <c:v>2932.7396984924835</c:v>
              </c:pt>
              <c:pt idx="150">
                <c:v>2936.8809045226344</c:v>
              </c:pt>
              <c:pt idx="151">
                <c:v>2941.0221105527862</c:v>
              </c:pt>
              <c:pt idx="152">
                <c:v>2945.1633165829439</c:v>
              </c:pt>
              <c:pt idx="153">
                <c:v>2949.3045226130871</c:v>
              </c:pt>
              <c:pt idx="154">
                <c:v>2953.4457286432412</c:v>
              </c:pt>
              <c:pt idx="155">
                <c:v>2957.5869346733912</c:v>
              </c:pt>
              <c:pt idx="156">
                <c:v>2961.7281407035398</c:v>
              </c:pt>
              <c:pt idx="157">
                <c:v>2965.8693467336911</c:v>
              </c:pt>
              <c:pt idx="158">
                <c:v>2970.0105527638416</c:v>
              </c:pt>
              <c:pt idx="159">
                <c:v>2974.1517587939925</c:v>
              </c:pt>
              <c:pt idx="160">
                <c:v>2978.2929648241434</c:v>
              </c:pt>
              <c:pt idx="161">
                <c:v>2982.4341708543002</c:v>
              </c:pt>
              <c:pt idx="162">
                <c:v>2986.5753768844552</c:v>
              </c:pt>
              <c:pt idx="163">
                <c:v>2990.7165829145961</c:v>
              </c:pt>
              <c:pt idx="164">
                <c:v>2994.857788944747</c:v>
              </c:pt>
              <c:pt idx="165">
                <c:v>2998.9989949748979</c:v>
              </c:pt>
              <c:pt idx="166">
                <c:v>3003.1402010050488</c:v>
              </c:pt>
              <c:pt idx="167">
                <c:v>3007.2814070352001</c:v>
              </c:pt>
              <c:pt idx="168">
                <c:v>3011.4226130653506</c:v>
              </c:pt>
              <c:pt idx="169">
                <c:v>3015.5638190955015</c:v>
              </c:pt>
              <c:pt idx="170">
                <c:v>3019.7050251256442</c:v>
              </c:pt>
              <c:pt idx="171">
                <c:v>3023.8462311558033</c:v>
              </c:pt>
              <c:pt idx="172">
                <c:v>3027.9874371859541</c:v>
              </c:pt>
              <c:pt idx="173">
                <c:v>3032.1286432161037</c:v>
              </c:pt>
              <c:pt idx="174">
                <c:v>3036.2698492462537</c:v>
              </c:pt>
              <c:pt idx="175">
                <c:v>3040.4110552764168</c:v>
              </c:pt>
              <c:pt idx="176">
                <c:v>3044.5522613065577</c:v>
              </c:pt>
              <c:pt idx="177">
                <c:v>3048.6934673367086</c:v>
              </c:pt>
              <c:pt idx="178">
                <c:v>3052.8346733668595</c:v>
              </c:pt>
              <c:pt idx="179">
                <c:v>3056.9758793970104</c:v>
              </c:pt>
              <c:pt idx="180">
                <c:v>3061.1170854271563</c:v>
              </c:pt>
              <c:pt idx="181">
                <c:v>3065.2582914573072</c:v>
              </c:pt>
              <c:pt idx="182">
                <c:v>3069.3994974874672</c:v>
              </c:pt>
              <c:pt idx="183">
                <c:v>3073.540703517614</c:v>
              </c:pt>
              <c:pt idx="184">
                <c:v>3077.6819095477649</c:v>
              </c:pt>
              <c:pt idx="185">
                <c:v>3081.823115577924</c:v>
              </c:pt>
              <c:pt idx="186">
                <c:v>3085.9643216080667</c:v>
              </c:pt>
              <c:pt idx="187">
                <c:v>3090.1055276382176</c:v>
              </c:pt>
              <c:pt idx="188">
                <c:v>3094.2467336683685</c:v>
              </c:pt>
              <c:pt idx="189">
                <c:v>3098.3879396985212</c:v>
              </c:pt>
              <c:pt idx="190">
                <c:v>3102.5291457286648</c:v>
              </c:pt>
              <c:pt idx="191">
                <c:v>3106.6703517588207</c:v>
              </c:pt>
              <c:pt idx="192">
                <c:v>3110.8115577889789</c:v>
              </c:pt>
              <c:pt idx="193">
                <c:v>3114.9527638191262</c:v>
              </c:pt>
              <c:pt idx="194">
                <c:v>3119.0939698492762</c:v>
              </c:pt>
              <c:pt idx="195">
                <c:v>3123.2351758794321</c:v>
              </c:pt>
              <c:pt idx="196">
                <c:v>3127.3763819095761</c:v>
              </c:pt>
              <c:pt idx="197">
                <c:v>3131.5175879397266</c:v>
              </c:pt>
              <c:pt idx="198">
                <c:v>3135.6587939698757</c:v>
              </c:pt>
              <c:pt idx="199">
                <c:v>3139.8000000000302</c:v>
              </c:pt>
            </c:numLit>
          </c:xVal>
          <c:yVal>
            <c:numLit>
              <c:formatCode>General</c:formatCode>
              <c:ptCount val="200"/>
              <c:pt idx="0">
                <c:v>356.6491047321706</c:v>
              </c:pt>
              <c:pt idx="1">
                <c:v>1073.1650664031731</c:v>
              </c:pt>
              <c:pt idx="2">
                <c:v>1732.3807138647389</c:v>
              </c:pt>
              <c:pt idx="3">
                <c:v>2337.8325620571895</c:v>
              </c:pt>
              <c:pt idx="4">
                <c:v>2892.7343702330322</c:v>
              </c:pt>
              <c:pt idx="5">
                <c:v>3398.2729088443375</c:v>
              </c:pt>
              <c:pt idx="6">
                <c:v>3857.786573438023</c:v>
              </c:pt>
              <c:pt idx="7">
                <c:v>4273.7010378683772</c:v>
              </c:pt>
              <c:pt idx="8">
                <c:v>4649.0157491942955</c:v>
              </c:pt>
              <c:pt idx="9">
                <c:v>4986.4815346376954</c:v>
              </c:pt>
              <c:pt idx="10">
                <c:v>5288.7472908202535</c:v>
              </c:pt>
              <c:pt idx="11">
                <c:v>5558.1713716256454</c:v>
              </c:pt>
              <c:pt idx="12">
                <c:v>5797.8687181863515</c:v>
              </c:pt>
              <c:pt idx="13">
                <c:v>6009.2691164875287</c:v>
              </c:pt>
              <c:pt idx="14">
                <c:v>6195.4264319437734</c:v>
              </c:pt>
              <c:pt idx="15">
                <c:v>6358.7330789825101</c:v>
              </c:pt>
              <c:pt idx="16">
                <c:v>6501.4633086507401</c:v>
              </c:pt>
              <c:pt idx="17">
                <c:v>6624.2112344218167</c:v>
              </c:pt>
              <c:pt idx="18">
                <c:v>6729.6752792062252</c:v>
              </c:pt>
              <c:pt idx="19">
                <c:v>6818.2947060576944</c:v>
              </c:pt>
              <c:pt idx="20">
                <c:v>6892.4143663325785</c:v>
              </c:pt>
              <c:pt idx="21">
                <c:v>6953.438591700191</c:v>
              </c:pt>
              <c:pt idx="22">
                <c:v>7003.4142551345867</c:v>
              </c:pt>
              <c:pt idx="23">
                <c:v>7041.5234683616654</c:v>
              </c:pt>
              <c:pt idx="24">
                <c:v>7070.7189258857834</c:v>
              </c:pt>
              <c:pt idx="25">
                <c:v>7088.7673479560572</c:v>
              </c:pt>
              <c:pt idx="26">
                <c:v>7100.5332588588435</c:v>
              </c:pt>
              <c:pt idx="27">
                <c:v>7103.3259192812611</c:v>
              </c:pt>
              <c:pt idx="28">
                <c:v>7100.4447882714585</c:v>
              </c:pt>
              <c:pt idx="29">
                <c:v>7091.4531909445395</c:v>
              </c:pt>
              <c:pt idx="30">
                <c:v>7075.2189694789868</c:v>
              </c:pt>
              <c:pt idx="31">
                <c:v>7054.5879517519934</c:v>
              </c:pt>
              <c:pt idx="32">
                <c:v>7029.5795266161622</c:v>
              </c:pt>
              <c:pt idx="33">
                <c:v>6998.3172108355448</c:v>
              </c:pt>
              <c:pt idx="34">
                <c:v>6965.1995221458901</c:v>
              </c:pt>
              <c:pt idx="35">
                <c:v>6926.6443605259692</c:v>
              </c:pt>
              <c:pt idx="36">
                <c:v>6885.3741679779514</c:v>
              </c:pt>
              <c:pt idx="37">
                <c:v>6841.153436322551</c:v>
              </c:pt>
              <c:pt idx="38">
                <c:v>6792.5240536149104</c:v>
              </c:pt>
              <c:pt idx="39">
                <c:v>6741.1080556207471</c:v>
              </c:pt>
              <c:pt idx="40">
                <c:v>6687.4658008816623</c:v>
              </c:pt>
              <c:pt idx="41">
                <c:v>6630.7251321544454</c:v>
              </c:pt>
              <c:pt idx="42">
                <c:v>6571.3496129517534</c:v>
              </c:pt>
              <c:pt idx="43">
                <c:v>6510.0885247171955</c:v>
              </c:pt>
              <c:pt idx="44">
                <c:v>6445.7820430531183</c:v>
              </c:pt>
              <c:pt idx="45">
                <c:v>6379.6796707342455</c:v>
              </c:pt>
              <c:pt idx="46">
                <c:v>6312.7280458777059</c:v>
              </c:pt>
              <c:pt idx="47">
                <c:v>6243.0440247675879</c:v>
              </c:pt>
              <c:pt idx="48">
                <c:v>6171.5856989474405</c:v>
              </c:pt>
              <c:pt idx="49">
                <c:v>6098.9786942296323</c:v>
              </c:pt>
              <c:pt idx="50">
                <c:v>6023.7509204368644</c:v>
              </c:pt>
              <c:pt idx="51">
                <c:v>5947.9100143793403</c:v>
              </c:pt>
              <c:pt idx="52">
                <c:v>5871.1603457905194</c:v>
              </c:pt>
              <c:pt idx="53">
                <c:v>5792.5473376142372</c:v>
              </c:pt>
              <c:pt idx="54">
                <c:v>5713.0567847366092</c:v>
              </c:pt>
              <c:pt idx="55">
                <c:v>5632.401440564754</c:v>
              </c:pt>
              <c:pt idx="56">
                <c:v>5551.2166750107344</c:v>
              </c:pt>
              <c:pt idx="57">
                <c:v>5469.2985821885695</c:v>
              </c:pt>
              <c:pt idx="58">
                <c:v>5387.1475186225562</c:v>
              </c:pt>
              <c:pt idx="59">
                <c:v>5304.2482308179324</c:v>
              </c:pt>
              <c:pt idx="60">
                <c:v>5221.053006522332</c:v>
              </c:pt>
              <c:pt idx="61">
                <c:v>5137.7118599350115</c:v>
              </c:pt>
              <c:pt idx="62">
                <c:v>5054.5300279508392</c:v>
              </c:pt>
              <c:pt idx="63">
                <c:v>4971.56629954456</c:v>
              </c:pt>
              <c:pt idx="64">
                <c:v>4888.9693825257273</c:v>
              </c:pt>
              <c:pt idx="65">
                <c:v>4807.0082403903225</c:v>
              </c:pt>
              <c:pt idx="66">
                <c:v>4725.7569489320795</c:v>
              </c:pt>
              <c:pt idx="67">
                <c:v>4645.4013316482997</c:v>
              </c:pt>
              <c:pt idx="68">
                <c:v>4566.3791775232594</c:v>
              </c:pt>
              <c:pt idx="69">
                <c:v>4488.1910446780912</c:v>
              </c:pt>
              <c:pt idx="70">
                <c:v>4411.5953462120615</c:v>
              </c:pt>
              <c:pt idx="71">
                <c:v>4336.7295410728266</c:v>
              </c:pt>
              <c:pt idx="72">
                <c:v>4263.4647800439998</c:v>
              </c:pt>
              <c:pt idx="73">
                <c:v>4192.7170897866126</c:v>
              </c:pt>
              <c:pt idx="74">
                <c:v>4124.2863549227395</c:v>
              </c:pt>
              <c:pt idx="75">
                <c:v>4057.6332736833665</c:v>
              </c:pt>
              <c:pt idx="76">
                <c:v>3994.1542159423461</c:v>
              </c:pt>
              <c:pt idx="77">
                <c:v>3931.7054696588666</c:v>
              </c:pt>
              <c:pt idx="78">
                <c:v>3874.0567009019214</c:v>
              </c:pt>
              <c:pt idx="79">
                <c:v>3818.7235809751655</c:v>
              </c:pt>
              <c:pt idx="80">
                <c:v>3766.5433843804722</c:v>
              </c:pt>
              <c:pt idx="81">
                <c:v>3718.5793160631042</c:v>
              </c:pt>
              <c:pt idx="82">
                <c:v>3673.0656071205685</c:v>
              </c:pt>
              <c:pt idx="83">
                <c:v>3631.7750896241737</c:v>
              </c:pt>
              <c:pt idx="84">
                <c:v>3593.8006333676858</c:v>
              </c:pt>
              <c:pt idx="85">
                <c:v>3561.2224433039887</c:v>
              </c:pt>
              <c:pt idx="86">
                <c:v>3531.8853282098912</c:v>
              </c:pt>
              <c:pt idx="87">
                <c:v>3506.1251115932077</c:v>
              </c:pt>
              <c:pt idx="88">
                <c:v>3485.3148708283206</c:v>
              </c:pt>
              <c:pt idx="89">
                <c:v>3468.74310480443</c:v>
              </c:pt>
              <c:pt idx="90">
                <c:v>3456.4360480008709</c:v>
              </c:pt>
              <c:pt idx="91">
                <c:v>3448.0990184537513</c:v>
              </c:pt>
              <c:pt idx="92">
                <c:v>3446.7430995951145</c:v>
              </c:pt>
              <c:pt idx="93">
                <c:v>3447.8784684574307</c:v>
              </c:pt>
              <c:pt idx="94">
                <c:v>3453.4286811800775</c:v>
              </c:pt>
              <c:pt idx="95">
                <c:v>3464.1233787410274</c:v>
              </c:pt>
              <c:pt idx="96">
                <c:v>3479.0630321467252</c:v>
              </c:pt>
              <c:pt idx="97">
                <c:v>3499.5056173323792</c:v>
              </c:pt>
              <c:pt idx="98">
                <c:v>3523.4548903997693</c:v>
              </c:pt>
              <c:pt idx="99">
                <c:v>3552.8549156535259</c:v>
              </c:pt>
              <c:pt idx="100">
                <c:v>3586.2282112562407</c:v>
              </c:pt>
              <c:pt idx="101">
                <c:v>3624.9514845167269</c:v>
              </c:pt>
              <c:pt idx="102">
                <c:v>3665.6057104585002</c:v>
              </c:pt>
              <c:pt idx="103">
                <c:v>3713.9244426664281</c:v>
              </c:pt>
              <c:pt idx="104">
                <c:v>3764.3937443970972</c:v>
              </c:pt>
              <c:pt idx="105">
                <c:v>3820.8801350069352</c:v>
              </c:pt>
              <c:pt idx="106">
                <c:v>3879.0451653922719</c:v>
              </c:pt>
              <c:pt idx="107">
                <c:v>3941.8147220776618</c:v>
              </c:pt>
              <c:pt idx="108">
                <c:v>4009.0398352945472</c:v>
              </c:pt>
              <c:pt idx="109">
                <c:v>4079.1307069178552</c:v>
              </c:pt>
              <c:pt idx="110">
                <c:v>4153.2043655633524</c:v>
              </c:pt>
              <c:pt idx="111">
                <c:v>4230.0268236280754</c:v>
              </c:pt>
              <c:pt idx="112">
                <c:v>4310.3423749784433</c:v>
              </c:pt>
              <c:pt idx="113">
                <c:v>4393.2497941692754</c:v>
              </c:pt>
              <c:pt idx="114">
                <c:v>4478.4624078282495</c:v>
              </c:pt>
              <c:pt idx="115">
                <c:v>4566.8470651114822</c:v>
              </c:pt>
              <c:pt idx="116">
                <c:v>4656.9351734856191</c:v>
              </c:pt>
              <c:pt idx="117">
                <c:v>4749.3999907253838</c:v>
              </c:pt>
              <c:pt idx="118">
                <c:v>4843.1046841697043</c:v>
              </c:pt>
              <c:pt idx="119">
                <c:v>4938.6771107933455</c:v>
              </c:pt>
              <c:pt idx="120">
                <c:v>5034.845658952001</c:v>
              </c:pt>
              <c:pt idx="121">
                <c:v>5133.0741589690497</c:v>
              </c:pt>
              <c:pt idx="122">
                <c:v>5232.3247830991904</c:v>
              </c:pt>
              <c:pt idx="123">
                <c:v>5331.8779968835825</c:v>
              </c:pt>
              <c:pt idx="124">
                <c:v>5432.0791559901618</c:v>
              </c:pt>
              <c:pt idx="125">
                <c:v>5532.4108480027262</c:v>
              </c:pt>
              <c:pt idx="126">
                <c:v>5632.4214761343083</c:v>
              </c:pt>
              <c:pt idx="127">
                <c:v>5732.4209898150912</c:v>
              </c:pt>
              <c:pt idx="128">
                <c:v>5831.8206879522913</c:v>
              </c:pt>
              <c:pt idx="129">
                <c:v>5930.522496267964</c:v>
              </c:pt>
              <c:pt idx="130">
                <c:v>6028.3735310133652</c:v>
              </c:pt>
              <c:pt idx="131">
                <c:v>6125.0749838943575</c:v>
              </c:pt>
              <c:pt idx="132">
                <c:v>6220.5229580594105</c:v>
              </c:pt>
              <c:pt idx="133">
                <c:v>6314.537670265212</c:v>
              </c:pt>
              <c:pt idx="134">
                <c:v>6406.8352244580246</c:v>
              </c:pt>
              <c:pt idx="135">
                <c:v>6497.2358984550037</c:v>
              </c:pt>
              <c:pt idx="136">
                <c:v>6585.4525194717953</c:v>
              </c:pt>
              <c:pt idx="137">
                <c:v>6671.6323210150613</c:v>
              </c:pt>
              <c:pt idx="138">
                <c:v>6756.4944376245785</c:v>
              </c:pt>
              <c:pt idx="139">
                <c:v>6837.653858058331</c:v>
              </c:pt>
              <c:pt idx="140">
                <c:v>6916.8703050560871</c:v>
              </c:pt>
              <c:pt idx="141">
                <c:v>6993.3522244897704</c:v>
              </c:pt>
              <c:pt idx="142">
                <c:v>7066.8207523522315</c:v>
              </c:pt>
              <c:pt idx="143">
                <c:v>7137.6614155064844</c:v>
              </c:pt>
              <c:pt idx="144">
                <c:v>7206.1761825614985</c:v>
              </c:pt>
              <c:pt idx="145">
                <c:v>7270.8010811722834</c:v>
              </c:pt>
              <c:pt idx="146">
                <c:v>7331.7581397340709</c:v>
              </c:pt>
              <c:pt idx="147">
                <c:v>7390.4718497835256</c:v>
              </c:pt>
              <c:pt idx="148">
                <c:v>7446.7861251246404</c:v>
              </c:pt>
              <c:pt idx="149">
                <c:v>7498.9960955127954</c:v>
              </c:pt>
              <c:pt idx="150">
                <c:v>7547.5852128207407</c:v>
              </c:pt>
              <c:pt idx="151">
                <c:v>7593.0058567228116</c:v>
              </c:pt>
              <c:pt idx="152">
                <c:v>7635.6806172415272</c:v>
              </c:pt>
              <c:pt idx="153">
                <c:v>7673.4154450437436</c:v>
              </c:pt>
              <c:pt idx="154">
                <c:v>7708.0456468004304</c:v>
              </c:pt>
              <c:pt idx="155">
                <c:v>7738.7515702923884</c:v>
              </c:pt>
              <c:pt idx="156">
                <c:v>7768.0667101472773</c:v>
              </c:pt>
              <c:pt idx="157">
                <c:v>7792.2390593722466</c:v>
              </c:pt>
              <c:pt idx="158">
                <c:v>7813.0229638740902</c:v>
              </c:pt>
              <c:pt idx="159">
                <c:v>7830.9823341526444</c:v>
              </c:pt>
              <c:pt idx="160">
                <c:v>7841.6453732971113</c:v>
              </c:pt>
              <c:pt idx="161">
                <c:v>7850.9308320553282</c:v>
              </c:pt>
              <c:pt idx="162">
                <c:v>7854.2662794950211</c:v>
              </c:pt>
              <c:pt idx="163">
                <c:v>7857.8147109936581</c:v>
              </c:pt>
              <c:pt idx="164">
                <c:v>7851.8338483850785</c:v>
              </c:pt>
              <c:pt idx="165">
                <c:v>7841.6690038179804</c:v>
              </c:pt>
              <c:pt idx="166">
                <c:v>7828.5361621141146</c:v>
              </c:pt>
              <c:pt idx="167">
                <c:v>7809.0512488877785</c:v>
              </c:pt>
              <c:pt idx="168">
                <c:v>7785.7086419201005</c:v>
              </c:pt>
              <c:pt idx="169">
                <c:v>7754.121597262194</c:v>
              </c:pt>
              <c:pt idx="170">
                <c:v>7718.6627410664323</c:v>
              </c:pt>
              <c:pt idx="171">
                <c:v>7672.6773971186367</c:v>
              </c:pt>
              <c:pt idx="172">
                <c:v>7625.8345097974434</c:v>
              </c:pt>
              <c:pt idx="173">
                <c:v>7565.1196749423452</c:v>
              </c:pt>
              <c:pt idx="174">
                <c:v>7498.1520014835323</c:v>
              </c:pt>
              <c:pt idx="175">
                <c:v>7425.0211839564954</c:v>
              </c:pt>
              <c:pt idx="176">
                <c:v>7339.6893347110554</c:v>
              </c:pt>
              <c:pt idx="177">
                <c:v>7243.4941067309956</c:v>
              </c:pt>
              <c:pt idx="178">
                <c:v>7136.5168475189421</c:v>
              </c:pt>
              <c:pt idx="179">
                <c:v>7016.6797162127405</c:v>
              </c:pt>
              <c:pt idx="180">
                <c:v>6885.638630773863</c:v>
              </c:pt>
              <c:pt idx="181">
                <c:v>6736.1813581886727</c:v>
              </c:pt>
              <c:pt idx="182">
                <c:v>6570.8648846795686</c:v>
              </c:pt>
              <c:pt idx="183">
                <c:v>6387.351199559831</c:v>
              </c:pt>
              <c:pt idx="184">
                <c:v>6183.4632523302034</c:v>
              </c:pt>
              <c:pt idx="185">
                <c:v>5957.9962420483898</c:v>
              </c:pt>
              <c:pt idx="186">
                <c:v>5707.2439172848672</c:v>
              </c:pt>
              <c:pt idx="187">
                <c:v>5431.0656443595135</c:v>
              </c:pt>
              <c:pt idx="188">
                <c:v>5125.4613804770734</c:v>
              </c:pt>
              <c:pt idx="189">
                <c:v>4787.2285174082008</c:v>
              </c:pt>
              <c:pt idx="190">
                <c:v>4415.9994239628613</c:v>
              </c:pt>
              <c:pt idx="191">
                <c:v>4006.0857274945452</c:v>
              </c:pt>
              <c:pt idx="192">
                <c:v>3556.0370458440152</c:v>
              </c:pt>
              <c:pt idx="193">
                <c:v>3061.6838646917522</c:v>
              </c:pt>
              <c:pt idx="194">
                <c:v>2520.3870268249502</c:v>
              </c:pt>
              <c:pt idx="195">
                <c:v>1928.4674549556566</c:v>
              </c:pt>
              <c:pt idx="196">
                <c:v>1283.2493591315301</c:v>
              </c:pt>
              <c:pt idx="197">
                <c:v>581.30663994918359</c:v>
              </c:pt>
              <c:pt idx="198">
                <c:v>-180.78713684726665</c:v>
              </c:pt>
              <c:pt idx="199">
                <c:v>-1007.3983418896955</c:v>
              </c:pt>
            </c:numLit>
          </c:yVal>
          <c:smooth val="0"/>
        </c:ser>
        <c:ser>
          <c:idx val="5"/>
          <c:order val="5"/>
          <c:tx>
            <c:v/>
          </c:tx>
          <c:spPr>
            <a:ln w="12700">
              <a:solidFill>
                <a:srgbClr val="C0C0C0"/>
              </a:solidFill>
              <a:prstDash val="lgDash"/>
            </a:ln>
            <a:effectLst/>
          </c:spPr>
          <c:marker>
            <c:symbol val="none"/>
          </c:marker>
          <c:xVal>
            <c:numLit>
              <c:formatCode>General</c:formatCode>
              <c:ptCount val="200"/>
              <c:pt idx="0">
                <c:v>2315.6999999999998</c:v>
              </c:pt>
              <c:pt idx="1">
                <c:v>2319.8412060301575</c:v>
              </c:pt>
              <c:pt idx="2">
                <c:v>2323.9824120603016</c:v>
              </c:pt>
              <c:pt idx="3">
                <c:v>2328.1236180904525</c:v>
              </c:pt>
              <c:pt idx="4">
                <c:v>2332.2648241205957</c:v>
              </c:pt>
              <c:pt idx="5">
                <c:v>2336.4060301507543</c:v>
              </c:pt>
              <c:pt idx="6">
                <c:v>2340.5472361809052</c:v>
              </c:pt>
              <c:pt idx="7">
                <c:v>2344.6884422110547</c:v>
              </c:pt>
              <c:pt idx="8">
                <c:v>2348.829648241207</c:v>
              </c:pt>
              <c:pt idx="9">
                <c:v>2352.9708542713634</c:v>
              </c:pt>
              <c:pt idx="10">
                <c:v>2357.1120603015092</c:v>
              </c:pt>
              <c:pt idx="11">
                <c:v>2361.2532663316601</c:v>
              </c:pt>
              <c:pt idx="12">
                <c:v>2365.3944723618106</c:v>
              </c:pt>
              <c:pt idx="13">
                <c:v>2369.5356783919615</c:v>
              </c:pt>
              <c:pt idx="14">
                <c:v>2373.6768844221042</c:v>
              </c:pt>
              <c:pt idx="15">
                <c:v>2377.8180904522642</c:v>
              </c:pt>
              <c:pt idx="16">
                <c:v>2381.9592964824192</c:v>
              </c:pt>
              <c:pt idx="17">
                <c:v>2386.1005025125701</c:v>
              </c:pt>
              <c:pt idx="18">
                <c:v>2390.241708542716</c:v>
              </c:pt>
              <c:pt idx="19">
                <c:v>2394.3829145728719</c:v>
              </c:pt>
              <c:pt idx="20">
                <c:v>2398.5241206030178</c:v>
              </c:pt>
              <c:pt idx="21">
                <c:v>2402.6653266331737</c:v>
              </c:pt>
              <c:pt idx="22">
                <c:v>2406.8065326633246</c:v>
              </c:pt>
              <c:pt idx="23">
                <c:v>2410.947738693475</c:v>
              </c:pt>
              <c:pt idx="24">
                <c:v>2415.0889447236123</c:v>
              </c:pt>
              <c:pt idx="25">
                <c:v>2419.2301507537723</c:v>
              </c:pt>
              <c:pt idx="26">
                <c:v>2423.3713567839322</c:v>
              </c:pt>
              <c:pt idx="27">
                <c:v>2427.5125628140772</c:v>
              </c:pt>
              <c:pt idx="28">
                <c:v>2431.6537688442272</c:v>
              </c:pt>
              <c:pt idx="29">
                <c:v>2435.7949748743772</c:v>
              </c:pt>
              <c:pt idx="30">
                <c:v>2439.9361809045272</c:v>
              </c:pt>
              <c:pt idx="31">
                <c:v>2444.0773869346776</c:v>
              </c:pt>
              <c:pt idx="32">
                <c:v>2448.2185929648285</c:v>
              </c:pt>
              <c:pt idx="33">
                <c:v>2452.3597989949812</c:v>
              </c:pt>
              <c:pt idx="34">
                <c:v>2456.5010050251303</c:v>
              </c:pt>
              <c:pt idx="35">
                <c:v>2460.6422110552808</c:v>
              </c:pt>
              <c:pt idx="36">
                <c:v>2464.7834170854321</c:v>
              </c:pt>
              <c:pt idx="37">
                <c:v>2468.924623115583</c:v>
              </c:pt>
              <c:pt idx="38">
                <c:v>2473.0658291457285</c:v>
              </c:pt>
              <c:pt idx="39">
                <c:v>2477.2070351758848</c:v>
              </c:pt>
              <c:pt idx="40">
                <c:v>2481.3482412060357</c:v>
              </c:pt>
              <c:pt idx="41">
                <c:v>2485.4894472361866</c:v>
              </c:pt>
              <c:pt idx="42">
                <c:v>2489.6306532663375</c:v>
              </c:pt>
              <c:pt idx="43">
                <c:v>2493.7718592964902</c:v>
              </c:pt>
              <c:pt idx="44">
                <c:v>2497.9130653266393</c:v>
              </c:pt>
              <c:pt idx="45">
                <c:v>2502.0542713567897</c:v>
              </c:pt>
              <c:pt idx="46">
                <c:v>2506.1954773869411</c:v>
              </c:pt>
              <c:pt idx="47">
                <c:v>2510.3366834170897</c:v>
              </c:pt>
              <c:pt idx="48">
                <c:v>2514.4778894472397</c:v>
              </c:pt>
              <c:pt idx="49">
                <c:v>2518.6190954773942</c:v>
              </c:pt>
              <c:pt idx="50">
                <c:v>2522.7603015075451</c:v>
              </c:pt>
              <c:pt idx="51">
                <c:v>2526.901507537701</c:v>
              </c:pt>
              <c:pt idx="52">
                <c:v>2531.0427135678465</c:v>
              </c:pt>
              <c:pt idx="53">
                <c:v>2535.1839195979974</c:v>
              </c:pt>
              <c:pt idx="54">
                <c:v>2539.3251256281492</c:v>
              </c:pt>
              <c:pt idx="55">
                <c:v>2543.4663316582992</c:v>
              </c:pt>
              <c:pt idx="56">
                <c:v>2547.6075376884551</c:v>
              </c:pt>
              <c:pt idx="57">
                <c:v>2551.7487437185987</c:v>
              </c:pt>
              <c:pt idx="58">
                <c:v>2555.8899497487487</c:v>
              </c:pt>
              <c:pt idx="59">
                <c:v>2560.0311557789078</c:v>
              </c:pt>
              <c:pt idx="60">
                <c:v>2564.1723618090541</c:v>
              </c:pt>
              <c:pt idx="61">
                <c:v>2568.3135678392136</c:v>
              </c:pt>
              <c:pt idx="62">
                <c:v>2572.45477386936</c:v>
              </c:pt>
              <c:pt idx="63">
                <c:v>2576.5959798995109</c:v>
              </c:pt>
              <c:pt idx="64">
                <c:v>2580.7371859296522</c:v>
              </c:pt>
              <c:pt idx="65">
                <c:v>2584.8783919598081</c:v>
              </c:pt>
              <c:pt idx="66">
                <c:v>2589.0195979899622</c:v>
              </c:pt>
              <c:pt idx="67">
                <c:v>2593.1608040201049</c:v>
              </c:pt>
              <c:pt idx="68">
                <c:v>2597.3020100502622</c:v>
              </c:pt>
              <c:pt idx="69">
                <c:v>2601.4432160804199</c:v>
              </c:pt>
              <c:pt idx="70">
                <c:v>2605.5844221105617</c:v>
              </c:pt>
              <c:pt idx="71">
                <c:v>2609.7256281407085</c:v>
              </c:pt>
              <c:pt idx="72">
                <c:v>2613.8668341708644</c:v>
              </c:pt>
              <c:pt idx="73">
                <c:v>2618.0080402010153</c:v>
              </c:pt>
              <c:pt idx="74">
                <c:v>2622.1492462311662</c:v>
              </c:pt>
              <c:pt idx="75">
                <c:v>2626.2904522613171</c:v>
              </c:pt>
              <c:pt idx="76">
                <c:v>2630.4316582914757</c:v>
              </c:pt>
              <c:pt idx="77">
                <c:v>2634.5728643216135</c:v>
              </c:pt>
              <c:pt idx="78">
                <c:v>2638.7140703517698</c:v>
              </c:pt>
              <c:pt idx="79">
                <c:v>2642.8552763819275</c:v>
              </c:pt>
              <c:pt idx="80">
                <c:v>2646.9964824120707</c:v>
              </c:pt>
              <c:pt idx="81">
                <c:v>2651.1376884422207</c:v>
              </c:pt>
              <c:pt idx="82">
                <c:v>2655.2788944723734</c:v>
              </c:pt>
              <c:pt idx="83">
                <c:v>2659.4201005025307</c:v>
              </c:pt>
              <c:pt idx="84">
                <c:v>2663.5613065326806</c:v>
              </c:pt>
              <c:pt idx="85">
                <c:v>2667.7025125628261</c:v>
              </c:pt>
              <c:pt idx="86">
                <c:v>2671.8437185929824</c:v>
              </c:pt>
              <c:pt idx="87">
                <c:v>2675.9849246231247</c:v>
              </c:pt>
              <c:pt idx="88">
                <c:v>2680.1261306532792</c:v>
              </c:pt>
              <c:pt idx="89">
                <c:v>2684.2673366834356</c:v>
              </c:pt>
              <c:pt idx="90">
                <c:v>2688.4085427135806</c:v>
              </c:pt>
              <c:pt idx="91">
                <c:v>2692.5497487437297</c:v>
              </c:pt>
              <c:pt idx="92">
                <c:v>2696.6909547738824</c:v>
              </c:pt>
              <c:pt idx="93">
                <c:v>2700.8321608040383</c:v>
              </c:pt>
              <c:pt idx="94">
                <c:v>2704.9733668341937</c:v>
              </c:pt>
              <c:pt idx="95">
                <c:v>2709.1145728643401</c:v>
              </c:pt>
              <c:pt idx="96">
                <c:v>2713.255778894491</c:v>
              </c:pt>
              <c:pt idx="97">
                <c:v>2717.3969849246337</c:v>
              </c:pt>
              <c:pt idx="98">
                <c:v>2721.5381909547878</c:v>
              </c:pt>
              <c:pt idx="99">
                <c:v>2725.6793969849432</c:v>
              </c:pt>
              <c:pt idx="100">
                <c:v>2729.8206030150895</c:v>
              </c:pt>
              <c:pt idx="101">
                <c:v>2733.9618090452404</c:v>
              </c:pt>
              <c:pt idx="102">
                <c:v>2738.1030150753922</c:v>
              </c:pt>
              <c:pt idx="103">
                <c:v>2742.2442211055372</c:v>
              </c:pt>
              <c:pt idx="104">
                <c:v>2746.3854271356931</c:v>
              </c:pt>
              <c:pt idx="105">
                <c:v>2750.526633165839</c:v>
              </c:pt>
              <c:pt idx="106">
                <c:v>2754.6678391959899</c:v>
              </c:pt>
              <c:pt idx="107">
                <c:v>2758.8090452261458</c:v>
              </c:pt>
              <c:pt idx="108">
                <c:v>2762.9502512562972</c:v>
              </c:pt>
              <c:pt idx="109">
                <c:v>2767.0914572864558</c:v>
              </c:pt>
              <c:pt idx="110">
                <c:v>2771.2326633165985</c:v>
              </c:pt>
              <c:pt idx="111">
                <c:v>2775.3738693467494</c:v>
              </c:pt>
              <c:pt idx="112">
                <c:v>2779.5150753769012</c:v>
              </c:pt>
              <c:pt idx="113">
                <c:v>2783.6562814070453</c:v>
              </c:pt>
              <c:pt idx="114">
                <c:v>2787.7974874372017</c:v>
              </c:pt>
              <c:pt idx="115">
                <c:v>2791.938693467353</c:v>
              </c:pt>
              <c:pt idx="116">
                <c:v>2796.0798994975039</c:v>
              </c:pt>
              <c:pt idx="117">
                <c:v>2800.2211055276548</c:v>
              </c:pt>
              <c:pt idx="118">
                <c:v>2804.3623115578062</c:v>
              </c:pt>
              <c:pt idx="119">
                <c:v>2808.503517587963</c:v>
              </c:pt>
              <c:pt idx="120">
                <c:v>2812.6447236181057</c:v>
              </c:pt>
              <c:pt idx="121">
                <c:v>2816.7859296482584</c:v>
              </c:pt>
              <c:pt idx="122">
                <c:v>2820.9271356784157</c:v>
              </c:pt>
              <c:pt idx="123">
                <c:v>2825.0683417085597</c:v>
              </c:pt>
              <c:pt idx="124">
                <c:v>2829.2095477387097</c:v>
              </c:pt>
              <c:pt idx="125">
                <c:v>2833.350753768862</c:v>
              </c:pt>
              <c:pt idx="126">
                <c:v>2837.4919597990129</c:v>
              </c:pt>
              <c:pt idx="127">
                <c:v>2841.6331658291642</c:v>
              </c:pt>
              <c:pt idx="128">
                <c:v>2845.7743718593151</c:v>
              </c:pt>
              <c:pt idx="129">
                <c:v>2849.915577889476</c:v>
              </c:pt>
              <c:pt idx="130">
                <c:v>2854.0567839196137</c:v>
              </c:pt>
              <c:pt idx="131">
                <c:v>2858.1979899497637</c:v>
              </c:pt>
              <c:pt idx="132">
                <c:v>2862.3391959799233</c:v>
              </c:pt>
              <c:pt idx="133">
                <c:v>2866.4804020100692</c:v>
              </c:pt>
              <c:pt idx="134">
                <c:v>2870.6216080402201</c:v>
              </c:pt>
              <c:pt idx="135">
                <c:v>2874.762814070371</c:v>
              </c:pt>
              <c:pt idx="136">
                <c:v>2878.9040201005218</c:v>
              </c:pt>
              <c:pt idx="137">
                <c:v>2883.0452261306727</c:v>
              </c:pt>
              <c:pt idx="138">
                <c:v>2887.1864321608191</c:v>
              </c:pt>
              <c:pt idx="139">
                <c:v>2891.3276381909745</c:v>
              </c:pt>
              <c:pt idx="140">
                <c:v>2895.4688442211209</c:v>
              </c:pt>
              <c:pt idx="141">
                <c:v>2899.6100502512772</c:v>
              </c:pt>
              <c:pt idx="142">
                <c:v>2903.7512562814354</c:v>
              </c:pt>
              <c:pt idx="143">
                <c:v>2907.8924623115822</c:v>
              </c:pt>
              <c:pt idx="144">
                <c:v>2912.033668341729</c:v>
              </c:pt>
              <c:pt idx="145">
                <c:v>2916.1748743718799</c:v>
              </c:pt>
              <c:pt idx="146">
                <c:v>2920.3160804020308</c:v>
              </c:pt>
              <c:pt idx="147">
                <c:v>2924.4572864321822</c:v>
              </c:pt>
              <c:pt idx="148">
                <c:v>2928.5984924623317</c:v>
              </c:pt>
              <c:pt idx="149">
                <c:v>2932.7396984924835</c:v>
              </c:pt>
              <c:pt idx="150">
                <c:v>2936.8809045226344</c:v>
              </c:pt>
              <c:pt idx="151">
                <c:v>2941.0221105527862</c:v>
              </c:pt>
              <c:pt idx="152">
                <c:v>2945.1633165829439</c:v>
              </c:pt>
              <c:pt idx="153">
                <c:v>2949.3045226130871</c:v>
              </c:pt>
              <c:pt idx="154">
                <c:v>2953.4457286432412</c:v>
              </c:pt>
              <c:pt idx="155">
                <c:v>2957.5869346733912</c:v>
              </c:pt>
              <c:pt idx="156">
                <c:v>2961.7281407035398</c:v>
              </c:pt>
              <c:pt idx="157">
                <c:v>2965.8693467336911</c:v>
              </c:pt>
              <c:pt idx="158">
                <c:v>2970.0105527638416</c:v>
              </c:pt>
              <c:pt idx="159">
                <c:v>2974.1517587939925</c:v>
              </c:pt>
              <c:pt idx="160">
                <c:v>2978.2929648241434</c:v>
              </c:pt>
              <c:pt idx="161">
                <c:v>2982.4341708543002</c:v>
              </c:pt>
              <c:pt idx="162">
                <c:v>2986.5753768844552</c:v>
              </c:pt>
              <c:pt idx="163">
                <c:v>2990.7165829145961</c:v>
              </c:pt>
              <c:pt idx="164">
                <c:v>2994.857788944747</c:v>
              </c:pt>
              <c:pt idx="165">
                <c:v>2998.9989949748979</c:v>
              </c:pt>
              <c:pt idx="166">
                <c:v>3003.1402010050488</c:v>
              </c:pt>
              <c:pt idx="167">
                <c:v>3007.2814070352001</c:v>
              </c:pt>
              <c:pt idx="168">
                <c:v>3011.4226130653506</c:v>
              </c:pt>
              <c:pt idx="169">
                <c:v>3015.5638190955015</c:v>
              </c:pt>
              <c:pt idx="170">
                <c:v>3019.7050251256442</c:v>
              </c:pt>
              <c:pt idx="171">
                <c:v>3023.8462311558033</c:v>
              </c:pt>
              <c:pt idx="172">
                <c:v>3027.9874371859541</c:v>
              </c:pt>
              <c:pt idx="173">
                <c:v>3032.1286432161037</c:v>
              </c:pt>
              <c:pt idx="174">
                <c:v>3036.2698492462537</c:v>
              </c:pt>
              <c:pt idx="175">
                <c:v>3040.4110552764168</c:v>
              </c:pt>
              <c:pt idx="176">
                <c:v>3044.5522613065577</c:v>
              </c:pt>
              <c:pt idx="177">
                <c:v>3048.6934673367086</c:v>
              </c:pt>
              <c:pt idx="178">
                <c:v>3052.8346733668595</c:v>
              </c:pt>
              <c:pt idx="179">
                <c:v>3056.9758793970104</c:v>
              </c:pt>
              <c:pt idx="180">
                <c:v>3061.1170854271563</c:v>
              </c:pt>
              <c:pt idx="181">
                <c:v>3065.2582914573072</c:v>
              </c:pt>
              <c:pt idx="182">
                <c:v>3069.3994974874672</c:v>
              </c:pt>
              <c:pt idx="183">
                <c:v>3073.540703517614</c:v>
              </c:pt>
              <c:pt idx="184">
                <c:v>3077.6819095477649</c:v>
              </c:pt>
              <c:pt idx="185">
                <c:v>3081.823115577924</c:v>
              </c:pt>
              <c:pt idx="186">
                <c:v>3085.9643216080667</c:v>
              </c:pt>
              <c:pt idx="187">
                <c:v>3090.1055276382176</c:v>
              </c:pt>
              <c:pt idx="188">
                <c:v>3094.2467336683685</c:v>
              </c:pt>
              <c:pt idx="189">
                <c:v>3098.3879396985212</c:v>
              </c:pt>
              <c:pt idx="190">
                <c:v>3102.5291457286648</c:v>
              </c:pt>
              <c:pt idx="191">
                <c:v>3106.6703517588207</c:v>
              </c:pt>
              <c:pt idx="192">
                <c:v>3110.8115577889789</c:v>
              </c:pt>
              <c:pt idx="193">
                <c:v>3114.9527638191262</c:v>
              </c:pt>
              <c:pt idx="194">
                <c:v>3119.0939698492762</c:v>
              </c:pt>
              <c:pt idx="195">
                <c:v>3123.2351758794321</c:v>
              </c:pt>
              <c:pt idx="196">
                <c:v>3127.3763819095761</c:v>
              </c:pt>
              <c:pt idx="197">
                <c:v>3131.5175879397266</c:v>
              </c:pt>
              <c:pt idx="198">
                <c:v>3135.6587939698757</c:v>
              </c:pt>
              <c:pt idx="199">
                <c:v>3139.8000000000302</c:v>
              </c:pt>
            </c:numLit>
          </c:xVal>
          <c:yVal>
            <c:numLit>
              <c:formatCode>General</c:formatCode>
              <c:ptCount val="200"/>
              <c:pt idx="0">
                <c:v>28617.207698662725</c:v>
              </c:pt>
              <c:pt idx="1">
                <c:v>28638.93159962742</c:v>
              </c:pt>
              <c:pt idx="2">
                <c:v>28679.58907210124</c:v>
              </c:pt>
              <c:pt idx="3">
                <c:v>28736.620239930278</c:v>
              </c:pt>
              <c:pt idx="4">
                <c:v>28807.777621886216</c:v>
              </c:pt>
              <c:pt idx="5">
                <c:v>28892.830364554837</c:v>
              </c:pt>
              <c:pt idx="6">
                <c:v>28989.385628880882</c:v>
              </c:pt>
              <c:pt idx="7">
                <c:v>29095.95293661255</c:v>
              </c:pt>
              <c:pt idx="8">
                <c:v>29210.457675516038</c:v>
              </c:pt>
              <c:pt idx="9">
                <c:v>29331.063492633275</c:v>
              </c:pt>
              <c:pt idx="10">
                <c:v>29456.025604463735</c:v>
              </c:pt>
              <c:pt idx="11">
                <c:v>29583.879409840381</c:v>
              </c:pt>
              <c:pt idx="12">
                <c:v>29712.393359368696</c:v>
              </c:pt>
              <c:pt idx="13">
                <c:v>29841.010698001672</c:v>
              </c:pt>
              <c:pt idx="14">
                <c:v>29967.540230716477</c:v>
              </c:pt>
              <c:pt idx="15">
                <c:v>30090.44185253622</c:v>
              </c:pt>
              <c:pt idx="16">
                <c:v>30208.283261109405</c:v>
              </c:pt>
              <c:pt idx="17">
                <c:v>30321.301930821137</c:v>
              </c:pt>
              <c:pt idx="18">
                <c:v>30427.620665931496</c:v>
              </c:pt>
              <c:pt idx="19">
                <c:v>30527.611069988452</c:v>
              </c:pt>
              <c:pt idx="20">
                <c:v>30619.72879712499</c:v>
              </c:pt>
              <c:pt idx="21">
                <c:v>30703.359660472488</c:v>
              </c:pt>
              <c:pt idx="22">
                <c:v>30777.236571319532</c:v>
              </c:pt>
              <c:pt idx="23">
                <c:v>30842.946841149169</c:v>
              </c:pt>
              <c:pt idx="24">
                <c:v>30898.296838045193</c:v>
              </c:pt>
              <c:pt idx="25">
                <c:v>30946.268543532122</c:v>
              </c:pt>
              <c:pt idx="26">
                <c:v>30982.735774349647</c:v>
              </c:pt>
              <c:pt idx="27">
                <c:v>31011.117250141142</c:v>
              </c:pt>
              <c:pt idx="28">
                <c:v>31028.831131203195</c:v>
              </c:pt>
              <c:pt idx="29">
                <c:v>31037.021351136813</c:v>
              </c:pt>
              <c:pt idx="30">
                <c:v>31037.516965911018</c:v>
              </c:pt>
              <c:pt idx="31">
                <c:v>31028.158684519505</c:v>
              </c:pt>
              <c:pt idx="32">
                <c:v>31009.603294761961</c:v>
              </c:pt>
              <c:pt idx="33">
                <c:v>30984.393095406562</c:v>
              </c:pt>
              <c:pt idx="34">
                <c:v>30948.785023524633</c:v>
              </c:pt>
              <c:pt idx="35">
                <c:v>30907.006273353047</c:v>
              </c:pt>
              <c:pt idx="36">
                <c:v>30856.969136052649</c:v>
              </c:pt>
              <c:pt idx="37">
                <c:v>30799.533492553233</c:v>
              </c:pt>
              <c:pt idx="38">
                <c:v>30736.771466429956</c:v>
              </c:pt>
              <c:pt idx="39">
                <c:v>30667.664673045896</c:v>
              </c:pt>
              <c:pt idx="40">
                <c:v>30592.246044002233</c:v>
              </c:pt>
              <c:pt idx="41">
                <c:v>30511.970666019097</c:v>
              </c:pt>
              <c:pt idx="42">
                <c:v>30426.947544388</c:v>
              </c:pt>
              <c:pt idx="43">
                <c:v>30336.989605587627</c:v>
              </c:pt>
              <c:pt idx="44">
                <c:v>30243.808521130752</c:v>
              </c:pt>
              <c:pt idx="45">
                <c:v>30146.69627469228</c:v>
              </c:pt>
              <c:pt idx="46">
                <c:v>30045.237353685607</c:v>
              </c:pt>
              <c:pt idx="47">
                <c:v>29941.835666803374</c:v>
              </c:pt>
              <c:pt idx="48">
                <c:v>29836.043526530084</c:v>
              </c:pt>
              <c:pt idx="49">
                <c:v>29727.73535036364</c:v>
              </c:pt>
              <c:pt idx="50">
                <c:v>29618.872911125844</c:v>
              </c:pt>
              <c:pt idx="51">
                <c:v>29507.92789377693</c:v>
              </c:pt>
              <c:pt idx="52">
                <c:v>29395.6648893975</c:v>
              </c:pt>
              <c:pt idx="53">
                <c:v>29283.49707557982</c:v>
              </c:pt>
              <c:pt idx="54">
                <c:v>29170.886896674874</c:v>
              </c:pt>
              <c:pt idx="55">
                <c:v>29058.559478129944</c:v>
              </c:pt>
              <c:pt idx="56">
                <c:v>28946.306967946428</c:v>
              </c:pt>
              <c:pt idx="57">
                <c:v>28834.750429168555</c:v>
              </c:pt>
              <c:pt idx="58">
                <c:v>28723.796301615555</c:v>
              </c:pt>
              <c:pt idx="59">
                <c:v>28614.356274430396</c:v>
              </c:pt>
              <c:pt idx="60">
                <c:v>28506.364134766227</c:v>
              </c:pt>
              <c:pt idx="61">
                <c:v>28400.045582412709</c:v>
              </c:pt>
              <c:pt idx="62">
                <c:v>28295.460733992324</c:v>
              </c:pt>
              <c:pt idx="63">
                <c:v>28192.905792860452</c:v>
              </c:pt>
              <c:pt idx="64">
                <c:v>28092.5766830879</c:v>
              </c:pt>
              <c:pt idx="65">
                <c:v>27994.538712229867</c:v>
              </c:pt>
              <c:pt idx="66">
                <c:v>27899.041714654337</c:v>
              </c:pt>
              <c:pt idx="67">
                <c:v>27806.213416419854</c:v>
              </c:pt>
              <c:pt idx="68">
                <c:v>27715.919217119492</c:v>
              </c:pt>
              <c:pt idx="69">
                <c:v>27628.951386759905</c:v>
              </c:pt>
              <c:pt idx="70">
                <c:v>27544.833979294017</c:v>
              </c:pt>
              <c:pt idx="71">
                <c:v>27463.701642116332</c:v>
              </c:pt>
              <c:pt idx="72">
                <c:v>27385.94497005994</c:v>
              </c:pt>
              <c:pt idx="73">
                <c:v>27310.89932146715</c:v>
              </c:pt>
              <c:pt idx="74">
                <c:v>27239.00583579297</c:v>
              </c:pt>
              <c:pt idx="75">
                <c:v>27171.034478031212</c:v>
              </c:pt>
              <c:pt idx="76">
                <c:v>27105.80918077079</c:v>
              </c:pt>
              <c:pt idx="77">
                <c:v>27045.683598035652</c:v>
              </c:pt>
              <c:pt idx="78">
                <c:v>26987.087644605104</c:v>
              </c:pt>
              <c:pt idx="79">
                <c:v>26932.694869588944</c:v>
              </c:pt>
              <c:pt idx="80">
                <c:v>26881.846857689488</c:v>
              </c:pt>
              <c:pt idx="81">
                <c:v>26833.648902924509</c:v>
              </c:pt>
              <c:pt idx="82">
                <c:v>26790.02491193511</c:v>
              </c:pt>
              <c:pt idx="83">
                <c:v>26749.349829998922</c:v>
              </c:pt>
              <c:pt idx="84">
                <c:v>26712.668203506084</c:v>
              </c:pt>
              <c:pt idx="85">
                <c:v>26678.026883401984</c:v>
              </c:pt>
              <c:pt idx="86">
                <c:v>26647.697755419722</c:v>
              </c:pt>
              <c:pt idx="87">
                <c:v>26621.451330454751</c:v>
              </c:pt>
              <c:pt idx="88">
                <c:v>26598.010504326296</c:v>
              </c:pt>
              <c:pt idx="89">
                <c:v>26578.172390561434</c:v>
              </c:pt>
              <c:pt idx="90">
                <c:v>26561.986006558123</c:v>
              </c:pt>
              <c:pt idx="91">
                <c:v>26549.810925439753</c:v>
              </c:pt>
              <c:pt idx="92">
                <c:v>26538.690593739346</c:v>
              </c:pt>
              <c:pt idx="93">
                <c:v>26533.159004192956</c:v>
              </c:pt>
              <c:pt idx="94">
                <c:v>26531.32640907148</c:v>
              </c:pt>
              <c:pt idx="95">
                <c:v>26532.486615432063</c:v>
              </c:pt>
              <c:pt idx="96">
                <c:v>26537.552239525856</c:v>
              </c:pt>
              <c:pt idx="97">
                <c:v>26545.268031719468</c:v>
              </c:pt>
              <c:pt idx="98">
                <c:v>26557.622601569099</c:v>
              </c:pt>
              <c:pt idx="99">
                <c:v>26572.653889546917</c:v>
              </c:pt>
              <c:pt idx="100">
                <c:v>26591.811021668316</c:v>
              </c:pt>
              <c:pt idx="101">
                <c:v>26613.678573861253</c:v>
              </c:pt>
              <c:pt idx="102">
                <c:v>26641.626493710577</c:v>
              </c:pt>
              <c:pt idx="103">
                <c:v>26669.861789358001</c:v>
              </c:pt>
              <c:pt idx="104">
                <c:v>26703.828598496351</c:v>
              </c:pt>
              <c:pt idx="105">
                <c:v>26739.580242194505</c:v>
              </c:pt>
              <c:pt idx="106">
                <c:v>26781.364648846236</c:v>
              </c:pt>
              <c:pt idx="107">
                <c:v>26826.155050678404</c:v>
              </c:pt>
              <c:pt idx="108">
                <c:v>26873.989175373859</c:v>
              </c:pt>
              <c:pt idx="109">
                <c:v>26926.335218283912</c:v>
              </c:pt>
              <c:pt idx="110">
                <c:v>26981.944187107725</c:v>
              </c:pt>
              <c:pt idx="111">
                <c:v>27041.907745119865</c:v>
              </c:pt>
              <c:pt idx="112">
                <c:v>27105.328913213874</c:v>
              </c:pt>
              <c:pt idx="113">
                <c:v>27172.945870996515</c:v>
              </c:pt>
              <c:pt idx="114">
                <c:v>27244.871885194538</c:v>
              </c:pt>
              <c:pt idx="115">
                <c:v>27320.05633904985</c:v>
              </c:pt>
              <c:pt idx="116">
                <c:v>27399.773696984914</c:v>
              </c:pt>
              <c:pt idx="117">
                <c:v>27483.146212217347</c:v>
              </c:pt>
              <c:pt idx="118">
                <c:v>27571.095867548782</c:v>
              </c:pt>
              <c:pt idx="119">
                <c:v>27662.769595650701</c:v>
              </c:pt>
              <c:pt idx="120">
                <c:v>27759.203436663745</c:v>
              </c:pt>
              <c:pt idx="121">
                <c:v>27858.687628311382</c:v>
              </c:pt>
              <c:pt idx="122">
                <c:v>27962.003705444469</c:v>
              </c:pt>
              <c:pt idx="123">
                <c:v>28069.604548939213</c:v>
              </c:pt>
              <c:pt idx="124">
                <c:v>28180.867788738324</c:v>
              </c:pt>
              <c:pt idx="125">
                <c:v>28296.023462016288</c:v>
              </c:pt>
              <c:pt idx="126">
                <c:v>28415.225429734935</c:v>
              </c:pt>
              <c:pt idx="127">
                <c:v>28537.855645816817</c:v>
              </c:pt>
              <c:pt idx="128">
                <c:v>28664.184353795994</c:v>
              </c:pt>
              <c:pt idx="129">
                <c:v>28793.980809703735</c:v>
              </c:pt>
              <c:pt idx="130">
                <c:v>28927.058718443281</c:v>
              </c:pt>
              <c:pt idx="131">
                <c:v>29063.367348403197</c:v>
              </c:pt>
              <c:pt idx="132">
                <c:v>29202.650695915716</c:v>
              </c:pt>
              <c:pt idx="133">
                <c:v>29344.718283031805</c:v>
              </c:pt>
              <c:pt idx="134">
                <c:v>29489.473383522669</c:v>
              </c:pt>
              <c:pt idx="135">
                <c:v>29636.704736883432</c:v>
              </c:pt>
              <c:pt idx="136">
                <c:v>29786.298172180519</c:v>
              </c:pt>
              <c:pt idx="137">
                <c:v>29937.694751620245</c:v>
              </c:pt>
              <c:pt idx="138">
                <c:v>30089.753275449497</c:v>
              </c:pt>
              <c:pt idx="139">
                <c:v>30244.426329068665</c:v>
              </c:pt>
              <c:pt idx="140">
                <c:v>30399.511402880416</c:v>
              </c:pt>
              <c:pt idx="141">
                <c:v>30555.346903795311</c:v>
              </c:pt>
              <c:pt idx="142">
                <c:v>30711.748187184628</c:v>
              </c:pt>
              <c:pt idx="143">
                <c:v>30867.855857681156</c:v>
              </c:pt>
              <c:pt idx="144">
                <c:v>31022.88371663454</c:v>
              </c:pt>
              <c:pt idx="145">
                <c:v>31177.901145809261</c:v>
              </c:pt>
              <c:pt idx="146">
                <c:v>31332.181165526708</c:v>
              </c:pt>
              <c:pt idx="147">
                <c:v>31483.783972353471</c:v>
              </c:pt>
              <c:pt idx="148">
                <c:v>31632.339979498352</c:v>
              </c:pt>
              <c:pt idx="149">
                <c:v>31779.018023292731</c:v>
              </c:pt>
              <c:pt idx="150">
                <c:v>31922.788258022101</c:v>
              </c:pt>
              <c:pt idx="151">
                <c:v>32062.641548663156</c:v>
              </c:pt>
              <c:pt idx="152">
                <c:v>32197.588189037178</c:v>
              </c:pt>
              <c:pt idx="153">
                <c:v>32329.244752080143</c:v>
              </c:pt>
              <c:pt idx="154">
                <c:v>32455.18809351448</c:v>
              </c:pt>
              <c:pt idx="155">
                <c:v>32575.639667294286</c:v>
              </c:pt>
              <c:pt idx="156">
                <c:v>32687.457419973594</c:v>
              </c:pt>
              <c:pt idx="157">
                <c:v>32793.774438576402</c:v>
              </c:pt>
              <c:pt idx="158">
                <c:v>32892.207096450002</c:v>
              </c:pt>
              <c:pt idx="159">
                <c:v>32981.551842465204</c:v>
              </c:pt>
              <c:pt idx="160">
                <c:v>33065.630470710574</c:v>
              </c:pt>
              <c:pt idx="161">
                <c:v>33137.863868090397</c:v>
              </c:pt>
              <c:pt idx="162">
                <c:v>33202.153741591857</c:v>
              </c:pt>
              <c:pt idx="163">
                <c:v>33251.656011622137</c:v>
              </c:pt>
              <c:pt idx="164">
                <c:v>33295.421511324203</c:v>
              </c:pt>
              <c:pt idx="165">
                <c:v>33327.403122302356</c:v>
              </c:pt>
              <c:pt idx="166">
                <c:v>33345.672693231725</c:v>
              </c:pt>
              <c:pt idx="167">
                <c:v>33352.891771023875</c:v>
              </c:pt>
              <c:pt idx="168">
                <c:v>33345.833089526881</c:v>
              </c:pt>
              <c:pt idx="169">
                <c:v>33328.140143809724</c:v>
              </c:pt>
              <c:pt idx="170">
                <c:v>33294.686697899015</c:v>
              </c:pt>
              <c:pt idx="171">
                <c:v>33251.363457618514</c:v>
              </c:pt>
              <c:pt idx="172">
                <c:v>33187.727147050078</c:v>
              </c:pt>
              <c:pt idx="173">
                <c:v>33116.007478320149</c:v>
              </c:pt>
              <c:pt idx="174">
                <c:v>33027.790289791155</c:v>
              </c:pt>
              <c:pt idx="175">
                <c:v>32922.180473115186</c:v>
              </c:pt>
              <c:pt idx="176">
                <c:v>32804.400141770035</c:v>
              </c:pt>
              <c:pt idx="177">
                <c:v>32672.285507270517</c:v>
              </c:pt>
              <c:pt idx="178">
                <c:v>32524.918726729509</c:v>
              </c:pt>
              <c:pt idx="179">
                <c:v>32363.530783714708</c:v>
              </c:pt>
              <c:pt idx="180">
                <c:v>32185.608543086812</c:v>
              </c:pt>
              <c:pt idx="181">
                <c:v>31997.496659427597</c:v>
              </c:pt>
              <c:pt idx="182">
                <c:v>31795.760208020562</c:v>
              </c:pt>
              <c:pt idx="183">
                <c:v>31581.848899208118</c:v>
              </c:pt>
              <c:pt idx="184">
                <c:v>31357.041123112693</c:v>
              </c:pt>
              <c:pt idx="185">
                <c:v>31121.6326594928</c:v>
              </c:pt>
              <c:pt idx="186">
                <c:v>30878.410377563556</c:v>
              </c:pt>
              <c:pt idx="187">
                <c:v>30626.585168236586</c:v>
              </c:pt>
              <c:pt idx="188">
                <c:v>30369.216970597339</c:v>
              </c:pt>
              <c:pt idx="189">
                <c:v>30108.557928567097</c:v>
              </c:pt>
              <c:pt idx="190">
                <c:v>29844.014848071296</c:v>
              </c:pt>
              <c:pt idx="191">
                <c:v>29580.304915774279</c:v>
              </c:pt>
              <c:pt idx="192">
                <c:v>29317.896967373621</c:v>
              </c:pt>
              <c:pt idx="193">
                <c:v>29059.968609592452</c:v>
              </c:pt>
              <c:pt idx="194">
                <c:v>28808.156731418356</c:v>
              </c:pt>
              <c:pt idx="195">
                <c:v>28565.127780958333</c:v>
              </c:pt>
              <c:pt idx="196">
                <c:v>28332.534558712756</c:v>
              </c:pt>
              <c:pt idx="197">
                <c:v>28112.769813200135</c:v>
              </c:pt>
              <c:pt idx="198">
                <c:v>27908.216267699456</c:v>
              </c:pt>
              <c:pt idx="199">
                <c:v>27722.186220343418</c:v>
              </c:pt>
            </c:numLit>
          </c:yVal>
          <c:smooth val="0"/>
        </c:ser>
        <c:ser>
          <c:idx val="6"/>
          <c:order val="6"/>
          <c:tx>
            <c:v/>
          </c:tx>
          <c:spPr>
            <a:ln w="12700">
              <a:solidFill>
                <a:srgbClr val="000000"/>
              </a:solidFill>
              <a:prstDash val="solid"/>
            </a:ln>
            <a:effectLst/>
          </c:spPr>
          <c:marker>
            <c:symbol val="none"/>
          </c:marker>
          <c:xVal>
            <c:numRef>
              <c:f>XLSTAT_20210211_171000_1_HID!xdata1</c:f>
              <c:numCache>
                <c:formatCode>General</c:formatCode>
                <c:ptCount val="200"/>
                <c:pt idx="0">
                  <c:v>2315.6999999999998</c:v>
                </c:pt>
                <c:pt idx="1">
                  <c:v>2319.8412060302071</c:v>
                </c:pt>
                <c:pt idx="2">
                  <c:v>2323.9824120604012</c:v>
                </c:pt>
                <c:pt idx="3">
                  <c:v>2328.1236180906003</c:v>
                </c:pt>
                <c:pt idx="4">
                  <c:v>2332.2648241207899</c:v>
                </c:pt>
                <c:pt idx="5">
                  <c:v>2336.4060301509999</c:v>
                </c:pt>
                <c:pt idx="6">
                  <c:v>2340.5472361812012</c:v>
                </c:pt>
                <c:pt idx="7">
                  <c:v>2344.6884422113999</c:v>
                </c:pt>
                <c:pt idx="8">
                  <c:v>2348.8296482416004</c:v>
                </c:pt>
                <c:pt idx="9">
                  <c:v>2352.9708542718022</c:v>
                </c:pt>
                <c:pt idx="10">
                  <c:v>2357.1120603019999</c:v>
                </c:pt>
                <c:pt idx="11">
                  <c:v>2361.2532663322022</c:v>
                </c:pt>
                <c:pt idx="12">
                  <c:v>2365.3944723624022</c:v>
                </c:pt>
                <c:pt idx="13">
                  <c:v>2369.5356783926004</c:v>
                </c:pt>
                <c:pt idx="14">
                  <c:v>2373.67688442279</c:v>
                </c:pt>
                <c:pt idx="15">
                  <c:v>2377.818090453</c:v>
                </c:pt>
                <c:pt idx="16">
                  <c:v>2381.9592964832045</c:v>
                </c:pt>
                <c:pt idx="17">
                  <c:v>2386.1005025134045</c:v>
                </c:pt>
                <c:pt idx="18">
                  <c:v>2390.2417085436</c:v>
                </c:pt>
                <c:pt idx="19">
                  <c:v>2394.3829145738046</c:v>
                </c:pt>
                <c:pt idx="20">
                  <c:v>2398.524120604</c:v>
                </c:pt>
                <c:pt idx="21">
                  <c:v>2402.665326634205</c:v>
                </c:pt>
                <c:pt idx="22">
                  <c:v>2406.806532664405</c:v>
                </c:pt>
                <c:pt idx="23">
                  <c:v>2410.9477386946</c:v>
                </c:pt>
                <c:pt idx="24">
                  <c:v>2415.0889447247914</c:v>
                </c:pt>
                <c:pt idx="25">
                  <c:v>2419.2301507549996</c:v>
                </c:pt>
                <c:pt idx="26">
                  <c:v>2423.3713567852096</c:v>
                </c:pt>
                <c:pt idx="27">
                  <c:v>2427.5125628154046</c:v>
                </c:pt>
                <c:pt idx="28">
                  <c:v>2431.6537688456001</c:v>
                </c:pt>
                <c:pt idx="29">
                  <c:v>2435.7949748758001</c:v>
                </c:pt>
                <c:pt idx="30">
                  <c:v>2439.9361809060001</c:v>
                </c:pt>
                <c:pt idx="31">
                  <c:v>2444.0773869362056</c:v>
                </c:pt>
                <c:pt idx="32">
                  <c:v>2448.2185929664001</c:v>
                </c:pt>
                <c:pt idx="33">
                  <c:v>2452.3597989966006</c:v>
                </c:pt>
                <c:pt idx="34">
                  <c:v>2456.5010050267997</c:v>
                </c:pt>
                <c:pt idx="35">
                  <c:v>2460.6422110569997</c:v>
                </c:pt>
                <c:pt idx="36">
                  <c:v>2464.7834170872002</c:v>
                </c:pt>
                <c:pt idx="37">
                  <c:v>2468.9246231173997</c:v>
                </c:pt>
                <c:pt idx="38">
                  <c:v>2473.0658291475997</c:v>
                </c:pt>
                <c:pt idx="39">
                  <c:v>2477.2070351777998</c:v>
                </c:pt>
                <c:pt idx="40">
                  <c:v>2481.3482412079998</c:v>
                </c:pt>
                <c:pt idx="41">
                  <c:v>2485.4894472382002</c:v>
                </c:pt>
                <c:pt idx="42">
                  <c:v>2489.6306532684002</c:v>
                </c:pt>
                <c:pt idx="43">
                  <c:v>2493.7718592985998</c:v>
                </c:pt>
                <c:pt idx="44">
                  <c:v>2497.9130653287998</c:v>
                </c:pt>
                <c:pt idx="45">
                  <c:v>2502.0542713589998</c:v>
                </c:pt>
                <c:pt idx="46">
                  <c:v>2506.1954773892012</c:v>
                </c:pt>
                <c:pt idx="47">
                  <c:v>2510.3366834193998</c:v>
                </c:pt>
                <c:pt idx="48">
                  <c:v>2514.4778894495998</c:v>
                </c:pt>
                <c:pt idx="49">
                  <c:v>2518.6190954797999</c:v>
                </c:pt>
                <c:pt idx="50">
                  <c:v>2522.7603015099999</c:v>
                </c:pt>
                <c:pt idx="51">
                  <c:v>2526.9015075402081</c:v>
                </c:pt>
                <c:pt idx="52">
                  <c:v>2531.0427135704081</c:v>
                </c:pt>
                <c:pt idx="53">
                  <c:v>2535.1839196006003</c:v>
                </c:pt>
                <c:pt idx="54">
                  <c:v>2539.3251256308022</c:v>
                </c:pt>
                <c:pt idx="55">
                  <c:v>2543.4663316609999</c:v>
                </c:pt>
                <c:pt idx="56">
                  <c:v>2547.6075376912022</c:v>
                </c:pt>
                <c:pt idx="57">
                  <c:v>2551.7487437213949</c:v>
                </c:pt>
                <c:pt idx="58">
                  <c:v>2555.8899497515999</c:v>
                </c:pt>
                <c:pt idx="59">
                  <c:v>2560.0311557818022</c:v>
                </c:pt>
                <c:pt idx="60">
                  <c:v>2564.172361812</c:v>
                </c:pt>
                <c:pt idx="61">
                  <c:v>2568.3135678422086</c:v>
                </c:pt>
                <c:pt idx="62">
                  <c:v>2572.4547738724091</c:v>
                </c:pt>
                <c:pt idx="63">
                  <c:v>2576.5959799026</c:v>
                </c:pt>
                <c:pt idx="64">
                  <c:v>2580.7371859328</c:v>
                </c:pt>
                <c:pt idx="65">
                  <c:v>2584.878391963</c:v>
                </c:pt>
                <c:pt idx="66">
                  <c:v>2589.019597993205</c:v>
                </c:pt>
                <c:pt idx="67">
                  <c:v>2593.1608040233987</c:v>
                </c:pt>
                <c:pt idx="68">
                  <c:v>2597.3020100536</c:v>
                </c:pt>
                <c:pt idx="69">
                  <c:v>2601.4432160838046</c:v>
                </c:pt>
                <c:pt idx="70">
                  <c:v>2605.5844221139987</c:v>
                </c:pt>
                <c:pt idx="71">
                  <c:v>2609.7256281441987</c:v>
                </c:pt>
                <c:pt idx="72">
                  <c:v>2613.8668341743996</c:v>
                </c:pt>
                <c:pt idx="73">
                  <c:v>2618.0080402045996</c:v>
                </c:pt>
                <c:pt idx="74">
                  <c:v>2622.1492462347996</c:v>
                </c:pt>
                <c:pt idx="75">
                  <c:v>2626.2904522650001</c:v>
                </c:pt>
                <c:pt idx="76">
                  <c:v>2630.4316582952056</c:v>
                </c:pt>
                <c:pt idx="77">
                  <c:v>2634.5728643253997</c:v>
                </c:pt>
                <c:pt idx="78">
                  <c:v>2638.7140703555997</c:v>
                </c:pt>
                <c:pt idx="79">
                  <c:v>2642.8552763858056</c:v>
                </c:pt>
                <c:pt idx="80">
                  <c:v>2646.9964824159997</c:v>
                </c:pt>
                <c:pt idx="81">
                  <c:v>2651.1376884461997</c:v>
                </c:pt>
                <c:pt idx="82">
                  <c:v>2655.2788944763997</c:v>
                </c:pt>
                <c:pt idx="83">
                  <c:v>2659.4201005066006</c:v>
                </c:pt>
                <c:pt idx="84">
                  <c:v>2663.5613065368066</c:v>
                </c:pt>
                <c:pt idx="85">
                  <c:v>2667.7025125670002</c:v>
                </c:pt>
                <c:pt idx="86">
                  <c:v>2671.843718597207</c:v>
                </c:pt>
                <c:pt idx="87">
                  <c:v>2675.9849246273998</c:v>
                </c:pt>
                <c:pt idx="88">
                  <c:v>2680.1261306575998</c:v>
                </c:pt>
                <c:pt idx="89">
                  <c:v>2684.2673366878012</c:v>
                </c:pt>
                <c:pt idx="90">
                  <c:v>2688.4085427179998</c:v>
                </c:pt>
                <c:pt idx="91">
                  <c:v>2692.5497487481998</c:v>
                </c:pt>
                <c:pt idx="92">
                  <c:v>2696.6909547784012</c:v>
                </c:pt>
                <c:pt idx="93">
                  <c:v>2700.8321608086012</c:v>
                </c:pt>
                <c:pt idx="94">
                  <c:v>2704.973366838808</c:v>
                </c:pt>
                <c:pt idx="95">
                  <c:v>2709.1145728690012</c:v>
                </c:pt>
                <c:pt idx="96">
                  <c:v>2713.2557788992012</c:v>
                </c:pt>
                <c:pt idx="97">
                  <c:v>2717.3969849293999</c:v>
                </c:pt>
                <c:pt idx="98">
                  <c:v>2721.5381909596003</c:v>
                </c:pt>
                <c:pt idx="99">
                  <c:v>2725.6793969898022</c:v>
                </c:pt>
                <c:pt idx="100">
                  <c:v>2729.8206030199999</c:v>
                </c:pt>
                <c:pt idx="101">
                  <c:v>2733.9618090501999</c:v>
                </c:pt>
                <c:pt idx="102">
                  <c:v>2738.1030150804022</c:v>
                </c:pt>
                <c:pt idx="103">
                  <c:v>2742.2442211105949</c:v>
                </c:pt>
                <c:pt idx="104">
                  <c:v>2746.3854271407999</c:v>
                </c:pt>
                <c:pt idx="105">
                  <c:v>2750.526633171</c:v>
                </c:pt>
                <c:pt idx="106">
                  <c:v>2754.6678392012</c:v>
                </c:pt>
                <c:pt idx="107">
                  <c:v>2758.8090452314045</c:v>
                </c:pt>
                <c:pt idx="108">
                  <c:v>2762.9502512616</c:v>
                </c:pt>
                <c:pt idx="109">
                  <c:v>2767.0914572918045</c:v>
                </c:pt>
                <c:pt idx="110">
                  <c:v>2771.2326633219955</c:v>
                </c:pt>
                <c:pt idx="111">
                  <c:v>2775.3738693522</c:v>
                </c:pt>
                <c:pt idx="112">
                  <c:v>2779.515075382405</c:v>
                </c:pt>
                <c:pt idx="113">
                  <c:v>2783.6562814125987</c:v>
                </c:pt>
                <c:pt idx="114">
                  <c:v>2787.7974874427987</c:v>
                </c:pt>
                <c:pt idx="115">
                  <c:v>2791.9386934730001</c:v>
                </c:pt>
                <c:pt idx="116">
                  <c:v>2796.0798995032001</c:v>
                </c:pt>
                <c:pt idx="117">
                  <c:v>2800.2211055334051</c:v>
                </c:pt>
                <c:pt idx="118">
                  <c:v>2804.3623115636001</c:v>
                </c:pt>
                <c:pt idx="119">
                  <c:v>2808.5035175938051</c:v>
                </c:pt>
                <c:pt idx="120">
                  <c:v>2812.6447236239997</c:v>
                </c:pt>
                <c:pt idx="121">
                  <c:v>2816.7859296541997</c:v>
                </c:pt>
                <c:pt idx="122">
                  <c:v>2820.9271356844056</c:v>
                </c:pt>
                <c:pt idx="123">
                  <c:v>2825.0683417145997</c:v>
                </c:pt>
                <c:pt idx="124">
                  <c:v>2829.2095477447997</c:v>
                </c:pt>
                <c:pt idx="125">
                  <c:v>2833.3507537750056</c:v>
                </c:pt>
                <c:pt idx="126">
                  <c:v>2837.4919598052056</c:v>
                </c:pt>
                <c:pt idx="127">
                  <c:v>2841.6331658354056</c:v>
                </c:pt>
                <c:pt idx="128">
                  <c:v>2845.7743718655997</c:v>
                </c:pt>
                <c:pt idx="129">
                  <c:v>2849.9155778958066</c:v>
                </c:pt>
                <c:pt idx="130">
                  <c:v>2854.0567839259998</c:v>
                </c:pt>
                <c:pt idx="131">
                  <c:v>2858.1979899561998</c:v>
                </c:pt>
                <c:pt idx="132">
                  <c:v>2862.339195986407</c:v>
                </c:pt>
                <c:pt idx="133">
                  <c:v>2866.4804020165998</c:v>
                </c:pt>
                <c:pt idx="134">
                  <c:v>2870.6216080467998</c:v>
                </c:pt>
                <c:pt idx="135">
                  <c:v>2874.7628140769998</c:v>
                </c:pt>
                <c:pt idx="136">
                  <c:v>2878.9040201071998</c:v>
                </c:pt>
                <c:pt idx="137">
                  <c:v>2883.0452261374012</c:v>
                </c:pt>
                <c:pt idx="138">
                  <c:v>2887.1864321675998</c:v>
                </c:pt>
                <c:pt idx="139">
                  <c:v>2891.3276381977998</c:v>
                </c:pt>
                <c:pt idx="140">
                  <c:v>2895.4688442279944</c:v>
                </c:pt>
                <c:pt idx="141">
                  <c:v>2899.6100502582012</c:v>
                </c:pt>
                <c:pt idx="142">
                  <c:v>2903.7512562884081</c:v>
                </c:pt>
                <c:pt idx="143">
                  <c:v>2907.8924623186003</c:v>
                </c:pt>
                <c:pt idx="144">
                  <c:v>2912.0336683487999</c:v>
                </c:pt>
                <c:pt idx="145">
                  <c:v>2916.1748743789999</c:v>
                </c:pt>
                <c:pt idx="146">
                  <c:v>2920.3160804091999</c:v>
                </c:pt>
                <c:pt idx="147">
                  <c:v>2924.4572864394022</c:v>
                </c:pt>
                <c:pt idx="148">
                  <c:v>2928.5984924695999</c:v>
                </c:pt>
                <c:pt idx="149">
                  <c:v>2932.7396984997949</c:v>
                </c:pt>
                <c:pt idx="150">
                  <c:v>2936.8809045300022</c:v>
                </c:pt>
                <c:pt idx="151">
                  <c:v>2941.0221105602022</c:v>
                </c:pt>
                <c:pt idx="152">
                  <c:v>2945.1633165904086</c:v>
                </c:pt>
                <c:pt idx="153">
                  <c:v>2949.3045226206</c:v>
                </c:pt>
                <c:pt idx="154">
                  <c:v>2953.4457286508</c:v>
                </c:pt>
                <c:pt idx="155">
                  <c:v>2957.586934681</c:v>
                </c:pt>
                <c:pt idx="156">
                  <c:v>2961.7281407111955</c:v>
                </c:pt>
                <c:pt idx="157">
                  <c:v>2965.869346741405</c:v>
                </c:pt>
                <c:pt idx="158">
                  <c:v>2970.010552771605</c:v>
                </c:pt>
                <c:pt idx="159">
                  <c:v>2974.1517588018046</c:v>
                </c:pt>
                <c:pt idx="160">
                  <c:v>2978.2929648319996</c:v>
                </c:pt>
                <c:pt idx="161">
                  <c:v>2982.4341708622046</c:v>
                </c:pt>
                <c:pt idx="162">
                  <c:v>2986.5753768924096</c:v>
                </c:pt>
                <c:pt idx="163">
                  <c:v>2990.7165829225996</c:v>
                </c:pt>
                <c:pt idx="164">
                  <c:v>2994.8577889527996</c:v>
                </c:pt>
                <c:pt idx="165">
                  <c:v>2998.9989949829996</c:v>
                </c:pt>
                <c:pt idx="166">
                  <c:v>3003.1402010131997</c:v>
                </c:pt>
                <c:pt idx="167">
                  <c:v>3007.2814070434001</c:v>
                </c:pt>
                <c:pt idx="168">
                  <c:v>3011.4226130736006</c:v>
                </c:pt>
                <c:pt idx="169">
                  <c:v>3015.5638191037997</c:v>
                </c:pt>
                <c:pt idx="170">
                  <c:v>3019.7050251339997</c:v>
                </c:pt>
                <c:pt idx="171">
                  <c:v>3023.8462311641997</c:v>
                </c:pt>
                <c:pt idx="172">
                  <c:v>3027.9874371944002</c:v>
                </c:pt>
                <c:pt idx="173">
                  <c:v>3032.1286432245997</c:v>
                </c:pt>
                <c:pt idx="174">
                  <c:v>3036.2698492547934</c:v>
                </c:pt>
                <c:pt idx="175">
                  <c:v>3040.4110552850066</c:v>
                </c:pt>
                <c:pt idx="176">
                  <c:v>3044.5522613151998</c:v>
                </c:pt>
                <c:pt idx="177">
                  <c:v>3048.6934673454002</c:v>
                </c:pt>
                <c:pt idx="178">
                  <c:v>3052.8346733756011</c:v>
                </c:pt>
                <c:pt idx="179">
                  <c:v>3056.9758794057998</c:v>
                </c:pt>
                <c:pt idx="180">
                  <c:v>3061.1170854359998</c:v>
                </c:pt>
                <c:pt idx="181">
                  <c:v>3065.2582914661944</c:v>
                </c:pt>
                <c:pt idx="182">
                  <c:v>3069.3994974964012</c:v>
                </c:pt>
                <c:pt idx="183">
                  <c:v>3073.5407035266003</c:v>
                </c:pt>
                <c:pt idx="184">
                  <c:v>3077.6819095567998</c:v>
                </c:pt>
                <c:pt idx="185">
                  <c:v>3081.823115587008</c:v>
                </c:pt>
                <c:pt idx="186">
                  <c:v>3085.9643216171999</c:v>
                </c:pt>
                <c:pt idx="187">
                  <c:v>3090.1055276474012</c:v>
                </c:pt>
                <c:pt idx="188">
                  <c:v>3094.2467336776003</c:v>
                </c:pt>
                <c:pt idx="189">
                  <c:v>3098.3879397077999</c:v>
                </c:pt>
                <c:pt idx="190">
                  <c:v>3102.5291457379999</c:v>
                </c:pt>
                <c:pt idx="191">
                  <c:v>3106.6703517681999</c:v>
                </c:pt>
                <c:pt idx="192">
                  <c:v>3110.8115577984081</c:v>
                </c:pt>
                <c:pt idx="193">
                  <c:v>3114.9527638286004</c:v>
                </c:pt>
                <c:pt idx="194">
                  <c:v>3119.0939698587999</c:v>
                </c:pt>
                <c:pt idx="195">
                  <c:v>3123.2351758890022</c:v>
                </c:pt>
                <c:pt idx="196">
                  <c:v>3127.3763819192</c:v>
                </c:pt>
                <c:pt idx="197">
                  <c:v>3131.5175879494022</c:v>
                </c:pt>
                <c:pt idx="198">
                  <c:v>3135.6587939796</c:v>
                </c:pt>
                <c:pt idx="199">
                  <c:v>3139.8000000098</c:v>
                </c:pt>
              </c:numCache>
            </c:numRef>
          </c:xVal>
          <c:yVal>
            <c:numRef>
              <c:f>XLSTAT_20210211_171000_1_HID!ydata1</c:f>
              <c:numCache>
                <c:formatCode>General</c:formatCode>
                <c:ptCount val="200"/>
                <c:pt idx="0">
                  <c:v>14486.928401630372</c:v>
                </c:pt>
                <c:pt idx="1">
                  <c:v>14856.048332922162</c:v>
                </c:pt>
                <c:pt idx="2">
                  <c:v>15205.984892889857</c:v>
                </c:pt>
                <c:pt idx="3">
                  <c:v>15537.22640094161</c:v>
                </c:pt>
                <c:pt idx="4">
                  <c:v>15850.255995959022</c:v>
                </c:pt>
                <c:pt idx="5">
                  <c:v>16145.551636632525</c:v>
                </c:pt>
                <c:pt idx="6">
                  <c:v>16423.586101070061</c:v>
                </c:pt>
                <c:pt idx="7">
                  <c:v>16684.826987180859</c:v>
                </c:pt>
                <c:pt idx="8">
                  <c:v>16929.736712299309</c:v>
                </c:pt>
                <c:pt idx="9">
                  <c:v>17158.7725135535</c:v>
                </c:pt>
                <c:pt idx="10">
                  <c:v>17372.386447571218</c:v>
                </c:pt>
                <c:pt idx="11">
                  <c:v>17571.025390665978</c:v>
                </c:pt>
                <c:pt idx="12">
                  <c:v>17755.131038717896</c:v>
                </c:pt>
                <c:pt idx="13">
                  <c:v>17925.139907214747</c:v>
                </c:pt>
                <c:pt idx="14">
                  <c:v>18081.483331251929</c:v>
                </c:pt>
                <c:pt idx="15">
                  <c:v>18224.587465688626</c:v>
                </c:pt>
                <c:pt idx="16">
                  <c:v>18354.873284801841</c:v>
                </c:pt>
                <c:pt idx="17">
                  <c:v>18472.756582535803</c:v>
                </c:pt>
                <c:pt idx="18">
                  <c:v>18578.647972550243</c:v>
                </c:pt>
                <c:pt idx="19">
                  <c:v>18672.952887937427</c:v>
                </c:pt>
                <c:pt idx="20">
                  <c:v>18756.071581613305</c:v>
                </c:pt>
                <c:pt idx="21">
                  <c:v>18828.399126000666</c:v>
                </c:pt>
                <c:pt idx="22">
                  <c:v>18890.325413133949</c:v>
                </c:pt>
                <c:pt idx="23">
                  <c:v>18942.235154632479</c:v>
                </c:pt>
                <c:pt idx="24">
                  <c:v>18984.507881883535</c:v>
                </c:pt>
                <c:pt idx="25">
                  <c:v>19017.517945662141</c:v>
                </c:pt>
                <c:pt idx="26">
                  <c:v>19041.634516525959</c:v>
                </c:pt>
                <c:pt idx="27">
                  <c:v>19057.221584577113</c:v>
                </c:pt>
                <c:pt idx="28">
                  <c:v>19064.637959629297</c:v>
                </c:pt>
                <c:pt idx="29">
                  <c:v>19064.237270951257</c:v>
                </c:pt>
                <c:pt idx="30">
                  <c:v>19056.367967572056</c:v>
                </c:pt>
                <c:pt idx="31">
                  <c:v>19041.373318035094</c:v>
                </c:pt>
                <c:pt idx="32">
                  <c:v>19019.591410573572</c:v>
                </c:pt>
                <c:pt idx="33">
                  <c:v>18991.355153035332</c:v>
                </c:pt>
                <c:pt idx="34">
                  <c:v>18956.9922727421</c:v>
                </c:pt>
                <c:pt idx="35">
                  <c:v>18916.825316835118</c:v>
                </c:pt>
                <c:pt idx="36">
                  <c:v>18871.171651899771</c:v>
                </c:pt>
                <c:pt idx="37">
                  <c:v>18820.343464322388</c:v>
                </c:pt>
                <c:pt idx="38">
                  <c:v>18764.647759903222</c:v>
                </c:pt>
                <c:pt idx="39">
                  <c:v>18704.386364202961</c:v>
                </c:pt>
                <c:pt idx="40">
                  <c:v>18639.855922300314</c:v>
                </c:pt>
                <c:pt idx="41">
                  <c:v>18571.347898956388</c:v>
                </c:pt>
                <c:pt idx="42">
                  <c:v>18499.148578561842</c:v>
                </c:pt>
                <c:pt idx="43">
                  <c:v>18423.539065018296</c:v>
                </c:pt>
                <c:pt idx="44">
                  <c:v>18344.795281939209</c:v>
                </c:pt>
                <c:pt idx="45">
                  <c:v>18263.187972567976</c:v>
                </c:pt>
                <c:pt idx="46">
                  <c:v>18178.982699602897</c:v>
                </c:pt>
                <c:pt idx="47">
                  <c:v>18092.43984564022</c:v>
                </c:pt>
                <c:pt idx="48">
                  <c:v>18003.814612567417</c:v>
                </c:pt>
                <c:pt idx="49">
                  <c:v>17913.357022169977</c:v>
                </c:pt>
                <c:pt idx="50">
                  <c:v>17821.311915617436</c:v>
                </c:pt>
                <c:pt idx="51">
                  <c:v>17727.918953895529</c:v>
                </c:pt>
                <c:pt idx="52">
                  <c:v>17633.412617426329</c:v>
                </c:pt>
                <c:pt idx="53">
                  <c:v>17538.022206418216</c:v>
                </c:pt>
                <c:pt idx="54">
                  <c:v>17441.971840575316</c:v>
                </c:pt>
                <c:pt idx="55">
                  <c:v>17345.480459202121</c:v>
                </c:pt>
                <c:pt idx="56">
                  <c:v>17248.761821314725</c:v>
                </c:pt>
                <c:pt idx="57">
                  <c:v>17152.024505477362</c:v>
                </c:pt>
                <c:pt idx="58">
                  <c:v>17055.471909932792</c:v>
                </c:pt>
                <c:pt idx="59">
                  <c:v>16959.302252452817</c:v>
                </c:pt>
                <c:pt idx="60">
                  <c:v>16863.708570450512</c:v>
                </c:pt>
                <c:pt idx="61">
                  <c:v>16768.878720987552</c:v>
                </c:pt>
                <c:pt idx="62">
                  <c:v>16674.995380770451</c:v>
                </c:pt>
                <c:pt idx="63">
                  <c:v>16582.236045982689</c:v>
                </c:pt>
                <c:pt idx="64">
                  <c:v>16490.773032639176</c:v>
                </c:pt>
                <c:pt idx="65">
                  <c:v>16400.773476079092</c:v>
                </c:pt>
                <c:pt idx="66">
                  <c:v>16312.399331614361</c:v>
                </c:pt>
                <c:pt idx="67">
                  <c:v>16225.807373821723</c:v>
                </c:pt>
                <c:pt idx="68">
                  <c:v>16141.149197172394</c:v>
                </c:pt>
                <c:pt idx="69">
                  <c:v>16058.571215517819</c:v>
                </c:pt>
                <c:pt idx="70">
                  <c:v>15978.21466253701</c:v>
                </c:pt>
                <c:pt idx="71">
                  <c:v>15900.215591445565</c:v>
                </c:pt>
                <c:pt idx="72">
                  <c:v>15824.704874917868</c:v>
                </c:pt>
                <c:pt idx="73">
                  <c:v>15751.808205485324</c:v>
                </c:pt>
                <c:pt idx="74">
                  <c:v>15681.646095171574</c:v>
                </c:pt>
                <c:pt idx="75">
                  <c:v>15614.333875656128</c:v>
                </c:pt>
                <c:pt idx="76">
                  <c:v>15549.98169815541</c:v>
                </c:pt>
                <c:pt idx="77">
                  <c:v>15488.694533675909</c:v>
                </c:pt>
                <c:pt idx="78">
                  <c:v>15430.572172574699</c:v>
                </c:pt>
                <c:pt idx="79">
                  <c:v>15375.709225066006</c:v>
                </c:pt>
                <c:pt idx="80">
                  <c:v>15324.195120871067</c:v>
                </c:pt>
                <c:pt idx="81">
                  <c:v>15276.114109300077</c:v>
                </c:pt>
                <c:pt idx="82">
                  <c:v>15231.545259371414</c:v>
                </c:pt>
                <c:pt idx="83">
                  <c:v>15190.562459632754</c:v>
                </c:pt>
                <c:pt idx="84">
                  <c:v>15153.234418295358</c:v>
                </c:pt>
                <c:pt idx="85">
                  <c:v>15119.624663174152</c:v>
                </c:pt>
                <c:pt idx="86">
                  <c:v>15089.791541658356</c:v>
                </c:pt>
                <c:pt idx="87">
                  <c:v>15063.788220874972</c:v>
                </c:pt>
                <c:pt idx="88">
                  <c:v>15041.662687383587</c:v>
                </c:pt>
                <c:pt idx="89">
                  <c:v>15023.45774752647</c:v>
                </c:pt>
                <c:pt idx="90">
                  <c:v>15009.211027175208</c:v>
                </c:pt>
                <c:pt idx="91">
                  <c:v>14998.954971820111</c:v>
                </c:pt>
                <c:pt idx="92">
                  <c:v>14992.71684657783</c:v>
                </c:pt>
                <c:pt idx="93">
                  <c:v>14990.518736191094</c:v>
                </c:pt>
                <c:pt idx="94">
                  <c:v>14992.377545028925</c:v>
                </c:pt>
                <c:pt idx="95">
                  <c:v>14998.304996997094</c:v>
                </c:pt>
                <c:pt idx="96">
                  <c:v>15008.307635731981</c:v>
                </c:pt>
                <c:pt idx="97">
                  <c:v>15022.386824436466</c:v>
                </c:pt>
                <c:pt idx="98">
                  <c:v>15040.538745887578</c:v>
                </c:pt>
                <c:pt idx="99">
                  <c:v>15062.754402473574</c:v>
                </c:pt>
                <c:pt idx="100">
                  <c:v>15089.019616350532</c:v>
                </c:pt>
                <c:pt idx="101">
                  <c:v>15119.315029084648</c:v>
                </c:pt>
                <c:pt idx="102">
                  <c:v>15153.616101987638</c:v>
                </c:pt>
                <c:pt idx="103">
                  <c:v>15191.893115885547</c:v>
                </c:pt>
                <c:pt idx="104">
                  <c:v>15234.111171394588</c:v>
                </c:pt>
                <c:pt idx="105">
                  <c:v>15280.230188511334</c:v>
                </c:pt>
                <c:pt idx="106">
                  <c:v>15330.204907074572</c:v>
                </c:pt>
                <c:pt idx="107">
                  <c:v>15383.984886303544</c:v>
                </c:pt>
                <c:pt idx="108">
                  <c:v>15441.514505282044</c:v>
                </c:pt>
                <c:pt idx="109">
                  <c:v>15502.7329625413</c:v>
                </c:pt>
                <c:pt idx="110">
                  <c:v>15567.574276283383</c:v>
                </c:pt>
                <c:pt idx="111">
                  <c:v>15635.967284314333</c:v>
                </c:pt>
                <c:pt idx="112">
                  <c:v>15707.835644043962</c:v>
                </c:pt>
                <c:pt idx="113">
                  <c:v>15783.097832590342</c:v>
                </c:pt>
                <c:pt idx="114">
                  <c:v>15861.667146466671</c:v>
                </c:pt>
                <c:pt idx="115">
                  <c:v>15943.451702073215</c:v>
                </c:pt>
                <c:pt idx="116">
                  <c:v>16028.354435242711</c:v>
                </c:pt>
                <c:pt idx="117">
                  <c:v>16116.273101486266</c:v>
                </c:pt>
                <c:pt idx="118">
                  <c:v>16207.10027590394</c:v>
                </c:pt>
                <c:pt idx="119">
                  <c:v>16300.723353199681</c:v>
                </c:pt>
                <c:pt idx="120">
                  <c:v>16397.024547792957</c:v>
                </c:pt>
                <c:pt idx="121">
                  <c:v>16495.880893640264</c:v>
                </c:pt>
                <c:pt idx="122">
                  <c:v>16597.164244256914</c:v>
                </c:pt>
                <c:pt idx="123">
                  <c:v>16700.741272889056</c:v>
                </c:pt>
                <c:pt idx="124">
                  <c:v>16806.4734723121</c:v>
                </c:pt>
                <c:pt idx="125">
                  <c:v>16914.217155002061</c:v>
                </c:pt>
                <c:pt idx="126">
                  <c:v>17023.823452927172</c:v>
                </c:pt>
                <c:pt idx="127">
                  <c:v>17135.138317845689</c:v>
                </c:pt>
                <c:pt idx="128">
                  <c:v>17248.002520889004</c:v>
                </c:pt>
                <c:pt idx="129">
                  <c:v>17362.251653052866</c:v>
                </c:pt>
                <c:pt idx="130">
                  <c:v>17477.716124780505</c:v>
                </c:pt>
                <c:pt idx="131">
                  <c:v>17594.221166208386</c:v>
                </c:pt>
                <c:pt idx="132">
                  <c:v>17711.586827054663</c:v>
                </c:pt>
                <c:pt idx="133">
                  <c:v>17829.627976655902</c:v>
                </c:pt>
                <c:pt idx="134">
                  <c:v>17948.154304020107</c:v>
                </c:pt>
                <c:pt idx="135">
                  <c:v>18066.970317721367</c:v>
                </c:pt>
                <c:pt idx="136">
                  <c:v>18185.875345915556</c:v>
                </c:pt>
                <c:pt idx="137">
                  <c:v>18304.663536399541</c:v>
                </c:pt>
                <c:pt idx="138">
                  <c:v>18423.123856604099</c:v>
                </c:pt>
                <c:pt idx="139">
                  <c:v>18541.040093652929</c:v>
                </c:pt>
                <c:pt idx="140">
                  <c:v>18658.190854027867</c:v>
                </c:pt>
                <c:pt idx="141">
                  <c:v>18774.349564164877</c:v>
                </c:pt>
                <c:pt idx="142">
                  <c:v>18889.284469872713</c:v>
                </c:pt>
                <c:pt idx="143">
                  <c:v>19002.758636660874</c:v>
                </c:pt>
                <c:pt idx="144">
                  <c:v>19114.529949650114</c:v>
                </c:pt>
                <c:pt idx="145">
                  <c:v>19224.351113490757</c:v>
                </c:pt>
                <c:pt idx="146">
                  <c:v>19331.969652697444</c:v>
                </c:pt>
                <c:pt idx="147">
                  <c:v>19437.127911061049</c:v>
                </c:pt>
                <c:pt idx="148">
                  <c:v>19539.563052281737</c:v>
                </c:pt>
                <c:pt idx="149">
                  <c:v>19639.007059492156</c:v>
                </c:pt>
                <c:pt idx="150">
                  <c:v>19735.186735525727</c:v>
                </c:pt>
                <c:pt idx="151">
                  <c:v>19827.823702760081</c:v>
                </c:pt>
                <c:pt idx="152">
                  <c:v>19916.634403154261</c:v>
                </c:pt>
                <c:pt idx="153">
                  <c:v>20001.330098569393</c:v>
                </c:pt>
                <c:pt idx="154">
                  <c:v>20081.616870157417</c:v>
                </c:pt>
                <c:pt idx="155">
                  <c:v>20157.195618808233</c:v>
                </c:pt>
                <c:pt idx="156">
                  <c:v>20227.762065008301</c:v>
                </c:pt>
                <c:pt idx="157">
                  <c:v>20293.006748862557</c:v>
                </c:pt>
                <c:pt idx="158">
                  <c:v>20352.6150302067</c:v>
                </c:pt>
                <c:pt idx="159">
                  <c:v>20406.267088197175</c:v>
                </c:pt>
                <c:pt idx="160">
                  <c:v>20453.637921966612</c:v>
                </c:pt>
                <c:pt idx="161">
                  <c:v>20494.397349953651</c:v>
                </c:pt>
                <c:pt idx="162">
                  <c:v>20528.210010513663</c:v>
                </c:pt>
                <c:pt idx="163">
                  <c:v>20554.735361203551</c:v>
                </c:pt>
                <c:pt idx="164">
                  <c:v>20573.627679675767</c:v>
                </c:pt>
                <c:pt idx="165">
                  <c:v>20584.536062903702</c:v>
                </c:pt>
                <c:pt idx="166">
                  <c:v>20587.104427501556</c:v>
                </c:pt>
                <c:pt idx="167">
                  <c:v>20580.971509791911</c:v>
                </c:pt>
                <c:pt idx="168">
                  <c:v>20565.770865537226</c:v>
                </c:pt>
                <c:pt idx="169">
                  <c:v>20541.130870312452</c:v>
                </c:pt>
                <c:pt idx="170">
                  <c:v>20506.674719303846</c:v>
                </c:pt>
                <c:pt idx="171">
                  <c:v>20462.020427085456</c:v>
                </c:pt>
                <c:pt idx="172">
                  <c:v>20406.78082818538</c:v>
                </c:pt>
                <c:pt idx="173">
                  <c:v>20340.563576355496</c:v>
                </c:pt>
                <c:pt idx="174">
                  <c:v>20262.971145324453</c:v>
                </c:pt>
                <c:pt idx="175">
                  <c:v>20173.600828245282</c:v>
                </c:pt>
                <c:pt idx="176">
                  <c:v>20072.044737890352</c:v>
                </c:pt>
                <c:pt idx="177">
                  <c:v>19957.889806643117</c:v>
                </c:pt>
                <c:pt idx="178">
                  <c:v>19830.717786625028</c:v>
                </c:pt>
                <c:pt idx="179">
                  <c:v>19690.105249449563</c:v>
                </c:pt>
                <c:pt idx="180">
                  <c:v>19535.623586401303</c:v>
                </c:pt>
                <c:pt idx="181">
                  <c:v>19366.839008316318</c:v>
                </c:pt>
                <c:pt idx="182">
                  <c:v>19183.312545761466</c:v>
                </c:pt>
                <c:pt idx="183">
                  <c:v>18984.600048698456</c:v>
                </c:pt>
                <c:pt idx="184">
                  <c:v>18770.252187110505</c:v>
                </c:pt>
                <c:pt idx="185">
                  <c:v>18539.814450070222</c:v>
                </c:pt>
                <c:pt idx="186">
                  <c:v>18292.827146694064</c:v>
                </c:pt>
                <c:pt idx="187">
                  <c:v>18028.825405530635</c:v>
                </c:pt>
                <c:pt idx="188">
                  <c:v>17747.33917473253</c:v>
                </c:pt>
                <c:pt idx="189">
                  <c:v>17447.893222138286</c:v>
                </c:pt>
                <c:pt idx="190">
                  <c:v>17130.007135063468</c:v>
                </c:pt>
                <c:pt idx="191">
                  <c:v>16793.195320740342</c:v>
                </c:pt>
                <c:pt idx="192">
                  <c:v>16436.967005625422</c:v>
                </c:pt>
                <c:pt idx="193">
                  <c:v>16060.826236128807</c:v>
                </c:pt>
                <c:pt idx="194">
                  <c:v>15664.271878063679</c:v>
                </c:pt>
                <c:pt idx="195">
                  <c:v>15246.797616928809</c:v>
                </c:pt>
                <c:pt idx="196">
                  <c:v>14807.891957730055</c:v>
                </c:pt>
                <c:pt idx="197">
                  <c:v>14347.038225352784</c:v>
                </c:pt>
                <c:pt idx="198">
                  <c:v>13863.714564055224</c:v>
                </c:pt>
                <c:pt idx="199">
                  <c:v>13357.393937841051</c:v>
                </c:pt>
              </c:numCache>
            </c:numRef>
          </c:yVal>
          <c:smooth val="0"/>
        </c:ser>
        <c:dLbls>
          <c:showLegendKey val="0"/>
          <c:showVal val="0"/>
          <c:showCatName val="0"/>
          <c:showSerName val="0"/>
          <c:showPercent val="0"/>
          <c:showBubbleSize val="0"/>
        </c:dLbls>
        <c:axId val="133827584"/>
        <c:axId val="133842048"/>
      </c:scatterChart>
      <c:valAx>
        <c:axId val="133827584"/>
        <c:scaling>
          <c:orientation val="minMax"/>
          <c:max val="3200"/>
          <c:min val="2300"/>
        </c:scaling>
        <c:delete val="0"/>
        <c:axPos val="b"/>
        <c:title>
          <c:tx>
            <c:rich>
              <a:bodyPr/>
              <a:lstStyle/>
              <a:p>
                <a:pPr>
                  <a:defRPr/>
                </a:pPr>
                <a:r>
                  <a:rPr lang="ru-RU"/>
                  <a:t>займы </a:t>
                </a:r>
              </a:p>
            </c:rich>
          </c:tx>
          <c:overlay val="0"/>
        </c:title>
        <c:numFmt formatCode="General" sourceLinked="0"/>
        <c:majorTickMark val="cross"/>
        <c:minorTickMark val="none"/>
        <c:tickLblPos val="nextTo"/>
        <c:txPr>
          <a:bodyPr rot="0" vert="horz"/>
          <a:lstStyle/>
          <a:p>
            <a:pPr>
              <a:defRPr/>
            </a:pPr>
            <a:endParaRPr lang="ru-RU"/>
          </a:p>
        </c:txPr>
        <c:crossAx val="133842048"/>
        <c:crosses val="autoZero"/>
        <c:crossBetween val="midCat"/>
      </c:valAx>
      <c:valAx>
        <c:axId val="133842048"/>
        <c:scaling>
          <c:orientation val="minMax"/>
          <c:max val="35000"/>
          <c:min val="-5000"/>
        </c:scaling>
        <c:delete val="0"/>
        <c:axPos val="l"/>
        <c:title>
          <c:tx>
            <c:rich>
              <a:bodyPr/>
              <a:lstStyle/>
              <a:p>
                <a:pPr>
                  <a:defRPr/>
                </a:pPr>
                <a:r>
                  <a:rPr lang="ru-RU"/>
                  <a:t>ВВП</a:t>
                </a:r>
              </a:p>
            </c:rich>
          </c:tx>
          <c:overlay val="0"/>
        </c:title>
        <c:numFmt formatCode="General" sourceLinked="0"/>
        <c:majorTickMark val="cross"/>
        <c:minorTickMark val="none"/>
        <c:tickLblPos val="nextTo"/>
        <c:crossAx val="133827584"/>
        <c:crosses val="autoZero"/>
        <c:crossBetween val="midCat"/>
      </c:valAx>
      <c:spPr>
        <a:ln>
          <a:solidFill>
            <a:srgbClr val="C0C0C0"/>
          </a:solidFill>
          <a:prstDash val="solid"/>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809850547707784E-2"/>
          <c:y val="4.0128968253968264E-2"/>
          <c:w val="0.56114600843433893"/>
          <c:h val="0.85730025934258358"/>
        </c:manualLayout>
      </c:layout>
      <c:barChart>
        <c:barDir val="col"/>
        <c:grouping val="stacked"/>
        <c:varyColors val="0"/>
        <c:ser>
          <c:idx val="0"/>
          <c:order val="0"/>
          <c:tx>
            <c:strRef>
              <c:f>'Халык банк'!$A$2</c:f>
              <c:strCache>
                <c:ptCount val="1"/>
                <c:pt idx="0">
                  <c:v>Срочные вклады</c:v>
                </c:pt>
              </c:strCache>
            </c:strRef>
          </c:tx>
          <c:spPr>
            <a:solidFill>
              <a:schemeClr val="accent1">
                <a:lumMod val="60000"/>
                <a:lumOff val="40000"/>
              </a:schemeClr>
            </a:solidFill>
          </c:spPr>
          <c:invertIfNegative val="0"/>
          <c:dLbls>
            <c:showLegendKey val="0"/>
            <c:showVal val="1"/>
            <c:showCatName val="0"/>
            <c:showSerName val="0"/>
            <c:showPercent val="0"/>
            <c:showBubbleSize val="0"/>
            <c:showLeaderLines val="0"/>
          </c:dLbls>
          <c:cat>
            <c:strRef>
              <c:f>'Халык банк'!$B$1:$F$1</c:f>
              <c:strCache>
                <c:ptCount val="5"/>
                <c:pt idx="0">
                  <c:v>2016 г.</c:v>
                </c:pt>
                <c:pt idx="1">
                  <c:v>2017 г.</c:v>
                </c:pt>
                <c:pt idx="2">
                  <c:v>2018 г.</c:v>
                </c:pt>
                <c:pt idx="3">
                  <c:v>2019 г.</c:v>
                </c:pt>
                <c:pt idx="4">
                  <c:v>2020 г.</c:v>
                </c:pt>
              </c:strCache>
            </c:strRef>
          </c:cat>
          <c:val>
            <c:numRef>
              <c:f>'Халык банк'!$B$2:$F$2</c:f>
              <c:numCache>
                <c:formatCode>General</c:formatCode>
                <c:ptCount val="5"/>
                <c:pt idx="0">
                  <c:v>2738.125</c:v>
                </c:pt>
                <c:pt idx="1">
                  <c:v>4397.857</c:v>
                </c:pt>
                <c:pt idx="2">
                  <c:v>4292.6620000000103</c:v>
                </c:pt>
                <c:pt idx="3">
                  <c:v>4184.9489999999996</c:v>
                </c:pt>
                <c:pt idx="4">
                  <c:v>4898.7</c:v>
                </c:pt>
              </c:numCache>
            </c:numRef>
          </c:val>
        </c:ser>
        <c:ser>
          <c:idx val="1"/>
          <c:order val="1"/>
          <c:tx>
            <c:strRef>
              <c:f>'Халык банк'!$A$3</c:f>
              <c:strCache>
                <c:ptCount val="1"/>
                <c:pt idx="0">
                  <c:v>Текущие счета</c:v>
                </c:pt>
              </c:strCache>
            </c:strRef>
          </c:tx>
          <c:invertIfNegative val="0"/>
          <c:dLbls>
            <c:dLbl>
              <c:idx val="1"/>
              <c:layout>
                <c:manualLayout>
                  <c:x val="2.0807324178110788E-3"/>
                  <c:y val="3.4722222222222224E-2"/>
                </c:manualLayout>
              </c:layout>
              <c:showLegendKey val="0"/>
              <c:showVal val="1"/>
              <c:showCatName val="0"/>
              <c:showSerName val="0"/>
              <c:showPercent val="0"/>
              <c:showBubbleSize val="0"/>
            </c:dLbl>
            <c:dLbl>
              <c:idx val="2"/>
              <c:layout>
                <c:manualLayout>
                  <c:x val="2.0807324178110788E-3"/>
                  <c:y val="4.4642857142857116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'Халык банк'!$B$1:$F$1</c:f>
              <c:strCache>
                <c:ptCount val="5"/>
                <c:pt idx="0">
                  <c:v>2016 г.</c:v>
                </c:pt>
                <c:pt idx="1">
                  <c:v>2017 г.</c:v>
                </c:pt>
                <c:pt idx="2">
                  <c:v>2018 г.</c:v>
                </c:pt>
                <c:pt idx="3">
                  <c:v>2019 г.</c:v>
                </c:pt>
                <c:pt idx="4">
                  <c:v>2020 г.</c:v>
                </c:pt>
              </c:strCache>
            </c:strRef>
          </c:cat>
          <c:val>
            <c:numRef>
              <c:f>'Халык банк'!$B$3:$F$3</c:f>
              <c:numCache>
                <c:formatCode>General</c:formatCode>
                <c:ptCount val="5"/>
                <c:pt idx="0">
                  <c:v>1082.537</c:v>
                </c:pt>
                <c:pt idx="1">
                  <c:v>1733.8929999999998</c:v>
                </c:pt>
                <c:pt idx="2">
                  <c:v>2557.277</c:v>
                </c:pt>
                <c:pt idx="3">
                  <c:v>2221.4639999999999</c:v>
                </c:pt>
                <c:pt idx="4">
                  <c:v>2234.2679999999987</c:v>
                </c:pt>
              </c:numCache>
            </c:numRef>
          </c:val>
        </c:ser>
        <c:ser>
          <c:idx val="2"/>
          <c:order val="2"/>
          <c:tx>
            <c:strRef>
              <c:f>'Халык банк'!$A$4</c:f>
              <c:strCache>
                <c:ptCount val="1"/>
                <c:pt idx="0">
                  <c:v>Займы полученные</c:v>
                </c:pt>
              </c:strCache>
            </c:strRef>
          </c:tx>
          <c:invertIfNegative val="0"/>
          <c:dLbls>
            <c:txPr>
              <a:bodyPr/>
              <a:lstStyle/>
              <a:p>
                <a:pPr>
                  <a:defRPr sz="1100"/>
                </a:pPr>
                <a:endParaRPr lang="ru-RU"/>
              </a:p>
            </c:txPr>
            <c:showLegendKey val="0"/>
            <c:showVal val="1"/>
            <c:showCatName val="0"/>
            <c:showSerName val="0"/>
            <c:showPercent val="0"/>
            <c:showBubbleSize val="0"/>
            <c:showLeaderLines val="0"/>
          </c:dLbls>
          <c:cat>
            <c:strRef>
              <c:f>'Халык банк'!$B$1:$F$1</c:f>
              <c:strCache>
                <c:ptCount val="5"/>
                <c:pt idx="0">
                  <c:v>2016 г.</c:v>
                </c:pt>
                <c:pt idx="1">
                  <c:v>2017 г.</c:v>
                </c:pt>
                <c:pt idx="2">
                  <c:v>2018 г.</c:v>
                </c:pt>
                <c:pt idx="3">
                  <c:v>2019 г.</c:v>
                </c:pt>
                <c:pt idx="4">
                  <c:v>2020 г.</c:v>
                </c:pt>
              </c:strCache>
            </c:strRef>
          </c:cat>
          <c:val>
            <c:numRef>
              <c:f>'Халык банк'!$B$4:$F$4</c:f>
              <c:numCache>
                <c:formatCode>General</c:formatCode>
                <c:ptCount val="5"/>
                <c:pt idx="0">
                  <c:v>162.13399999999999</c:v>
                </c:pt>
                <c:pt idx="1">
                  <c:v>255.15100000000001</c:v>
                </c:pt>
                <c:pt idx="2">
                  <c:v>168.38000000000028</c:v>
                </c:pt>
                <c:pt idx="3">
                  <c:v>305.97000000000003</c:v>
                </c:pt>
                <c:pt idx="4">
                  <c:v>300.72999999999945</c:v>
                </c:pt>
              </c:numCache>
            </c:numRef>
          </c:val>
        </c:ser>
        <c:ser>
          <c:idx val="3"/>
          <c:order val="3"/>
          <c:tx>
            <c:strRef>
              <c:f>'Халык банк'!$A$5</c:f>
              <c:strCache>
                <c:ptCount val="1"/>
                <c:pt idx="0">
                  <c:v>Выпущенные долговые ценные бумаги</c:v>
                </c:pt>
              </c:strCache>
            </c:strRef>
          </c:tx>
          <c:spPr>
            <a:solidFill>
              <a:srgbClr val="FFC000"/>
            </a:solidFill>
          </c:spPr>
          <c:invertIfNegative val="0"/>
          <c:dLbls>
            <c:dLbl>
              <c:idx val="1"/>
              <c:layout>
                <c:manualLayout>
                  <c:x val="0"/>
                  <c:y val="-1.9841269841269878E-2"/>
                </c:manualLayout>
              </c:layout>
              <c:showLegendKey val="0"/>
              <c:showVal val="1"/>
              <c:showCatName val="0"/>
              <c:showSerName val="0"/>
              <c:showPercent val="0"/>
              <c:showBubbleSize val="0"/>
            </c:dLbl>
            <c:dLbl>
              <c:idx val="2"/>
              <c:layout>
                <c:manualLayout>
                  <c:x val="0"/>
                  <c:y val="-1.9841269841269878E-2"/>
                </c:manualLayout>
              </c:layout>
              <c:showLegendKey val="0"/>
              <c:showVal val="1"/>
              <c:showCatName val="0"/>
              <c:showSerName val="0"/>
              <c:showPercent val="0"/>
              <c:showBubbleSize val="0"/>
            </c:dLbl>
            <c:dLbl>
              <c:idx val="3"/>
              <c:layout>
                <c:manualLayout>
                  <c:x val="4.1614648356221489E-3"/>
                  <c:y val="-2.48015873015873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'Халык банк'!$B$1:$F$1</c:f>
              <c:strCache>
                <c:ptCount val="5"/>
                <c:pt idx="0">
                  <c:v>2016 г.</c:v>
                </c:pt>
                <c:pt idx="1">
                  <c:v>2017 г.</c:v>
                </c:pt>
                <c:pt idx="2">
                  <c:v>2018 г.</c:v>
                </c:pt>
                <c:pt idx="3">
                  <c:v>2019 г.</c:v>
                </c:pt>
                <c:pt idx="4">
                  <c:v>2020 г.</c:v>
                </c:pt>
              </c:strCache>
            </c:strRef>
          </c:cat>
          <c:val>
            <c:numRef>
              <c:f>'Халык банк'!$B$5:$F$5</c:f>
              <c:numCache>
                <c:formatCode>General</c:formatCode>
                <c:ptCount val="5"/>
                <c:pt idx="0">
                  <c:v>584.92999999999938</c:v>
                </c:pt>
                <c:pt idx="1">
                  <c:v>962.4</c:v>
                </c:pt>
                <c:pt idx="2">
                  <c:v>900.79000000000053</c:v>
                </c:pt>
                <c:pt idx="3">
                  <c:v>834.44999999999948</c:v>
                </c:pt>
                <c:pt idx="4">
                  <c:v>778.19</c:v>
                </c:pt>
              </c:numCache>
            </c:numRef>
          </c:val>
        </c:ser>
        <c:ser>
          <c:idx val="6"/>
          <c:order val="6"/>
          <c:tx>
            <c:strRef>
              <c:f>'Халык банк'!$A$8</c:f>
              <c:strCache>
                <c:ptCount val="1"/>
                <c:pt idx="0">
                  <c:v>Нераспределенная прибыль</c:v>
                </c:pt>
              </c:strCache>
            </c:strRef>
          </c:tx>
          <c:spPr>
            <a:solidFill>
              <a:schemeClr val="accent3">
                <a:lumMod val="60000"/>
                <a:lumOff val="40000"/>
              </a:schemeClr>
            </a:solidFill>
          </c:spPr>
          <c:invertIfNegative val="0"/>
          <c:dLbls>
            <c:dLbl>
              <c:idx val="0"/>
              <c:layout>
                <c:manualLayout>
                  <c:x val="0"/>
                  <c:y val="-1.9841269841269878E-2"/>
                </c:manualLayout>
              </c:layout>
              <c:showLegendKey val="0"/>
              <c:showVal val="1"/>
              <c:showCatName val="0"/>
              <c:showSerName val="0"/>
              <c:showPercent val="0"/>
              <c:showBubbleSize val="0"/>
            </c:dLbl>
            <c:dLbl>
              <c:idx val="1"/>
              <c:layout>
                <c:manualLayout>
                  <c:x val="0"/>
                  <c:y val="-1.9841269841269878E-2"/>
                </c:manualLayout>
              </c:layout>
              <c:showLegendKey val="0"/>
              <c:showVal val="1"/>
              <c:showCatName val="0"/>
              <c:showSerName val="0"/>
              <c:showPercent val="0"/>
              <c:showBubbleSize val="0"/>
            </c:dLbl>
            <c:dLbl>
              <c:idx val="2"/>
              <c:layout>
                <c:manualLayout>
                  <c:x val="2.0807324178110788E-3"/>
                  <c:y val="-5.9523809523809507E-2"/>
                </c:manualLayout>
              </c:layout>
              <c:showLegendKey val="0"/>
              <c:showVal val="1"/>
              <c:showCatName val="0"/>
              <c:showSerName val="0"/>
              <c:showPercent val="0"/>
              <c:showBubbleSize val="0"/>
            </c:dLbl>
            <c:dLbl>
              <c:idx val="3"/>
              <c:layout>
                <c:manualLayout>
                  <c:x val="0"/>
                  <c:y val="-8.432539682539715E-2"/>
                </c:manualLayout>
              </c:layout>
              <c:showLegendKey val="0"/>
              <c:showVal val="1"/>
              <c:showCatName val="0"/>
              <c:showSerName val="0"/>
              <c:showPercent val="0"/>
              <c:showBubbleSize val="0"/>
            </c:dLbl>
            <c:dLbl>
              <c:idx val="4"/>
              <c:layout>
                <c:manualLayout>
                  <c:x val="0"/>
                  <c:y val="-5.9523809523809507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'Халык банк'!$B$1:$F$1</c:f>
              <c:strCache>
                <c:ptCount val="5"/>
                <c:pt idx="0">
                  <c:v>2016 г.</c:v>
                </c:pt>
                <c:pt idx="1">
                  <c:v>2017 г.</c:v>
                </c:pt>
                <c:pt idx="2">
                  <c:v>2018 г.</c:v>
                </c:pt>
                <c:pt idx="3">
                  <c:v>2019 г.</c:v>
                </c:pt>
                <c:pt idx="4">
                  <c:v>2020 г.</c:v>
                </c:pt>
              </c:strCache>
            </c:strRef>
          </c:cat>
          <c:val>
            <c:numRef>
              <c:f>'Халык банк'!$B$8:$F$8</c:f>
              <c:numCache>
                <c:formatCode>General</c:formatCode>
                <c:ptCount val="5"/>
                <c:pt idx="0">
                  <c:v>623.10799999999949</c:v>
                </c:pt>
                <c:pt idx="1">
                  <c:v>820.72</c:v>
                </c:pt>
                <c:pt idx="2">
                  <c:v>966.21500000000003</c:v>
                </c:pt>
                <c:pt idx="3">
                  <c:v>1208.96</c:v>
                </c:pt>
                <c:pt idx="4">
                  <c:v>1389.52</c:v>
                </c:pt>
              </c:numCache>
            </c:numRef>
          </c:val>
        </c:ser>
        <c:dLbls>
          <c:showLegendKey val="0"/>
          <c:showVal val="0"/>
          <c:showCatName val="0"/>
          <c:showSerName val="0"/>
          <c:showPercent val="0"/>
          <c:showBubbleSize val="0"/>
        </c:dLbls>
        <c:gapWidth val="150"/>
        <c:overlap val="100"/>
        <c:axId val="222615040"/>
        <c:axId val="222616576"/>
      </c:barChart>
      <c:lineChart>
        <c:grouping val="standard"/>
        <c:varyColors val="0"/>
        <c:ser>
          <c:idx val="4"/>
          <c:order val="4"/>
          <c:tx>
            <c:strRef>
              <c:f>'Халык банк'!$A$6</c:f>
              <c:strCache>
                <c:ptCount val="1"/>
                <c:pt idx="0">
                  <c:v>Уставный капитал</c:v>
                </c:pt>
              </c:strCache>
            </c:strRef>
          </c:tx>
          <c:dLbls>
            <c:dLbl>
              <c:idx val="0"/>
              <c:layout>
                <c:manualLayout>
                  <c:x val="-3.9533915938410401E-2"/>
                  <c:y val="-5.4563492063492106E-2"/>
                </c:manualLayout>
              </c:layout>
              <c:showLegendKey val="0"/>
              <c:showVal val="1"/>
              <c:showCatName val="0"/>
              <c:showSerName val="0"/>
              <c:showPercent val="0"/>
              <c:showBubbleSize val="0"/>
            </c:dLbl>
            <c:dLbl>
              <c:idx val="1"/>
              <c:layout>
                <c:manualLayout>
                  <c:x val="0"/>
                  <c:y val="9.9206349206349496E-3"/>
                </c:manualLayout>
              </c:layout>
              <c:showLegendKey val="0"/>
              <c:showVal val="1"/>
              <c:showCatName val="0"/>
              <c:showSerName val="0"/>
              <c:showPercent val="0"/>
              <c:showBubbleSize val="0"/>
            </c:dLbl>
            <c:spPr>
              <a:solidFill>
                <a:schemeClr val="accent5">
                  <a:lumMod val="60000"/>
                  <a:lumOff val="40000"/>
                </a:schemeClr>
              </a:solidFill>
            </c:spPr>
            <c:txPr>
              <a:bodyPr/>
              <a:lstStyle/>
              <a:p>
                <a:pPr>
                  <a:defRPr sz="1100" i="1"/>
                </a:pPr>
                <a:endParaRPr lang="ru-RU"/>
              </a:p>
            </c:txPr>
            <c:showLegendKey val="0"/>
            <c:showVal val="1"/>
            <c:showCatName val="0"/>
            <c:showSerName val="0"/>
            <c:showPercent val="0"/>
            <c:showBubbleSize val="0"/>
            <c:showLeaderLines val="0"/>
          </c:dLbls>
          <c:cat>
            <c:strRef>
              <c:f>'Халык банк'!$B$1:$F$1</c:f>
              <c:strCache>
                <c:ptCount val="5"/>
                <c:pt idx="0">
                  <c:v>2016 г.</c:v>
                </c:pt>
                <c:pt idx="1">
                  <c:v>2017 г.</c:v>
                </c:pt>
                <c:pt idx="2">
                  <c:v>2018 г.</c:v>
                </c:pt>
                <c:pt idx="3">
                  <c:v>2019 г.</c:v>
                </c:pt>
                <c:pt idx="4">
                  <c:v>2020 г.</c:v>
                </c:pt>
              </c:strCache>
            </c:strRef>
          </c:cat>
          <c:val>
            <c:numRef>
              <c:f>'Халык банк'!$B$6:$F$6</c:f>
              <c:numCache>
                <c:formatCode>General</c:formatCode>
                <c:ptCount val="5"/>
                <c:pt idx="0">
                  <c:v>143.66999999999999</c:v>
                </c:pt>
                <c:pt idx="1">
                  <c:v>143.66999999999999</c:v>
                </c:pt>
                <c:pt idx="2">
                  <c:v>209.02700000000004</c:v>
                </c:pt>
                <c:pt idx="3">
                  <c:v>209.02700000000004</c:v>
                </c:pt>
                <c:pt idx="4">
                  <c:v>209.02700000000004</c:v>
                </c:pt>
              </c:numCache>
            </c:numRef>
          </c:val>
          <c:smooth val="0"/>
        </c:ser>
        <c:ser>
          <c:idx val="5"/>
          <c:order val="5"/>
          <c:tx>
            <c:strRef>
              <c:f>'Халык банк'!$A$7</c:f>
              <c:strCache>
                <c:ptCount val="1"/>
                <c:pt idx="0">
                  <c:v>Резервный капитал</c:v>
                </c:pt>
              </c:strCache>
            </c:strRef>
          </c:tx>
          <c:dLbls>
            <c:txPr>
              <a:bodyPr/>
              <a:lstStyle/>
              <a:p>
                <a:pPr>
                  <a:defRPr i="1"/>
                </a:pPr>
                <a:endParaRPr lang="ru-RU"/>
              </a:p>
            </c:txPr>
            <c:showLegendKey val="0"/>
            <c:showVal val="1"/>
            <c:showCatName val="0"/>
            <c:showSerName val="0"/>
            <c:showPercent val="0"/>
            <c:showBubbleSize val="0"/>
            <c:showLeaderLines val="0"/>
          </c:dLbls>
          <c:cat>
            <c:strRef>
              <c:f>'Халык банк'!$B$1:$F$1</c:f>
              <c:strCache>
                <c:ptCount val="5"/>
                <c:pt idx="0">
                  <c:v>2016 г.</c:v>
                </c:pt>
                <c:pt idx="1">
                  <c:v>2017 г.</c:v>
                </c:pt>
                <c:pt idx="2">
                  <c:v>2018 г.</c:v>
                </c:pt>
                <c:pt idx="3">
                  <c:v>2019 г.</c:v>
                </c:pt>
                <c:pt idx="4">
                  <c:v>2020 г.</c:v>
                </c:pt>
              </c:strCache>
            </c:strRef>
          </c:cat>
          <c:val>
            <c:numRef>
              <c:f>'Халык банк'!$B$7:$F$7</c:f>
              <c:numCache>
                <c:formatCode>General</c:formatCode>
                <c:ptCount val="5"/>
                <c:pt idx="0">
                  <c:v>0.98699999999999999</c:v>
                </c:pt>
                <c:pt idx="1">
                  <c:v>16.097999999999999</c:v>
                </c:pt>
                <c:pt idx="2">
                  <c:v>2.5459999999999998</c:v>
                </c:pt>
                <c:pt idx="3">
                  <c:v>3.9239999999999999</c:v>
                </c:pt>
                <c:pt idx="4">
                  <c:v>9.2870000000000008</c:v>
                </c:pt>
              </c:numCache>
            </c:numRef>
          </c:val>
          <c:smooth val="0"/>
        </c:ser>
        <c:dLbls>
          <c:showLegendKey val="0"/>
          <c:showVal val="0"/>
          <c:showCatName val="0"/>
          <c:showSerName val="0"/>
          <c:showPercent val="0"/>
          <c:showBubbleSize val="0"/>
        </c:dLbls>
        <c:marker val="1"/>
        <c:smooth val="0"/>
        <c:axId val="222648576"/>
        <c:axId val="222647040"/>
      </c:lineChart>
      <c:catAx>
        <c:axId val="222615040"/>
        <c:scaling>
          <c:orientation val="minMax"/>
        </c:scaling>
        <c:delete val="0"/>
        <c:axPos val="b"/>
        <c:majorTickMark val="out"/>
        <c:minorTickMark val="none"/>
        <c:tickLblPos val="nextTo"/>
        <c:crossAx val="222616576"/>
        <c:crosses val="autoZero"/>
        <c:auto val="1"/>
        <c:lblAlgn val="ctr"/>
        <c:lblOffset val="100"/>
        <c:noMultiLvlLbl val="0"/>
      </c:catAx>
      <c:valAx>
        <c:axId val="222616576"/>
        <c:scaling>
          <c:orientation val="minMax"/>
          <c:max val="10000"/>
        </c:scaling>
        <c:delete val="0"/>
        <c:axPos val="l"/>
        <c:majorGridlines/>
        <c:numFmt formatCode="General" sourceLinked="1"/>
        <c:majorTickMark val="out"/>
        <c:minorTickMark val="none"/>
        <c:tickLblPos val="nextTo"/>
        <c:crossAx val="222615040"/>
        <c:crosses val="autoZero"/>
        <c:crossBetween val="between"/>
      </c:valAx>
      <c:valAx>
        <c:axId val="222647040"/>
        <c:scaling>
          <c:orientation val="minMax"/>
        </c:scaling>
        <c:delete val="0"/>
        <c:axPos val="r"/>
        <c:numFmt formatCode="General" sourceLinked="1"/>
        <c:majorTickMark val="out"/>
        <c:minorTickMark val="none"/>
        <c:tickLblPos val="nextTo"/>
        <c:crossAx val="222648576"/>
        <c:crosses val="max"/>
        <c:crossBetween val="between"/>
      </c:valAx>
      <c:catAx>
        <c:axId val="222648576"/>
        <c:scaling>
          <c:orientation val="minMax"/>
        </c:scaling>
        <c:delete val="1"/>
        <c:axPos val="b"/>
        <c:majorTickMark val="out"/>
        <c:minorTickMark val="none"/>
        <c:tickLblPos val="none"/>
        <c:crossAx val="222647040"/>
        <c:crosses val="autoZero"/>
        <c:auto val="1"/>
        <c:lblAlgn val="ctr"/>
        <c:lblOffset val="100"/>
        <c:noMultiLvlLbl val="0"/>
      </c:catAx>
    </c:plotArea>
    <c:legend>
      <c:legendPos val="r"/>
      <c:layout>
        <c:manualLayout>
          <c:xMode val="edge"/>
          <c:yMode val="edge"/>
          <c:x val="0.70832784478719191"/>
          <c:y val="1.171728533933349E-5"/>
          <c:w val="0.29167215521280915"/>
          <c:h val="0.99985158105236704"/>
        </c:manualLayout>
      </c:layout>
      <c:overlay val="0"/>
      <c:txPr>
        <a:bodyPr/>
        <a:lstStyle/>
        <a:p>
          <a:pPr>
            <a:defRPr sz="1000"/>
          </a:pPr>
          <a:endParaRPr lang="ru-RU"/>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750899863991419E-2"/>
          <c:y val="3.3682970285648602E-2"/>
          <c:w val="0.93724910013600871"/>
          <c:h val="0.66853267429162599"/>
        </c:manualLayout>
      </c:layout>
      <c:barChart>
        <c:barDir val="col"/>
        <c:grouping val="clustered"/>
        <c:varyColors val="0"/>
        <c:ser>
          <c:idx val="0"/>
          <c:order val="0"/>
          <c:tx>
            <c:strRef>
              <c:f>'Халык банк'!$A$47</c:f>
              <c:strCache>
                <c:ptCount val="1"/>
                <c:pt idx="0">
                  <c:v>Срочные вклады ФЛ</c:v>
                </c:pt>
              </c:strCache>
            </c:strRef>
          </c:tx>
          <c:spPr>
            <a:solidFill>
              <a:srgbClr val="92D050"/>
            </a:solidFill>
          </c:spPr>
          <c:invertIfNegative val="0"/>
          <c:dLbls>
            <c:dLbl>
              <c:idx val="0"/>
              <c:layout>
                <c:manualLayout>
                  <c:x val="0"/>
                  <c:y val="0.26763990267639826"/>
                </c:manualLayout>
              </c:layout>
              <c:showLegendKey val="0"/>
              <c:showVal val="1"/>
              <c:showCatName val="0"/>
              <c:showSerName val="0"/>
              <c:showPercent val="0"/>
              <c:showBubbleSize val="0"/>
            </c:dLbl>
            <c:dLbl>
              <c:idx val="1"/>
              <c:layout>
                <c:manualLayout>
                  <c:x val="0"/>
                  <c:y val="0.43795620437956329"/>
                </c:manualLayout>
              </c:layout>
              <c:showLegendKey val="0"/>
              <c:showVal val="1"/>
              <c:showCatName val="0"/>
              <c:showSerName val="0"/>
              <c:showPercent val="0"/>
              <c:showBubbleSize val="0"/>
            </c:dLbl>
            <c:dLbl>
              <c:idx val="2"/>
              <c:layout>
                <c:manualLayout>
                  <c:x val="0"/>
                  <c:y val="0.43795620437956329"/>
                </c:manualLayout>
              </c:layout>
              <c:showLegendKey val="0"/>
              <c:showVal val="1"/>
              <c:showCatName val="0"/>
              <c:showSerName val="0"/>
              <c:showPercent val="0"/>
              <c:showBubbleSize val="0"/>
            </c:dLbl>
            <c:dLbl>
              <c:idx val="3"/>
              <c:layout>
                <c:manualLayout>
                  <c:x val="0"/>
                  <c:y val="0.41362530413625331"/>
                </c:manualLayout>
              </c:layout>
              <c:showLegendKey val="0"/>
              <c:showVal val="1"/>
              <c:showCatName val="0"/>
              <c:showSerName val="0"/>
              <c:showPercent val="0"/>
              <c:showBubbleSize val="0"/>
            </c:dLbl>
            <c:dLbl>
              <c:idx val="4"/>
              <c:layout>
                <c:manualLayout>
                  <c:x val="0"/>
                  <c:y val="0.41970802919708083"/>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'Халык банк'!$B$46:$F$46</c:f>
              <c:strCache>
                <c:ptCount val="5"/>
                <c:pt idx="0">
                  <c:v>2016 г.</c:v>
                </c:pt>
                <c:pt idx="1">
                  <c:v>2017 г.</c:v>
                </c:pt>
                <c:pt idx="2">
                  <c:v>2018 г.</c:v>
                </c:pt>
                <c:pt idx="3">
                  <c:v>2019 г.</c:v>
                </c:pt>
                <c:pt idx="4">
                  <c:v>2020 г.</c:v>
                </c:pt>
              </c:strCache>
            </c:strRef>
          </c:cat>
          <c:val>
            <c:numRef>
              <c:f>'Халык банк'!$B$47:$F$47</c:f>
              <c:numCache>
                <c:formatCode>General</c:formatCode>
                <c:ptCount val="5"/>
                <c:pt idx="0">
                  <c:v>1470.5360000000001</c:v>
                </c:pt>
                <c:pt idx="1">
                  <c:v>2691.886</c:v>
                </c:pt>
                <c:pt idx="2">
                  <c:v>2918.07</c:v>
                </c:pt>
                <c:pt idx="3">
                  <c:v>2743.0189999999998</c:v>
                </c:pt>
                <c:pt idx="4">
                  <c:v>3073.1869999999949</c:v>
                </c:pt>
              </c:numCache>
            </c:numRef>
          </c:val>
        </c:ser>
        <c:ser>
          <c:idx val="1"/>
          <c:order val="1"/>
          <c:tx>
            <c:strRef>
              <c:f>'Халык банк'!$A$48</c:f>
              <c:strCache>
                <c:ptCount val="1"/>
                <c:pt idx="0">
                  <c:v>Срочные вклады ЮЛ</c:v>
                </c:pt>
              </c:strCache>
            </c:strRef>
          </c:tx>
          <c:spPr>
            <a:solidFill>
              <a:srgbClr val="FFC000"/>
            </a:solidFill>
          </c:spPr>
          <c:invertIfNegative val="0"/>
          <c:dLbls>
            <c:dLbl>
              <c:idx val="0"/>
              <c:layout>
                <c:manualLayout>
                  <c:x val="0"/>
                  <c:y val="0.21897810218978131"/>
                </c:manualLayout>
              </c:layout>
              <c:showLegendKey val="0"/>
              <c:showVal val="1"/>
              <c:showCatName val="0"/>
              <c:showSerName val="0"/>
              <c:showPercent val="0"/>
              <c:showBubbleSize val="0"/>
            </c:dLbl>
            <c:dLbl>
              <c:idx val="1"/>
              <c:layout>
                <c:manualLayout>
                  <c:x val="0"/>
                  <c:y val="0.29197080291970923"/>
                </c:manualLayout>
              </c:layout>
              <c:showLegendKey val="0"/>
              <c:showVal val="1"/>
              <c:showCatName val="0"/>
              <c:showSerName val="0"/>
              <c:showPercent val="0"/>
              <c:showBubbleSize val="0"/>
            </c:dLbl>
            <c:dLbl>
              <c:idx val="2"/>
              <c:layout>
                <c:manualLayout>
                  <c:x val="0"/>
                  <c:y val="0.21897810218978137"/>
                </c:manualLayout>
              </c:layout>
              <c:showLegendKey val="0"/>
              <c:showVal val="1"/>
              <c:showCatName val="0"/>
              <c:showSerName val="0"/>
              <c:showPercent val="0"/>
              <c:showBubbleSize val="0"/>
            </c:dLbl>
            <c:dLbl>
              <c:idx val="3"/>
              <c:layout>
                <c:manualLayout>
                  <c:x val="7.6675539722078335E-17"/>
                  <c:y val="0.23722627737226312"/>
                </c:manualLayout>
              </c:layout>
              <c:showLegendKey val="0"/>
              <c:showVal val="1"/>
              <c:showCatName val="0"/>
              <c:showSerName val="0"/>
              <c:showPercent val="0"/>
              <c:showBubbleSize val="0"/>
            </c:dLbl>
            <c:dLbl>
              <c:idx val="4"/>
              <c:layout>
                <c:manualLayout>
                  <c:x val="0"/>
                  <c:y val="0.31021897810219046"/>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'Халык банк'!$B$46:$F$46</c:f>
              <c:strCache>
                <c:ptCount val="5"/>
                <c:pt idx="0">
                  <c:v>2016 г.</c:v>
                </c:pt>
                <c:pt idx="1">
                  <c:v>2017 г.</c:v>
                </c:pt>
                <c:pt idx="2">
                  <c:v>2018 г.</c:v>
                </c:pt>
                <c:pt idx="3">
                  <c:v>2019 г.</c:v>
                </c:pt>
                <c:pt idx="4">
                  <c:v>2020 г.</c:v>
                </c:pt>
              </c:strCache>
            </c:strRef>
          </c:cat>
          <c:val>
            <c:numRef>
              <c:f>'Халык банк'!$B$48:$F$48</c:f>
              <c:numCache>
                <c:formatCode>General</c:formatCode>
                <c:ptCount val="5"/>
                <c:pt idx="0">
                  <c:v>1267.5889999999999</c:v>
                </c:pt>
                <c:pt idx="1">
                  <c:v>1705.971</c:v>
                </c:pt>
                <c:pt idx="2">
                  <c:v>1374.5919999999999</c:v>
                </c:pt>
                <c:pt idx="3">
                  <c:v>1441.93</c:v>
                </c:pt>
                <c:pt idx="4">
                  <c:v>1825.5129999999999</c:v>
                </c:pt>
              </c:numCache>
            </c:numRef>
          </c:val>
        </c:ser>
        <c:ser>
          <c:idx val="2"/>
          <c:order val="2"/>
          <c:tx>
            <c:strRef>
              <c:f>'Халык банк'!$A$49</c:f>
              <c:strCache>
                <c:ptCount val="1"/>
                <c:pt idx="0">
                  <c:v>Текущие счета ФЛ</c:v>
                </c:pt>
              </c:strCache>
            </c:strRef>
          </c:tx>
          <c:spPr>
            <a:solidFill>
              <a:schemeClr val="accent2">
                <a:lumMod val="60000"/>
                <a:lumOff val="40000"/>
              </a:schemeClr>
            </a:solidFill>
          </c:spPr>
          <c:invertIfNegative val="0"/>
          <c:dLbls>
            <c:dLbl>
              <c:idx val="3"/>
              <c:layout>
                <c:manualLayout>
                  <c:x val="-7.6675539722078335E-17"/>
                  <c:y val="9.7323600973236044E-2"/>
                </c:manualLayout>
              </c:layout>
              <c:showLegendKey val="0"/>
              <c:showVal val="1"/>
              <c:showCatName val="0"/>
              <c:showSerName val="0"/>
              <c:showPercent val="0"/>
              <c:showBubbleSize val="0"/>
            </c:dLbl>
            <c:dLbl>
              <c:idx val="4"/>
              <c:layout>
                <c:manualLayout>
                  <c:x val="0"/>
                  <c:y val="0.11557177615571776"/>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'Халык банк'!$B$46:$F$46</c:f>
              <c:strCache>
                <c:ptCount val="5"/>
                <c:pt idx="0">
                  <c:v>2016 г.</c:v>
                </c:pt>
                <c:pt idx="1">
                  <c:v>2017 г.</c:v>
                </c:pt>
                <c:pt idx="2">
                  <c:v>2018 г.</c:v>
                </c:pt>
                <c:pt idx="3">
                  <c:v>2019 г.</c:v>
                </c:pt>
                <c:pt idx="4">
                  <c:v>2020 г.</c:v>
                </c:pt>
              </c:strCache>
            </c:strRef>
          </c:cat>
          <c:val>
            <c:numRef>
              <c:f>'Халык банк'!$B$49:$F$49</c:f>
              <c:numCache>
                <c:formatCode>General</c:formatCode>
                <c:ptCount val="5"/>
                <c:pt idx="0">
                  <c:v>244.91200000000001</c:v>
                </c:pt>
                <c:pt idx="1">
                  <c:v>412.363</c:v>
                </c:pt>
                <c:pt idx="2">
                  <c:v>477.52</c:v>
                </c:pt>
                <c:pt idx="3">
                  <c:v>508.197</c:v>
                </c:pt>
                <c:pt idx="4">
                  <c:v>625.18100000000004</c:v>
                </c:pt>
              </c:numCache>
            </c:numRef>
          </c:val>
        </c:ser>
        <c:ser>
          <c:idx val="3"/>
          <c:order val="3"/>
          <c:tx>
            <c:strRef>
              <c:f>'Халык банк'!$A$50</c:f>
              <c:strCache>
                <c:ptCount val="1"/>
                <c:pt idx="0">
                  <c:v>Текущие счета ЮЛ</c:v>
                </c:pt>
              </c:strCache>
            </c:strRef>
          </c:tx>
          <c:invertIfNegative val="0"/>
          <c:dLbls>
            <c:dLbl>
              <c:idx val="0"/>
              <c:layout>
                <c:manualLayout>
                  <c:x val="0"/>
                  <c:y val="0.14598540145985425"/>
                </c:manualLayout>
              </c:layout>
              <c:showLegendKey val="0"/>
              <c:showVal val="1"/>
              <c:showCatName val="0"/>
              <c:showSerName val="0"/>
              <c:showPercent val="0"/>
              <c:showBubbleSize val="0"/>
            </c:dLbl>
            <c:dLbl>
              <c:idx val="1"/>
              <c:layout>
                <c:manualLayout>
                  <c:x val="-2.0911752404851585E-3"/>
                  <c:y val="0.21289537712895371"/>
                </c:manualLayout>
              </c:layout>
              <c:showLegendKey val="0"/>
              <c:showVal val="1"/>
              <c:showCatName val="0"/>
              <c:showSerName val="0"/>
              <c:showPercent val="0"/>
              <c:showBubbleSize val="0"/>
            </c:dLbl>
            <c:dLbl>
              <c:idx val="2"/>
              <c:layout>
                <c:manualLayout>
                  <c:x val="0"/>
                  <c:y val="0.3284671532846728"/>
                </c:manualLayout>
              </c:layout>
              <c:showLegendKey val="0"/>
              <c:showVal val="1"/>
              <c:showCatName val="0"/>
              <c:showSerName val="0"/>
              <c:showPercent val="0"/>
              <c:showBubbleSize val="0"/>
            </c:dLbl>
            <c:dLbl>
              <c:idx val="3"/>
              <c:layout>
                <c:manualLayout>
                  <c:x val="0"/>
                  <c:y val="0.29197080291970923"/>
                </c:manualLayout>
              </c:layout>
              <c:showLegendKey val="0"/>
              <c:showVal val="1"/>
              <c:showCatName val="0"/>
              <c:showSerName val="0"/>
              <c:showPercent val="0"/>
              <c:showBubbleSize val="0"/>
            </c:dLbl>
            <c:dLbl>
              <c:idx val="4"/>
              <c:layout>
                <c:manualLayout>
                  <c:x val="0"/>
                  <c:y val="0.34671532846715325"/>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'Халык банк'!$B$46:$F$46</c:f>
              <c:strCache>
                <c:ptCount val="5"/>
                <c:pt idx="0">
                  <c:v>2016 г.</c:v>
                </c:pt>
                <c:pt idx="1">
                  <c:v>2017 г.</c:v>
                </c:pt>
                <c:pt idx="2">
                  <c:v>2018 г.</c:v>
                </c:pt>
                <c:pt idx="3">
                  <c:v>2019 г.</c:v>
                </c:pt>
                <c:pt idx="4">
                  <c:v>2020 г.</c:v>
                </c:pt>
              </c:strCache>
            </c:strRef>
          </c:cat>
          <c:val>
            <c:numRef>
              <c:f>'Халык банк'!$B$50:$F$50</c:f>
              <c:numCache>
                <c:formatCode>General</c:formatCode>
                <c:ptCount val="5"/>
                <c:pt idx="0">
                  <c:v>837.625</c:v>
                </c:pt>
                <c:pt idx="1">
                  <c:v>1321.53</c:v>
                </c:pt>
                <c:pt idx="2">
                  <c:v>1756.748</c:v>
                </c:pt>
                <c:pt idx="3">
                  <c:v>1713.2670000000001</c:v>
                </c:pt>
                <c:pt idx="4">
                  <c:v>1932.096</c:v>
                </c:pt>
              </c:numCache>
            </c:numRef>
          </c:val>
        </c:ser>
        <c:dLbls>
          <c:showLegendKey val="0"/>
          <c:showVal val="0"/>
          <c:showCatName val="0"/>
          <c:showSerName val="0"/>
          <c:showPercent val="0"/>
          <c:showBubbleSize val="0"/>
        </c:dLbls>
        <c:gapWidth val="150"/>
        <c:axId val="222778880"/>
        <c:axId val="222780416"/>
      </c:barChart>
      <c:lineChart>
        <c:grouping val="standard"/>
        <c:varyColors val="0"/>
        <c:ser>
          <c:idx val="4"/>
          <c:order val="4"/>
          <c:tx>
            <c:strRef>
              <c:f>'Халык банк'!$A$51</c:f>
              <c:strCache>
                <c:ptCount val="1"/>
                <c:pt idx="0">
                  <c:v>Динамика срочных вкладов, %</c:v>
                </c:pt>
              </c:strCache>
            </c:strRef>
          </c:tx>
          <c:dLbls>
            <c:dLbl>
              <c:idx val="1"/>
              <c:layout>
                <c:manualLayout>
                  <c:x val="-6.2735257214554582E-3"/>
                  <c:y val="-6.0827250608272487E-2"/>
                </c:manualLayout>
              </c:layout>
              <c:showLegendKey val="0"/>
              <c:showVal val="1"/>
              <c:showCatName val="0"/>
              <c:showSerName val="0"/>
              <c:showPercent val="0"/>
              <c:showBubbleSize val="0"/>
            </c:dLbl>
            <c:dLbl>
              <c:idx val="2"/>
              <c:layout>
                <c:manualLayout>
                  <c:x val="-3.7641154328732745E-2"/>
                  <c:y val="-4.8661800486617904E-2"/>
                </c:manualLayout>
              </c:layout>
              <c:showLegendKey val="0"/>
              <c:showVal val="1"/>
              <c:showCatName val="0"/>
              <c:showSerName val="0"/>
              <c:showPercent val="0"/>
              <c:showBubbleSize val="0"/>
            </c:dLbl>
            <c:dLbl>
              <c:idx val="3"/>
              <c:layout>
                <c:manualLayout>
                  <c:x val="-3.3458803847762446E-2"/>
                  <c:y val="-7.299270072992714E-2"/>
                </c:manualLayout>
              </c:layout>
              <c:showLegendKey val="0"/>
              <c:showVal val="1"/>
              <c:showCatName val="0"/>
              <c:showSerName val="0"/>
              <c:showPercent val="0"/>
              <c:showBubbleSize val="0"/>
            </c:dLbl>
            <c:dLbl>
              <c:idx val="4"/>
              <c:layout>
                <c:manualLayout>
                  <c:x val="-3.5549979088247606E-2"/>
                  <c:y val="-7.299270072992714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'Халык банк'!$B$46:$F$46</c:f>
              <c:strCache>
                <c:ptCount val="5"/>
                <c:pt idx="0">
                  <c:v>2016 г.</c:v>
                </c:pt>
                <c:pt idx="1">
                  <c:v>2017 г.</c:v>
                </c:pt>
                <c:pt idx="2">
                  <c:v>2018 г.</c:v>
                </c:pt>
                <c:pt idx="3">
                  <c:v>2019 г.</c:v>
                </c:pt>
                <c:pt idx="4">
                  <c:v>2020 г.</c:v>
                </c:pt>
              </c:strCache>
            </c:strRef>
          </c:cat>
          <c:val>
            <c:numRef>
              <c:f>'Халык банк'!$B$51:$F$51</c:f>
              <c:numCache>
                <c:formatCode>0.00</c:formatCode>
                <c:ptCount val="5"/>
                <c:pt idx="1">
                  <c:v>60.615640264779763</c:v>
                </c:pt>
                <c:pt idx="2">
                  <c:v>-2.3919604480091028</c:v>
                </c:pt>
                <c:pt idx="3">
                  <c:v>-2.5092355279777592</c:v>
                </c:pt>
                <c:pt idx="4">
                  <c:v>17.055189919877169</c:v>
                </c:pt>
              </c:numCache>
            </c:numRef>
          </c:val>
          <c:smooth val="0"/>
        </c:ser>
        <c:ser>
          <c:idx val="5"/>
          <c:order val="5"/>
          <c:tx>
            <c:strRef>
              <c:f>'Халык банк'!$A$52</c:f>
              <c:strCache>
                <c:ptCount val="1"/>
                <c:pt idx="0">
                  <c:v>Динамика текущих счетов, %</c:v>
                </c:pt>
              </c:strCache>
            </c:strRef>
          </c:tx>
          <c:dLbls>
            <c:dLbl>
              <c:idx val="1"/>
              <c:layout>
                <c:manualLayout>
                  <c:x val="-4.1823504809703149E-2"/>
                  <c:y val="4.8661800486617904E-2"/>
                </c:manualLayout>
              </c:layout>
              <c:showLegendKey val="0"/>
              <c:showVal val="1"/>
              <c:showCatName val="0"/>
              <c:showSerName val="0"/>
              <c:showPercent val="0"/>
              <c:showBubbleSize val="0"/>
            </c:dLbl>
            <c:dLbl>
              <c:idx val="2"/>
              <c:layout>
                <c:manualLayout>
                  <c:x val="-3.7641154328732745E-2"/>
                  <c:y val="-4.2579075425790751E-2"/>
                </c:manualLayout>
              </c:layout>
              <c:showLegendKey val="0"/>
              <c:showVal val="1"/>
              <c:showCatName val="0"/>
              <c:showSerName val="0"/>
              <c:showPercent val="0"/>
              <c:showBubbleSize val="0"/>
            </c:dLbl>
            <c:dLbl>
              <c:idx val="3"/>
              <c:layout>
                <c:manualLayout>
                  <c:x val="-4.3914680050188407E-2"/>
                  <c:y val="0"/>
                </c:manualLayout>
              </c:layout>
              <c:showLegendKey val="0"/>
              <c:showVal val="1"/>
              <c:showCatName val="0"/>
              <c:showSerName val="0"/>
              <c:showPercent val="0"/>
              <c:showBubbleSize val="0"/>
            </c:dLbl>
            <c:dLbl>
              <c:idx val="4"/>
              <c:layout>
                <c:manualLayout>
                  <c:x val="-4.1823504809703161E-3"/>
                  <c:y val="-2.4330900243309011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'Халык банк'!$B$46:$F$46</c:f>
              <c:strCache>
                <c:ptCount val="5"/>
                <c:pt idx="0">
                  <c:v>2016 г.</c:v>
                </c:pt>
                <c:pt idx="1">
                  <c:v>2017 г.</c:v>
                </c:pt>
                <c:pt idx="2">
                  <c:v>2018 г.</c:v>
                </c:pt>
                <c:pt idx="3">
                  <c:v>2019 г.</c:v>
                </c:pt>
                <c:pt idx="4">
                  <c:v>2020 г.</c:v>
                </c:pt>
              </c:strCache>
            </c:strRef>
          </c:cat>
          <c:val>
            <c:numRef>
              <c:f>'Халык банк'!$B$52:$F$52</c:f>
              <c:numCache>
                <c:formatCode>0.00</c:formatCode>
                <c:ptCount val="5"/>
                <c:pt idx="1">
                  <c:v>60.169398366984325</c:v>
                </c:pt>
                <c:pt idx="2">
                  <c:v>47.487590064669405</c:v>
                </c:pt>
                <c:pt idx="3">
                  <c:v>-13.131663093204221</c:v>
                </c:pt>
                <c:pt idx="4">
                  <c:v>0.57637665971629859</c:v>
                </c:pt>
              </c:numCache>
            </c:numRef>
          </c:val>
          <c:smooth val="0"/>
        </c:ser>
        <c:dLbls>
          <c:showLegendKey val="0"/>
          <c:showVal val="0"/>
          <c:showCatName val="0"/>
          <c:showSerName val="0"/>
          <c:showPercent val="0"/>
          <c:showBubbleSize val="0"/>
        </c:dLbls>
        <c:marker val="1"/>
        <c:smooth val="0"/>
        <c:axId val="222808320"/>
        <c:axId val="222806784"/>
      </c:lineChart>
      <c:catAx>
        <c:axId val="222778880"/>
        <c:scaling>
          <c:orientation val="minMax"/>
        </c:scaling>
        <c:delete val="0"/>
        <c:axPos val="b"/>
        <c:majorTickMark val="out"/>
        <c:minorTickMark val="none"/>
        <c:tickLblPos val="nextTo"/>
        <c:txPr>
          <a:bodyPr/>
          <a:lstStyle/>
          <a:p>
            <a:pPr>
              <a:defRPr sz="1100"/>
            </a:pPr>
            <a:endParaRPr lang="ru-RU"/>
          </a:p>
        </c:txPr>
        <c:crossAx val="222780416"/>
        <c:crosses val="autoZero"/>
        <c:auto val="1"/>
        <c:lblAlgn val="ctr"/>
        <c:lblOffset val="100"/>
        <c:noMultiLvlLbl val="0"/>
      </c:catAx>
      <c:valAx>
        <c:axId val="222780416"/>
        <c:scaling>
          <c:orientation val="minMax"/>
        </c:scaling>
        <c:delete val="0"/>
        <c:axPos val="l"/>
        <c:majorGridlines/>
        <c:numFmt formatCode="General" sourceLinked="1"/>
        <c:majorTickMark val="out"/>
        <c:minorTickMark val="none"/>
        <c:tickLblPos val="nextTo"/>
        <c:crossAx val="222778880"/>
        <c:crosses val="autoZero"/>
        <c:crossBetween val="between"/>
      </c:valAx>
      <c:valAx>
        <c:axId val="222806784"/>
        <c:scaling>
          <c:orientation val="minMax"/>
          <c:min val="-100"/>
        </c:scaling>
        <c:delete val="0"/>
        <c:axPos val="r"/>
        <c:numFmt formatCode="0.00" sourceLinked="1"/>
        <c:majorTickMark val="out"/>
        <c:minorTickMark val="none"/>
        <c:tickLblPos val="nextTo"/>
        <c:crossAx val="222808320"/>
        <c:crosses val="max"/>
        <c:crossBetween val="between"/>
      </c:valAx>
      <c:catAx>
        <c:axId val="222808320"/>
        <c:scaling>
          <c:orientation val="minMax"/>
        </c:scaling>
        <c:delete val="1"/>
        <c:axPos val="b"/>
        <c:majorTickMark val="out"/>
        <c:minorTickMark val="none"/>
        <c:tickLblPos val="none"/>
        <c:crossAx val="222806784"/>
        <c:crosses val="autoZero"/>
        <c:auto val="1"/>
        <c:lblAlgn val="ctr"/>
        <c:lblOffset val="100"/>
        <c:noMultiLvlLbl val="0"/>
      </c:catAx>
    </c:plotArea>
    <c:legend>
      <c:legendPos val="b"/>
      <c:layout>
        <c:manualLayout>
          <c:xMode val="edge"/>
          <c:yMode val="edge"/>
          <c:x val="1.0105151536108177E-3"/>
          <c:y val="0.84177395252600895"/>
          <c:w val="0.9979788050333106"/>
          <c:h val="0.1582260474739932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132648860068966E-2"/>
          <c:y val="2.6909813356663828E-2"/>
          <c:w val="0.62029842777005861"/>
          <c:h val="0.52253346205287554"/>
        </c:manualLayout>
      </c:layout>
      <c:barChart>
        <c:barDir val="col"/>
        <c:grouping val="clustered"/>
        <c:varyColors val="0"/>
        <c:ser>
          <c:idx val="0"/>
          <c:order val="0"/>
          <c:tx>
            <c:strRef>
              <c:f>'Халык банк'!$A$30</c:f>
              <c:strCache>
                <c:ptCount val="1"/>
                <c:pt idx="0">
                  <c:v>коэффициент нетто-стабильного фондирования</c:v>
                </c:pt>
              </c:strCache>
            </c:strRef>
          </c:tx>
          <c:spPr>
            <a:gradFill>
              <a:gsLst>
                <a:gs pos="0">
                  <a:srgbClr val="03D4A8"/>
                </a:gs>
                <a:gs pos="25000">
                  <a:srgbClr val="21D6E0"/>
                </a:gs>
                <a:gs pos="75000">
                  <a:srgbClr val="0087E6"/>
                </a:gs>
                <a:gs pos="100000">
                  <a:srgbClr val="005CBF"/>
                </a:gs>
              </a:gsLst>
              <a:lin ang="5400000" scaled="0"/>
            </a:gradFill>
          </c:spPr>
          <c:invertIfNegative val="0"/>
          <c:dLbls>
            <c:showLegendKey val="0"/>
            <c:showVal val="1"/>
            <c:showCatName val="0"/>
            <c:showSerName val="0"/>
            <c:showPercent val="0"/>
            <c:showBubbleSize val="0"/>
            <c:showLeaderLines val="0"/>
          </c:dLbls>
          <c:cat>
            <c:strRef>
              <c:f>'Халык банк'!$B$29:$H$29</c:f>
              <c:strCache>
                <c:ptCount val="7"/>
                <c:pt idx="0">
                  <c:v>на 01.02.2019 г.</c:v>
                </c:pt>
                <c:pt idx="1">
                  <c:v>на 01.06.2019 г.</c:v>
                </c:pt>
                <c:pt idx="2">
                  <c:v>на 01.09.2019 г.</c:v>
                </c:pt>
                <c:pt idx="3">
                  <c:v>на 01.02.2020 г.</c:v>
                </c:pt>
                <c:pt idx="4">
                  <c:v>на 01.06.2020 г.</c:v>
                </c:pt>
                <c:pt idx="5">
                  <c:v>на 01.09.2020 г.</c:v>
                </c:pt>
                <c:pt idx="6">
                  <c:v>на 01.02.2021 г.</c:v>
                </c:pt>
              </c:strCache>
            </c:strRef>
          </c:cat>
          <c:val>
            <c:numRef>
              <c:f>'Халык банк'!$B$30:$H$30</c:f>
              <c:numCache>
                <c:formatCode>General</c:formatCode>
                <c:ptCount val="7"/>
                <c:pt idx="0" formatCode="#,##0.000_ ;\-#,##0.000\ ">
                  <c:v>1.472</c:v>
                </c:pt>
                <c:pt idx="1">
                  <c:v>1.42</c:v>
                </c:pt>
                <c:pt idx="2">
                  <c:v>1.7109999999999974</c:v>
                </c:pt>
                <c:pt idx="3" formatCode="#,##0.000_ ;\-#,##0.000\ ">
                  <c:v>1.7849999999999975</c:v>
                </c:pt>
                <c:pt idx="4">
                  <c:v>1.879</c:v>
                </c:pt>
                <c:pt idx="5">
                  <c:v>1.756</c:v>
                </c:pt>
                <c:pt idx="6" formatCode="#,##0.000_ ;\-#,##0.000\ ">
                  <c:v>1.7769999999999975</c:v>
                </c:pt>
              </c:numCache>
            </c:numRef>
          </c:val>
        </c:ser>
        <c:dLbls>
          <c:showLegendKey val="0"/>
          <c:showVal val="0"/>
          <c:showCatName val="0"/>
          <c:showSerName val="0"/>
          <c:showPercent val="0"/>
          <c:showBubbleSize val="0"/>
        </c:dLbls>
        <c:gapWidth val="150"/>
        <c:axId val="222835456"/>
        <c:axId val="222836992"/>
      </c:barChart>
      <c:lineChart>
        <c:grouping val="standard"/>
        <c:varyColors val="0"/>
        <c:ser>
          <c:idx val="1"/>
          <c:order val="1"/>
          <c:tx>
            <c:strRef>
              <c:f>'Халык банк'!$A$31</c:f>
              <c:strCache>
                <c:ptCount val="1"/>
                <c:pt idx="0">
                  <c:v>изменение коэффициента</c:v>
                </c:pt>
              </c:strCache>
            </c:strRef>
          </c:tx>
          <c:dLbls>
            <c:dLbl>
              <c:idx val="1"/>
              <c:layout>
                <c:manualLayout>
                  <c:x val="-3.0637254901960811E-2"/>
                  <c:y val="4.6296296296296412E-2"/>
                </c:manualLayout>
              </c:layout>
              <c:showLegendKey val="0"/>
              <c:showVal val="1"/>
              <c:showCatName val="0"/>
              <c:showSerName val="0"/>
              <c:showPercent val="0"/>
              <c:showBubbleSize val="0"/>
            </c:dLbl>
            <c:dLbl>
              <c:idx val="2"/>
              <c:layout>
                <c:manualLayout>
                  <c:x val="-4.2892156862745272E-2"/>
                  <c:y val="7.407407407407407E-2"/>
                </c:manualLayout>
              </c:layout>
              <c:showLegendKey val="0"/>
              <c:showVal val="1"/>
              <c:showCatName val="0"/>
              <c:showSerName val="0"/>
              <c:showPercent val="0"/>
              <c:showBubbleSize val="0"/>
            </c:dLbl>
            <c:dLbl>
              <c:idx val="3"/>
              <c:layout>
                <c:manualLayout>
                  <c:x val="-2.6552287581699419E-2"/>
                  <c:y val="4.6296296296296412E-2"/>
                </c:manualLayout>
              </c:layout>
              <c:showLegendKey val="0"/>
              <c:showVal val="1"/>
              <c:showCatName val="0"/>
              <c:showSerName val="0"/>
              <c:showPercent val="0"/>
              <c:showBubbleSize val="0"/>
            </c:dLbl>
            <c:dLbl>
              <c:idx val="6"/>
              <c:layout>
                <c:manualLayout>
                  <c:x val="-1.2254901960784314E-2"/>
                  <c:y val="-5.0925925925925923E-2"/>
                </c:manualLayout>
              </c:layout>
              <c:showLegendKey val="0"/>
              <c:showVal val="1"/>
              <c:showCatName val="0"/>
              <c:showSerName val="0"/>
              <c:showPercent val="0"/>
              <c:showBubbleSize val="0"/>
            </c:dLbl>
            <c:txPr>
              <a:bodyPr/>
              <a:lstStyle/>
              <a:p>
                <a:pPr>
                  <a:defRPr i="1"/>
                </a:pPr>
                <a:endParaRPr lang="ru-RU"/>
              </a:p>
            </c:txPr>
            <c:showLegendKey val="0"/>
            <c:showVal val="1"/>
            <c:showCatName val="0"/>
            <c:showSerName val="0"/>
            <c:showPercent val="0"/>
            <c:showBubbleSize val="0"/>
            <c:showLeaderLines val="0"/>
          </c:dLbls>
          <c:cat>
            <c:strRef>
              <c:f>'Халык банк'!$B$29:$H$29</c:f>
              <c:strCache>
                <c:ptCount val="7"/>
                <c:pt idx="0">
                  <c:v>на 01.02.2019 г.</c:v>
                </c:pt>
                <c:pt idx="1">
                  <c:v>на 01.06.2019 г.</c:v>
                </c:pt>
                <c:pt idx="2">
                  <c:v>на 01.09.2019 г.</c:v>
                </c:pt>
                <c:pt idx="3">
                  <c:v>на 01.02.2020 г.</c:v>
                </c:pt>
                <c:pt idx="4">
                  <c:v>на 01.06.2020 г.</c:v>
                </c:pt>
                <c:pt idx="5">
                  <c:v>на 01.09.2020 г.</c:v>
                </c:pt>
                <c:pt idx="6">
                  <c:v>на 01.02.2021 г.</c:v>
                </c:pt>
              </c:strCache>
            </c:strRef>
          </c:cat>
          <c:val>
            <c:numRef>
              <c:f>'Халык банк'!$B$31:$H$31</c:f>
              <c:numCache>
                <c:formatCode>#,##0.000_ ;\-#,##0.000\ </c:formatCode>
                <c:ptCount val="7"/>
                <c:pt idx="1">
                  <c:v>-5.2000000000000123E-2</c:v>
                </c:pt>
                <c:pt idx="2">
                  <c:v>0.29100000000000031</c:v>
                </c:pt>
                <c:pt idx="3">
                  <c:v>7.3999999999999899E-2</c:v>
                </c:pt>
                <c:pt idx="4">
                  <c:v>9.4000000000000097E-2</c:v>
                </c:pt>
                <c:pt idx="5">
                  <c:v>-0.12300000000000012</c:v>
                </c:pt>
                <c:pt idx="6">
                  <c:v>2.0999999999999911E-2</c:v>
                </c:pt>
              </c:numCache>
            </c:numRef>
          </c:val>
          <c:smooth val="0"/>
        </c:ser>
        <c:dLbls>
          <c:showLegendKey val="0"/>
          <c:showVal val="0"/>
          <c:showCatName val="0"/>
          <c:showSerName val="0"/>
          <c:showPercent val="0"/>
          <c:showBubbleSize val="0"/>
        </c:dLbls>
        <c:marker val="1"/>
        <c:smooth val="0"/>
        <c:axId val="222848512"/>
        <c:axId val="222846976"/>
      </c:lineChart>
      <c:catAx>
        <c:axId val="222835456"/>
        <c:scaling>
          <c:orientation val="minMax"/>
        </c:scaling>
        <c:delete val="0"/>
        <c:axPos val="b"/>
        <c:majorTickMark val="out"/>
        <c:minorTickMark val="none"/>
        <c:tickLblPos val="nextTo"/>
        <c:txPr>
          <a:bodyPr/>
          <a:lstStyle/>
          <a:p>
            <a:pPr>
              <a:defRPr sz="1000"/>
            </a:pPr>
            <a:endParaRPr lang="ru-RU"/>
          </a:p>
        </c:txPr>
        <c:crossAx val="222836992"/>
        <c:crosses val="autoZero"/>
        <c:auto val="1"/>
        <c:lblAlgn val="ctr"/>
        <c:lblOffset val="100"/>
        <c:noMultiLvlLbl val="0"/>
      </c:catAx>
      <c:valAx>
        <c:axId val="222836992"/>
        <c:scaling>
          <c:orientation val="minMax"/>
        </c:scaling>
        <c:delete val="0"/>
        <c:axPos val="l"/>
        <c:majorGridlines/>
        <c:numFmt formatCode="#,##0.000_ ;\-#,##0.000\ " sourceLinked="1"/>
        <c:majorTickMark val="out"/>
        <c:minorTickMark val="none"/>
        <c:tickLblPos val="nextTo"/>
        <c:crossAx val="222835456"/>
        <c:crosses val="autoZero"/>
        <c:crossBetween val="between"/>
      </c:valAx>
      <c:valAx>
        <c:axId val="222846976"/>
        <c:scaling>
          <c:orientation val="minMax"/>
        </c:scaling>
        <c:delete val="0"/>
        <c:axPos val="r"/>
        <c:numFmt formatCode="#,##0.000_ ;\-#,##0.000\ " sourceLinked="1"/>
        <c:majorTickMark val="out"/>
        <c:minorTickMark val="none"/>
        <c:tickLblPos val="nextTo"/>
        <c:crossAx val="222848512"/>
        <c:crosses val="max"/>
        <c:crossBetween val="between"/>
      </c:valAx>
      <c:catAx>
        <c:axId val="222848512"/>
        <c:scaling>
          <c:orientation val="minMax"/>
        </c:scaling>
        <c:delete val="1"/>
        <c:axPos val="b"/>
        <c:majorTickMark val="out"/>
        <c:minorTickMark val="none"/>
        <c:tickLblPos val="none"/>
        <c:crossAx val="222846976"/>
        <c:crosses val="autoZero"/>
        <c:auto val="1"/>
        <c:lblAlgn val="ctr"/>
        <c:lblOffset val="100"/>
        <c:noMultiLvlLbl val="0"/>
      </c:catAx>
    </c:plotArea>
    <c:legend>
      <c:legendPos val="r"/>
      <c:layout>
        <c:manualLayout>
          <c:xMode val="edge"/>
          <c:yMode val="edge"/>
          <c:x val="0.80907875945653862"/>
          <c:y val="2.9088863892013539E-2"/>
          <c:w val="0.19092124054346196"/>
          <c:h val="0.7772344528362527"/>
        </c:manualLayout>
      </c:layout>
      <c:overlay val="0"/>
      <c:txPr>
        <a:bodyPr/>
        <a:lstStyle/>
        <a:p>
          <a:pPr>
            <a:defRPr sz="1000"/>
          </a:pPr>
          <a:endParaRPr lang="ru-RU"/>
        </a:p>
      </c:txPr>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6129816595011506E-2"/>
          <c:y val="2.7777777777777891E-2"/>
          <c:w val="0.93387018340498862"/>
          <c:h val="0.65149441170847244"/>
        </c:manualLayout>
      </c:layout>
      <c:bar3DChart>
        <c:barDir val="col"/>
        <c:grouping val="clustered"/>
        <c:varyColors val="0"/>
        <c:ser>
          <c:idx val="0"/>
          <c:order val="0"/>
          <c:tx>
            <c:strRef>
              <c:f>АТФ!$A$11</c:f>
              <c:strCache>
                <c:ptCount val="1"/>
                <c:pt idx="0">
                  <c:v>Срочные вклады:</c:v>
                </c:pt>
              </c:strCache>
            </c:strRef>
          </c:tx>
          <c:spPr>
            <a:solidFill>
              <a:srgbClr val="92D050"/>
            </a:solidFill>
          </c:spPr>
          <c:invertIfNegative val="0"/>
          <c:dLbls>
            <c:dLbl>
              <c:idx val="0"/>
              <c:layout>
                <c:manualLayout>
                  <c:x val="0"/>
                  <c:y val="0.10185185185185186"/>
                </c:manualLayout>
              </c:layout>
              <c:showLegendKey val="0"/>
              <c:showVal val="1"/>
              <c:showCatName val="0"/>
              <c:showSerName val="0"/>
              <c:showPercent val="0"/>
              <c:showBubbleSize val="0"/>
            </c:dLbl>
            <c:dLbl>
              <c:idx val="1"/>
              <c:layout>
                <c:manualLayout>
                  <c:x val="0"/>
                  <c:y val="0.15277777777777779"/>
                </c:manualLayout>
              </c:layout>
              <c:showLegendKey val="0"/>
              <c:showVal val="1"/>
              <c:showCatName val="0"/>
              <c:showSerName val="0"/>
              <c:showPercent val="0"/>
              <c:showBubbleSize val="0"/>
            </c:dLbl>
            <c:dLbl>
              <c:idx val="2"/>
              <c:layout>
                <c:manualLayout>
                  <c:x val="2.0449897750511323E-3"/>
                  <c:y val="8.3333333333333343E-2"/>
                </c:manualLayout>
              </c:layout>
              <c:showLegendKey val="0"/>
              <c:showVal val="1"/>
              <c:showCatName val="0"/>
              <c:showSerName val="0"/>
              <c:showPercent val="0"/>
              <c:showBubbleSize val="0"/>
            </c:dLbl>
            <c:dLbl>
              <c:idx val="3"/>
              <c:layout>
                <c:manualLayout>
                  <c:x val="4.0899795501022499E-3"/>
                  <c:y val="9.2592592592592962E-2"/>
                </c:manualLayout>
              </c:layout>
              <c:showLegendKey val="0"/>
              <c:showVal val="1"/>
              <c:showCatName val="0"/>
              <c:showSerName val="0"/>
              <c:showPercent val="0"/>
              <c:showBubbleSize val="0"/>
            </c:dLbl>
            <c:dLbl>
              <c:idx val="4"/>
              <c:layout>
                <c:manualLayout>
                  <c:x val="2.0449897750511323E-3"/>
                  <c:y val="0.10648148148148172"/>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АТФ!$B$10:$F$10</c:f>
              <c:strCache>
                <c:ptCount val="5"/>
                <c:pt idx="0">
                  <c:v>2016 г.</c:v>
                </c:pt>
                <c:pt idx="1">
                  <c:v>2017 г.</c:v>
                </c:pt>
                <c:pt idx="2">
                  <c:v>2018 г.</c:v>
                </c:pt>
                <c:pt idx="3">
                  <c:v>2019 г.</c:v>
                </c:pt>
                <c:pt idx="4">
                  <c:v>2020 г.(окт)</c:v>
                </c:pt>
              </c:strCache>
            </c:strRef>
          </c:cat>
          <c:val>
            <c:numRef>
              <c:f>АТФ!$B$11:$F$11</c:f>
              <c:numCache>
                <c:formatCode>General</c:formatCode>
                <c:ptCount val="5"/>
                <c:pt idx="0">
                  <c:v>676.149</c:v>
                </c:pt>
                <c:pt idx="1">
                  <c:v>605.16199999999947</c:v>
                </c:pt>
                <c:pt idx="2">
                  <c:v>698.45099999999888</c:v>
                </c:pt>
                <c:pt idx="3">
                  <c:v>688.20600000000002</c:v>
                </c:pt>
                <c:pt idx="4">
                  <c:v>667.53599999999949</c:v>
                </c:pt>
              </c:numCache>
            </c:numRef>
          </c:val>
        </c:ser>
        <c:ser>
          <c:idx val="1"/>
          <c:order val="1"/>
          <c:tx>
            <c:strRef>
              <c:f>АТФ!$A$12</c:f>
              <c:strCache>
                <c:ptCount val="1"/>
                <c:pt idx="0">
                  <c:v>Текущие счета:</c:v>
                </c:pt>
              </c:strCache>
            </c:strRef>
          </c:tx>
          <c:spPr>
            <a:solidFill>
              <a:srgbClr val="FFC000"/>
            </a:solidFill>
          </c:spPr>
          <c:invertIfNegative val="0"/>
          <c:dLbls>
            <c:dLbl>
              <c:idx val="0"/>
              <c:layout>
                <c:manualLayout>
                  <c:x val="0"/>
                  <c:y val="0.20833333333333368"/>
                </c:manualLayout>
              </c:layout>
              <c:showLegendKey val="0"/>
              <c:showVal val="1"/>
              <c:showCatName val="0"/>
              <c:showSerName val="0"/>
              <c:showPercent val="0"/>
              <c:showBubbleSize val="0"/>
            </c:dLbl>
            <c:dLbl>
              <c:idx val="1"/>
              <c:layout>
                <c:manualLayout>
                  <c:x val="3.7491046109507117E-17"/>
                  <c:y val="0.17129629629629692"/>
                </c:manualLayout>
              </c:layout>
              <c:showLegendKey val="0"/>
              <c:showVal val="1"/>
              <c:showCatName val="0"/>
              <c:showSerName val="0"/>
              <c:showPercent val="0"/>
              <c:showBubbleSize val="0"/>
            </c:dLbl>
            <c:dLbl>
              <c:idx val="2"/>
              <c:layout>
                <c:manualLayout>
                  <c:x val="4.0899795501022499E-3"/>
                  <c:y val="0.15740740740740822"/>
                </c:manualLayout>
              </c:layout>
              <c:showLegendKey val="0"/>
              <c:showVal val="1"/>
              <c:showCatName val="0"/>
              <c:showSerName val="0"/>
              <c:showPercent val="0"/>
              <c:showBubbleSize val="0"/>
            </c:dLbl>
            <c:dLbl>
              <c:idx val="3"/>
              <c:layout>
                <c:manualLayout>
                  <c:x val="2.0449897750511323E-3"/>
                  <c:y val="0.19444444444444497"/>
                </c:manualLayout>
              </c:layout>
              <c:showLegendKey val="0"/>
              <c:showVal val="1"/>
              <c:showCatName val="0"/>
              <c:showSerName val="0"/>
              <c:showPercent val="0"/>
              <c:showBubbleSize val="0"/>
            </c:dLbl>
            <c:dLbl>
              <c:idx val="4"/>
              <c:layout>
                <c:manualLayout>
                  <c:x val="2.0449897750511323E-3"/>
                  <c:y val="0.20833333333333359"/>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АТФ!$B$10:$F$10</c:f>
              <c:strCache>
                <c:ptCount val="5"/>
                <c:pt idx="0">
                  <c:v>2016 г.</c:v>
                </c:pt>
                <c:pt idx="1">
                  <c:v>2017 г.</c:v>
                </c:pt>
                <c:pt idx="2">
                  <c:v>2018 г.</c:v>
                </c:pt>
                <c:pt idx="3">
                  <c:v>2019 г.</c:v>
                </c:pt>
                <c:pt idx="4">
                  <c:v>2020 г.(окт)</c:v>
                </c:pt>
              </c:strCache>
            </c:strRef>
          </c:cat>
          <c:val>
            <c:numRef>
              <c:f>АТФ!$B$12:$F$12</c:f>
              <c:numCache>
                <c:formatCode>General</c:formatCode>
                <c:ptCount val="5"/>
                <c:pt idx="0">
                  <c:v>467.68</c:v>
                </c:pt>
                <c:pt idx="1">
                  <c:v>353.4929999999992</c:v>
                </c:pt>
                <c:pt idx="2">
                  <c:v>371.33699999999919</c:v>
                </c:pt>
                <c:pt idx="3">
                  <c:v>360.39299999999969</c:v>
                </c:pt>
                <c:pt idx="4">
                  <c:v>350.94900000000001</c:v>
                </c:pt>
              </c:numCache>
            </c:numRef>
          </c:val>
        </c:ser>
        <c:ser>
          <c:idx val="2"/>
          <c:order val="2"/>
          <c:tx>
            <c:strRef>
              <c:f>АТФ!$A$13</c:f>
              <c:strCache>
                <c:ptCount val="1"/>
                <c:pt idx="0">
                  <c:v>Займы </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АТФ!$B$10:$F$10</c:f>
              <c:strCache>
                <c:ptCount val="5"/>
                <c:pt idx="0">
                  <c:v>2016 г.</c:v>
                </c:pt>
                <c:pt idx="1">
                  <c:v>2017 г.</c:v>
                </c:pt>
                <c:pt idx="2">
                  <c:v>2018 г.</c:v>
                </c:pt>
                <c:pt idx="3">
                  <c:v>2019 г.</c:v>
                </c:pt>
                <c:pt idx="4">
                  <c:v>2020 г.(окт)</c:v>
                </c:pt>
              </c:strCache>
            </c:strRef>
          </c:cat>
          <c:val>
            <c:numRef>
              <c:f>АТФ!$B$13:$F$13</c:f>
              <c:numCache>
                <c:formatCode>General</c:formatCode>
                <c:ptCount val="5"/>
                <c:pt idx="0">
                  <c:v>49.957000000000001</c:v>
                </c:pt>
                <c:pt idx="1">
                  <c:v>55.324000000000005</c:v>
                </c:pt>
                <c:pt idx="2">
                  <c:v>72.85199999999999</c:v>
                </c:pt>
                <c:pt idx="3">
                  <c:v>88.277999999999992</c:v>
                </c:pt>
                <c:pt idx="4">
                  <c:v>93.715000000000003</c:v>
                </c:pt>
              </c:numCache>
            </c:numRef>
          </c:val>
        </c:ser>
        <c:ser>
          <c:idx val="3"/>
          <c:order val="3"/>
          <c:tx>
            <c:strRef>
              <c:f>АТФ!$A$14</c:f>
              <c:strCache>
                <c:ptCount val="1"/>
                <c:pt idx="0">
                  <c:v>Выпущенные долговые ценные бумаги</c:v>
                </c:pt>
              </c:strCache>
            </c:strRef>
          </c:tx>
          <c:spPr>
            <a:solidFill>
              <a:schemeClr val="accent4">
                <a:lumMod val="60000"/>
                <a:lumOff val="40000"/>
              </a:schemeClr>
            </a:solidFill>
          </c:spPr>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АТФ!$B$10:$F$10</c:f>
              <c:strCache>
                <c:ptCount val="5"/>
                <c:pt idx="0">
                  <c:v>2016 г.</c:v>
                </c:pt>
                <c:pt idx="1">
                  <c:v>2017 г.</c:v>
                </c:pt>
                <c:pt idx="2">
                  <c:v>2018 г.</c:v>
                </c:pt>
                <c:pt idx="3">
                  <c:v>2019 г.</c:v>
                </c:pt>
                <c:pt idx="4">
                  <c:v>2020 г.(окт)</c:v>
                </c:pt>
              </c:strCache>
            </c:strRef>
          </c:cat>
          <c:val>
            <c:numRef>
              <c:f>АТФ!$B$14:$F$14</c:f>
              <c:numCache>
                <c:formatCode>General</c:formatCode>
                <c:ptCount val="5"/>
                <c:pt idx="0">
                  <c:v>151.77199999999999</c:v>
                </c:pt>
                <c:pt idx="1">
                  <c:v>182.27199999999999</c:v>
                </c:pt>
                <c:pt idx="2">
                  <c:v>189.41499999999999</c:v>
                </c:pt>
                <c:pt idx="3">
                  <c:v>257.03299999999945</c:v>
                </c:pt>
                <c:pt idx="4">
                  <c:v>257</c:v>
                </c:pt>
              </c:numCache>
            </c:numRef>
          </c:val>
        </c:ser>
        <c:ser>
          <c:idx val="4"/>
          <c:order val="4"/>
          <c:tx>
            <c:strRef>
              <c:f>АТФ!$A$15</c:f>
              <c:strCache>
                <c:ptCount val="1"/>
                <c:pt idx="0">
                  <c:v>Уставный капитал</c:v>
                </c:pt>
              </c:strCache>
            </c:strRef>
          </c:tx>
          <c:invertIfNegative val="0"/>
          <c:dLbls>
            <c:dLbl>
              <c:idx val="0"/>
              <c:layout>
                <c:manualLayout>
                  <c:x val="4.0899795501022499E-3"/>
                  <c:y val="0.10185185185185186"/>
                </c:manualLayout>
              </c:layout>
              <c:showLegendKey val="0"/>
              <c:showVal val="1"/>
              <c:showCatName val="0"/>
              <c:showSerName val="0"/>
              <c:showPercent val="0"/>
              <c:showBubbleSize val="0"/>
            </c:dLbl>
            <c:dLbl>
              <c:idx val="1"/>
              <c:layout>
                <c:manualLayout>
                  <c:x val="4.0899795501022499E-3"/>
                  <c:y val="0.11574074074074094"/>
                </c:manualLayout>
              </c:layout>
              <c:showLegendKey val="0"/>
              <c:showVal val="1"/>
              <c:showCatName val="0"/>
              <c:showSerName val="0"/>
              <c:showPercent val="0"/>
              <c:showBubbleSize val="0"/>
            </c:dLbl>
            <c:dLbl>
              <c:idx val="2"/>
              <c:layout>
                <c:manualLayout>
                  <c:x val="6.1349693251533883E-3"/>
                  <c:y val="0.1111111111111111"/>
                </c:manualLayout>
              </c:layout>
              <c:showLegendKey val="0"/>
              <c:showVal val="1"/>
              <c:showCatName val="0"/>
              <c:showSerName val="0"/>
              <c:showPercent val="0"/>
              <c:showBubbleSize val="0"/>
            </c:dLbl>
            <c:dLbl>
              <c:idx val="3"/>
              <c:layout>
                <c:manualLayout>
                  <c:x val="6.1349693251533883E-3"/>
                  <c:y val="0.1388888888888889"/>
                </c:manualLayout>
              </c:layout>
              <c:showLegendKey val="0"/>
              <c:showVal val="1"/>
              <c:showCatName val="0"/>
              <c:showSerName val="0"/>
              <c:showPercent val="0"/>
              <c:showBubbleSize val="0"/>
            </c:dLbl>
            <c:dLbl>
              <c:idx val="4"/>
              <c:layout>
                <c:manualLayout>
                  <c:x val="4.0899795501022499E-3"/>
                  <c:y val="0.12962962962962915"/>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АТФ!$B$10:$F$10</c:f>
              <c:strCache>
                <c:ptCount val="5"/>
                <c:pt idx="0">
                  <c:v>2016 г.</c:v>
                </c:pt>
                <c:pt idx="1">
                  <c:v>2017 г.</c:v>
                </c:pt>
                <c:pt idx="2">
                  <c:v>2018 г.</c:v>
                </c:pt>
                <c:pt idx="3">
                  <c:v>2019 г.</c:v>
                </c:pt>
                <c:pt idx="4">
                  <c:v>2020 г.(окт)</c:v>
                </c:pt>
              </c:strCache>
            </c:strRef>
          </c:cat>
          <c:val>
            <c:numRef>
              <c:f>АТФ!$B$15:$F$15</c:f>
              <c:numCache>
                <c:formatCode>General</c:formatCode>
                <c:ptCount val="5"/>
                <c:pt idx="0">
                  <c:v>167.87800000000001</c:v>
                </c:pt>
                <c:pt idx="1">
                  <c:v>167.87800000000001</c:v>
                </c:pt>
                <c:pt idx="2">
                  <c:v>167.87800000000001</c:v>
                </c:pt>
                <c:pt idx="3">
                  <c:v>167.87800000000001</c:v>
                </c:pt>
                <c:pt idx="4">
                  <c:v>167.87800000000001</c:v>
                </c:pt>
              </c:numCache>
            </c:numRef>
          </c:val>
        </c:ser>
        <c:ser>
          <c:idx val="5"/>
          <c:order val="5"/>
          <c:tx>
            <c:strRef>
              <c:f>АТФ!$A$16</c:f>
              <c:strCache>
                <c:ptCount val="1"/>
                <c:pt idx="0">
                  <c:v>Нераспределенная прибыль</c:v>
                </c:pt>
              </c:strCache>
            </c:strRef>
          </c:tx>
          <c:invertIfNegative val="0"/>
          <c:dLbls>
            <c:dLbl>
              <c:idx val="0"/>
              <c:layout>
                <c:manualLayout>
                  <c:x val="4.0899795501022499E-3"/>
                  <c:y val="9.9337748344371063E-2"/>
                </c:manualLayout>
              </c:layout>
              <c:showLegendKey val="0"/>
              <c:showVal val="1"/>
              <c:showCatName val="0"/>
              <c:showSerName val="0"/>
              <c:showPercent val="0"/>
              <c:showBubbleSize val="0"/>
            </c:dLbl>
            <c:dLbl>
              <c:idx val="1"/>
              <c:layout>
                <c:manualLayout>
                  <c:x val="2.0449897750511323E-3"/>
                  <c:y val="7.7262693156733148E-2"/>
                </c:manualLayout>
              </c:layout>
              <c:showLegendKey val="0"/>
              <c:showVal val="1"/>
              <c:showCatName val="0"/>
              <c:showSerName val="0"/>
              <c:showPercent val="0"/>
              <c:showBubbleSize val="0"/>
            </c:dLbl>
            <c:dLbl>
              <c:idx val="2"/>
              <c:layout>
                <c:manualLayout>
                  <c:x val="-7.4982092219014259E-17"/>
                  <c:y val="6.0706401766004434E-2"/>
                </c:manualLayout>
              </c:layout>
              <c:showLegendKey val="0"/>
              <c:showVal val="1"/>
              <c:showCatName val="0"/>
              <c:showSerName val="0"/>
              <c:showPercent val="0"/>
              <c:showBubbleSize val="0"/>
            </c:dLbl>
            <c:dLbl>
              <c:idx val="3"/>
              <c:layout>
                <c:manualLayout>
                  <c:x val="2.0449897750511323E-3"/>
                  <c:y val="6.622516556291376E-2"/>
                </c:manualLayout>
              </c:layout>
              <c:showLegendKey val="0"/>
              <c:showVal val="1"/>
              <c:showCatName val="0"/>
              <c:showSerName val="0"/>
              <c:showPercent val="0"/>
              <c:showBubbleSize val="0"/>
            </c:dLbl>
            <c:dLbl>
              <c:idx val="4"/>
              <c:layout>
                <c:manualLayout>
                  <c:x val="1.2269938650306744E-2"/>
                  <c:y val="5.5187637969094934E-2"/>
                </c:manualLayout>
              </c:layout>
              <c:showLegendKey val="0"/>
              <c:showVal val="1"/>
              <c:showCatName val="0"/>
              <c:showSerName val="0"/>
              <c:showPercent val="0"/>
              <c:showBubbleSize val="0"/>
            </c:dLbl>
            <c:txPr>
              <a:bodyPr rot="-5400000" vert="horz"/>
              <a:lstStyle/>
              <a:p>
                <a:pPr>
                  <a:defRPr i="1"/>
                </a:pPr>
                <a:endParaRPr lang="ru-RU"/>
              </a:p>
            </c:txPr>
            <c:showLegendKey val="0"/>
            <c:showVal val="1"/>
            <c:showCatName val="0"/>
            <c:showSerName val="0"/>
            <c:showPercent val="0"/>
            <c:showBubbleSize val="0"/>
            <c:showLeaderLines val="0"/>
          </c:dLbls>
          <c:cat>
            <c:strRef>
              <c:f>АТФ!$B$10:$F$10</c:f>
              <c:strCache>
                <c:ptCount val="5"/>
                <c:pt idx="0">
                  <c:v>2016 г.</c:v>
                </c:pt>
                <c:pt idx="1">
                  <c:v>2017 г.</c:v>
                </c:pt>
                <c:pt idx="2">
                  <c:v>2018 г.</c:v>
                </c:pt>
                <c:pt idx="3">
                  <c:v>2019 г.</c:v>
                </c:pt>
                <c:pt idx="4">
                  <c:v>2020 г.(окт)</c:v>
                </c:pt>
              </c:strCache>
            </c:strRef>
          </c:cat>
          <c:val>
            <c:numRef>
              <c:f>АТФ!$B$16:$F$16</c:f>
              <c:numCache>
                <c:formatCode>General</c:formatCode>
                <c:ptCount val="5"/>
                <c:pt idx="0">
                  <c:v>-95.043000000000006</c:v>
                </c:pt>
                <c:pt idx="1">
                  <c:v>-77.848000000000013</c:v>
                </c:pt>
                <c:pt idx="2">
                  <c:v>-66.257999999999996</c:v>
                </c:pt>
                <c:pt idx="3">
                  <c:v>-65.464000000000027</c:v>
                </c:pt>
                <c:pt idx="4">
                  <c:v>-64.316000000000003</c:v>
                </c:pt>
              </c:numCache>
            </c:numRef>
          </c:val>
        </c:ser>
        <c:ser>
          <c:idx val="6"/>
          <c:order val="6"/>
          <c:tx>
            <c:strRef>
              <c:f>АТФ!$A$17</c:f>
              <c:strCache>
                <c:ptCount val="1"/>
                <c:pt idx="0">
                  <c:v>Прочие привлеченные средства</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АТФ!$B$10:$F$10</c:f>
              <c:strCache>
                <c:ptCount val="5"/>
                <c:pt idx="0">
                  <c:v>2016 г.</c:v>
                </c:pt>
                <c:pt idx="1">
                  <c:v>2017 г.</c:v>
                </c:pt>
                <c:pt idx="2">
                  <c:v>2018 г.</c:v>
                </c:pt>
                <c:pt idx="3">
                  <c:v>2019 г.</c:v>
                </c:pt>
                <c:pt idx="4">
                  <c:v>2020 г.(окт)</c:v>
                </c:pt>
              </c:strCache>
            </c:strRef>
          </c:cat>
          <c:val>
            <c:numRef>
              <c:f>АТФ!$B$17:$F$17</c:f>
              <c:numCache>
                <c:formatCode>General</c:formatCode>
                <c:ptCount val="5"/>
                <c:pt idx="0">
                  <c:v>0</c:v>
                </c:pt>
                <c:pt idx="1">
                  <c:v>30.568999999999964</c:v>
                </c:pt>
                <c:pt idx="2">
                  <c:v>129.077</c:v>
                </c:pt>
                <c:pt idx="3">
                  <c:v>209.30700000000004</c:v>
                </c:pt>
                <c:pt idx="4">
                  <c:v>263.00200000000001</c:v>
                </c:pt>
              </c:numCache>
            </c:numRef>
          </c:val>
        </c:ser>
        <c:dLbls>
          <c:showLegendKey val="0"/>
          <c:showVal val="0"/>
          <c:showCatName val="0"/>
          <c:showSerName val="0"/>
          <c:showPercent val="0"/>
          <c:showBubbleSize val="0"/>
        </c:dLbls>
        <c:gapWidth val="150"/>
        <c:shape val="box"/>
        <c:axId val="222991488"/>
        <c:axId val="222993024"/>
        <c:axId val="0"/>
      </c:bar3DChart>
      <c:catAx>
        <c:axId val="222991488"/>
        <c:scaling>
          <c:orientation val="minMax"/>
        </c:scaling>
        <c:delete val="0"/>
        <c:axPos val="b"/>
        <c:majorTickMark val="out"/>
        <c:minorTickMark val="none"/>
        <c:tickLblPos val="nextTo"/>
        <c:crossAx val="222993024"/>
        <c:crosses val="autoZero"/>
        <c:auto val="1"/>
        <c:lblAlgn val="ctr"/>
        <c:lblOffset val="100"/>
        <c:noMultiLvlLbl val="0"/>
      </c:catAx>
      <c:valAx>
        <c:axId val="222993024"/>
        <c:scaling>
          <c:orientation val="minMax"/>
        </c:scaling>
        <c:delete val="0"/>
        <c:axPos val="l"/>
        <c:majorGridlines/>
        <c:numFmt formatCode="General" sourceLinked="1"/>
        <c:majorTickMark val="out"/>
        <c:minorTickMark val="none"/>
        <c:tickLblPos val="nextTo"/>
        <c:crossAx val="222991488"/>
        <c:crosses val="autoZero"/>
        <c:crossBetween val="between"/>
      </c:valAx>
    </c:plotArea>
    <c:legend>
      <c:legendPos val="b"/>
      <c:layout>
        <c:manualLayout>
          <c:xMode val="edge"/>
          <c:yMode val="edge"/>
          <c:x val="0"/>
          <c:y val="0.7807560513269175"/>
          <c:w val="0.99888540006118864"/>
          <c:h val="0.2192439486730828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737633632227377E-2"/>
          <c:y val="2.6909813356663828E-2"/>
          <c:w val="0.93500131721453195"/>
          <c:h val="0.53028492911740155"/>
        </c:manualLayout>
      </c:layout>
      <c:lineChart>
        <c:grouping val="stacked"/>
        <c:varyColors val="0"/>
        <c:ser>
          <c:idx val="0"/>
          <c:order val="0"/>
          <c:tx>
            <c:strRef>
              <c:f>Лист2!$A$2</c:f>
              <c:strCache>
                <c:ptCount val="1"/>
                <c:pt idx="0">
                  <c:v>активы БВУ в % к ВВП</c:v>
                </c:pt>
              </c:strCache>
            </c:strRef>
          </c:tx>
          <c:dLbls>
            <c:dLbl>
              <c:idx val="0"/>
              <c:layout>
                <c:manualLayout>
                  <c:x val="-3.3044196612969846E-2"/>
                  <c:y val="-3.2407407407407544E-2"/>
                </c:manualLayout>
              </c:layout>
              <c:showLegendKey val="0"/>
              <c:showVal val="1"/>
              <c:showCatName val="0"/>
              <c:showSerName val="0"/>
              <c:showPercent val="0"/>
              <c:showBubbleSize val="0"/>
            </c:dLbl>
            <c:dLbl>
              <c:idx val="1"/>
              <c:layout>
                <c:manualLayout>
                  <c:x val="-2.8913672036348603E-2"/>
                  <c:y val="-5.0925925925925923E-2"/>
                </c:manualLayout>
              </c:layout>
              <c:showLegendKey val="0"/>
              <c:showVal val="1"/>
              <c:showCatName val="0"/>
              <c:showSerName val="0"/>
              <c:showPercent val="0"/>
              <c:showBubbleSize val="0"/>
            </c:dLbl>
            <c:dLbl>
              <c:idx val="2"/>
              <c:layout>
                <c:manualLayout>
                  <c:x val="-3.9239983477901801E-2"/>
                  <c:y val="-3.7037037037037056E-2"/>
                </c:manualLayout>
              </c:layout>
              <c:showLegendKey val="0"/>
              <c:showVal val="1"/>
              <c:showCatName val="0"/>
              <c:showSerName val="0"/>
              <c:showPercent val="0"/>
              <c:showBubbleSize val="0"/>
            </c:dLbl>
            <c:dLbl>
              <c:idx val="3"/>
              <c:layout>
                <c:manualLayout>
                  <c:x val="-3.5109458901280463E-2"/>
                  <c:y val="-4.1666666666666664E-2"/>
                </c:manualLayout>
              </c:layout>
              <c:showLegendKey val="0"/>
              <c:showVal val="1"/>
              <c:showCatName val="0"/>
              <c:showSerName val="0"/>
              <c:showPercent val="0"/>
              <c:showBubbleSize val="0"/>
            </c:dLbl>
            <c:dLbl>
              <c:idx val="4"/>
              <c:layout>
                <c:manualLayout>
                  <c:x val="-3.0978934324659251E-2"/>
                  <c:y val="-4.1666666666666664E-2"/>
                </c:manualLayout>
              </c:layout>
              <c:showLegendKey val="0"/>
              <c:showVal val="1"/>
              <c:showCatName val="0"/>
              <c:showSerName val="0"/>
              <c:showPercent val="0"/>
              <c:showBubbleSize val="0"/>
            </c:dLbl>
            <c:dLbl>
              <c:idx val="5"/>
              <c:layout>
                <c:manualLayout>
                  <c:x val="-3.3044196612969812E-2"/>
                  <c:y val="-4.1666666666666664E-2"/>
                </c:manualLayout>
              </c:layout>
              <c:showLegendKey val="0"/>
              <c:showVal val="1"/>
              <c:showCatName val="0"/>
              <c:showSerName val="0"/>
              <c:showPercent val="0"/>
              <c:showBubbleSize val="0"/>
            </c:dLbl>
            <c:dLbl>
              <c:idx val="6"/>
              <c:layout>
                <c:manualLayout>
                  <c:x val="-3.3044196612969846E-2"/>
                  <c:y val="-4.6296296296296446E-2"/>
                </c:manualLayout>
              </c:layout>
              <c:showLegendKey val="0"/>
              <c:showVal val="1"/>
              <c:showCatName val="0"/>
              <c:showSerName val="0"/>
              <c:showPercent val="0"/>
              <c:showBubbleSize val="0"/>
            </c:dLbl>
            <c:dLbl>
              <c:idx val="7"/>
              <c:layout>
                <c:manualLayout>
                  <c:x val="-3.7174721189591003E-2"/>
                  <c:y val="3.7037037037037056E-2"/>
                </c:manualLayout>
              </c:layout>
              <c:showLegendKey val="0"/>
              <c:showVal val="1"/>
              <c:showCatName val="0"/>
              <c:showSerName val="0"/>
              <c:showPercent val="0"/>
              <c:showBubbleSize val="0"/>
            </c:dLbl>
            <c:dLbl>
              <c:idx val="8"/>
              <c:layout>
                <c:manualLayout>
                  <c:x val="-3.3044196612969846E-2"/>
                  <c:y val="5.0925925925925923E-2"/>
                </c:manualLayout>
              </c:layout>
              <c:showLegendKey val="0"/>
              <c:showVal val="1"/>
              <c:showCatName val="0"/>
              <c:showSerName val="0"/>
              <c:showPercent val="0"/>
              <c:showBubbleSize val="0"/>
            </c:dLbl>
            <c:dLbl>
              <c:idx val="9"/>
              <c:layout>
                <c:manualLayout>
                  <c:x val="-3.3044196612969846E-2"/>
                  <c:y val="5.5555555555555455E-2"/>
                </c:manualLayout>
              </c:layout>
              <c:showLegendKey val="0"/>
              <c:showVal val="1"/>
              <c:showCatName val="0"/>
              <c:showSerName val="0"/>
              <c:showPercent val="0"/>
              <c:showBubbleSize val="0"/>
            </c:dLbl>
            <c:dLbl>
              <c:idx val="10"/>
              <c:layout>
                <c:manualLayout>
                  <c:x val="-1.0326311441553085E-2"/>
                  <c:y val="5.09259259259259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Лист2!$B$1:$L$1</c:f>
              <c:strCache>
                <c:ptCount val="11"/>
                <c:pt idx="0">
                  <c:v>01.01.2011 г. </c:v>
                </c:pt>
                <c:pt idx="1">
                  <c:v>01.01.2012 г. </c:v>
                </c:pt>
                <c:pt idx="2">
                  <c:v>01.01.2013 г. </c:v>
                </c:pt>
                <c:pt idx="3">
                  <c:v>01.01.2014 г. </c:v>
                </c:pt>
                <c:pt idx="4">
                  <c:v>01.01.2015 г. </c:v>
                </c:pt>
                <c:pt idx="5">
                  <c:v>01.01.2016 г. </c:v>
                </c:pt>
                <c:pt idx="6">
                  <c:v>01.01.2017 г. </c:v>
                </c:pt>
                <c:pt idx="7">
                  <c:v>01.01.2018 г. </c:v>
                </c:pt>
                <c:pt idx="8">
                  <c:v>01.01.2019 г. </c:v>
                </c:pt>
                <c:pt idx="9">
                  <c:v>01.01.2020 г. </c:v>
                </c:pt>
                <c:pt idx="10">
                  <c:v>01.01.2021 г. </c:v>
                </c:pt>
              </c:strCache>
            </c:strRef>
          </c:cat>
          <c:val>
            <c:numRef>
              <c:f>Лист2!$B$2:$L$2</c:f>
              <c:numCache>
                <c:formatCode>General</c:formatCode>
                <c:ptCount val="11"/>
                <c:pt idx="0">
                  <c:v>62.3</c:v>
                </c:pt>
                <c:pt idx="1">
                  <c:v>44.3</c:v>
                </c:pt>
                <c:pt idx="2">
                  <c:v>45.7</c:v>
                </c:pt>
                <c:pt idx="3">
                  <c:v>45.1</c:v>
                </c:pt>
                <c:pt idx="4">
                  <c:v>46.3</c:v>
                </c:pt>
                <c:pt idx="5">
                  <c:v>57.6</c:v>
                </c:pt>
                <c:pt idx="6">
                  <c:v>55.2</c:v>
                </c:pt>
                <c:pt idx="7">
                  <c:v>45.5</c:v>
                </c:pt>
                <c:pt idx="8">
                  <c:v>43.3</c:v>
                </c:pt>
                <c:pt idx="9">
                  <c:v>38.5</c:v>
                </c:pt>
                <c:pt idx="10">
                  <c:v>43.5</c:v>
                </c:pt>
              </c:numCache>
            </c:numRef>
          </c:val>
          <c:smooth val="0"/>
        </c:ser>
        <c:ser>
          <c:idx val="1"/>
          <c:order val="1"/>
          <c:tx>
            <c:strRef>
              <c:f>Лист2!$A$3</c:f>
              <c:strCache>
                <c:ptCount val="1"/>
                <c:pt idx="0">
                  <c:v>кредиты экономике в % к ВВП</c:v>
                </c:pt>
              </c:strCache>
            </c:strRef>
          </c:tx>
          <c:dLbls>
            <c:dLbl>
              <c:idx val="1"/>
              <c:layout>
                <c:manualLayout>
                  <c:x val="-2.0652622883106202E-2"/>
                  <c:y val="-3.2407407407407489E-2"/>
                </c:manualLayout>
              </c:layout>
              <c:showLegendKey val="0"/>
              <c:showVal val="1"/>
              <c:showCatName val="0"/>
              <c:showSerName val="0"/>
              <c:showPercent val="0"/>
              <c:showBubbleSize val="0"/>
            </c:dLbl>
            <c:dLbl>
              <c:idx val="2"/>
              <c:layout>
                <c:manualLayout>
                  <c:x val="-3.3044196612969846E-2"/>
                  <c:y val="-3.2407407407407489E-2"/>
                </c:manualLayout>
              </c:layout>
              <c:showLegendKey val="0"/>
              <c:showVal val="1"/>
              <c:showCatName val="0"/>
              <c:showSerName val="0"/>
              <c:showPercent val="0"/>
              <c:showBubbleSize val="0"/>
            </c:dLbl>
            <c:dLbl>
              <c:idx val="3"/>
              <c:layout>
                <c:manualLayout>
                  <c:x val="-2.6848409748037993E-2"/>
                  <c:y val="-4.1666666666666664E-2"/>
                </c:manualLayout>
              </c:layout>
              <c:showLegendKey val="0"/>
              <c:showVal val="1"/>
              <c:showCatName val="0"/>
              <c:showSerName val="0"/>
              <c:showPercent val="0"/>
              <c:showBubbleSize val="0"/>
            </c:dLbl>
            <c:dLbl>
              <c:idx val="4"/>
              <c:layout>
                <c:manualLayout>
                  <c:x val="-2.4783147459727487E-2"/>
                  <c:y val="-4.6296296296296412E-2"/>
                </c:manualLayout>
              </c:layout>
              <c:showLegendKey val="0"/>
              <c:showVal val="1"/>
              <c:showCatName val="0"/>
              <c:showSerName val="0"/>
              <c:showPercent val="0"/>
              <c:showBubbleSize val="0"/>
            </c:dLbl>
            <c:dLbl>
              <c:idx val="5"/>
              <c:layout>
                <c:manualLayout>
                  <c:x val="-3.7174721189591003E-2"/>
                  <c:y val="-4.6296296296296412E-2"/>
                </c:manualLayout>
              </c:layout>
              <c:showLegendKey val="0"/>
              <c:showVal val="1"/>
              <c:showCatName val="0"/>
              <c:showSerName val="0"/>
              <c:showPercent val="0"/>
              <c:showBubbleSize val="0"/>
            </c:dLbl>
            <c:dLbl>
              <c:idx val="6"/>
              <c:layout>
                <c:manualLayout>
                  <c:x val="-1.858736059479554E-2"/>
                  <c:y val="-3.2407407407407489E-2"/>
                </c:manualLayout>
              </c:layout>
              <c:showLegendKey val="0"/>
              <c:showVal val="1"/>
              <c:showCatName val="0"/>
              <c:showSerName val="0"/>
              <c:showPercent val="0"/>
              <c:showBubbleSize val="0"/>
            </c:dLbl>
            <c:dLbl>
              <c:idx val="7"/>
              <c:layout>
                <c:manualLayout>
                  <c:x val="-1.858736059479554E-2"/>
                  <c:y val="-4.1666666666666664E-2"/>
                </c:manualLayout>
              </c:layout>
              <c:showLegendKey val="0"/>
              <c:showVal val="1"/>
              <c:showCatName val="0"/>
              <c:showSerName val="0"/>
              <c:showPercent val="0"/>
              <c:showBubbleSize val="0"/>
            </c:dLbl>
            <c:dLbl>
              <c:idx val="8"/>
              <c:layout>
                <c:manualLayout>
                  <c:x val="-2.2717885171416811E-2"/>
                  <c:y val="-4.1666666666666713E-2"/>
                </c:manualLayout>
              </c:layout>
              <c:showLegendKey val="0"/>
              <c:showVal val="1"/>
              <c:showCatName val="0"/>
              <c:showSerName val="0"/>
              <c:showPercent val="0"/>
              <c:showBubbleSize val="0"/>
            </c:dLbl>
            <c:dLbl>
              <c:idx val="9"/>
              <c:layout>
                <c:manualLayout>
                  <c:x val="-1.4456836018174308E-2"/>
                  <c:y val="-4.1666666666666713E-2"/>
                </c:manualLayout>
              </c:layout>
              <c:showLegendKey val="0"/>
              <c:showVal val="1"/>
              <c:showCatName val="0"/>
              <c:showSerName val="0"/>
              <c:showPercent val="0"/>
              <c:showBubbleSize val="0"/>
            </c:dLbl>
            <c:dLbl>
              <c:idx val="10"/>
              <c:layout>
                <c:manualLayout>
                  <c:x val="0"/>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Лист2!$B$1:$L$1</c:f>
              <c:strCache>
                <c:ptCount val="11"/>
                <c:pt idx="0">
                  <c:v>01.01.2011 г. </c:v>
                </c:pt>
                <c:pt idx="1">
                  <c:v>01.01.2012 г. </c:v>
                </c:pt>
                <c:pt idx="2">
                  <c:v>01.01.2013 г. </c:v>
                </c:pt>
                <c:pt idx="3">
                  <c:v>01.01.2014 г. </c:v>
                </c:pt>
                <c:pt idx="4">
                  <c:v>01.01.2015 г. </c:v>
                </c:pt>
                <c:pt idx="5">
                  <c:v>01.01.2016 г. </c:v>
                </c:pt>
                <c:pt idx="6">
                  <c:v>01.01.2017 г. </c:v>
                </c:pt>
                <c:pt idx="7">
                  <c:v>01.01.2018 г. </c:v>
                </c:pt>
                <c:pt idx="8">
                  <c:v>01.01.2019 г. </c:v>
                </c:pt>
                <c:pt idx="9">
                  <c:v>01.01.2020 г. </c:v>
                </c:pt>
                <c:pt idx="10">
                  <c:v>01.01.2021 г. </c:v>
                </c:pt>
              </c:strCache>
            </c:strRef>
          </c:cat>
          <c:val>
            <c:numRef>
              <c:f>Лист2!$B$3:$L$3</c:f>
              <c:numCache>
                <c:formatCode>General</c:formatCode>
                <c:ptCount val="11"/>
                <c:pt idx="0">
                  <c:v>47</c:v>
                </c:pt>
                <c:pt idx="1">
                  <c:v>36.1</c:v>
                </c:pt>
                <c:pt idx="2">
                  <c:v>38.4</c:v>
                </c:pt>
                <c:pt idx="3">
                  <c:v>38.9</c:v>
                </c:pt>
                <c:pt idx="4">
                  <c:v>36.800000000000004</c:v>
                </c:pt>
                <c:pt idx="5">
                  <c:v>37.700000000000003</c:v>
                </c:pt>
                <c:pt idx="6">
                  <c:v>33.5</c:v>
                </c:pt>
                <c:pt idx="7">
                  <c:v>25.6</c:v>
                </c:pt>
                <c:pt idx="8">
                  <c:v>23.6</c:v>
                </c:pt>
                <c:pt idx="9">
                  <c:v>21.2</c:v>
                </c:pt>
                <c:pt idx="10">
                  <c:v>22.4</c:v>
                </c:pt>
              </c:numCache>
            </c:numRef>
          </c:val>
          <c:smooth val="0"/>
        </c:ser>
        <c:ser>
          <c:idx val="2"/>
          <c:order val="2"/>
          <c:tx>
            <c:strRef>
              <c:f>Лист2!$A$4</c:f>
              <c:strCache>
                <c:ptCount val="1"/>
                <c:pt idx="0">
                  <c:v>вклады в БВУ в % к ВВП</c:v>
                </c:pt>
              </c:strCache>
            </c:strRef>
          </c:tx>
          <c:dLbls>
            <c:dLbl>
              <c:idx val="1"/>
              <c:layout>
                <c:manualLayout>
                  <c:x val="-2.0652622883106202E-2"/>
                  <c:y val="-5.0925925925925992E-2"/>
                </c:manualLayout>
              </c:layout>
              <c:showLegendKey val="0"/>
              <c:showVal val="1"/>
              <c:showCatName val="0"/>
              <c:showSerName val="0"/>
              <c:showPercent val="0"/>
              <c:showBubbleSize val="0"/>
            </c:dLbl>
            <c:dLbl>
              <c:idx val="2"/>
              <c:layout>
                <c:manualLayout>
                  <c:x val="-3.3044196612969846E-2"/>
                  <c:y val="-5.5555555555555469E-2"/>
                </c:manualLayout>
              </c:layout>
              <c:showLegendKey val="0"/>
              <c:showVal val="1"/>
              <c:showCatName val="0"/>
              <c:showSerName val="0"/>
              <c:showPercent val="0"/>
              <c:showBubbleSize val="0"/>
            </c:dLbl>
            <c:dLbl>
              <c:idx val="3"/>
              <c:layout>
                <c:manualLayout>
                  <c:x val="-3.3044196612969846E-2"/>
                  <c:y val="-6.0185185185185147E-2"/>
                </c:manualLayout>
              </c:layout>
              <c:showLegendKey val="0"/>
              <c:showVal val="1"/>
              <c:showCatName val="0"/>
              <c:showSerName val="0"/>
              <c:showPercent val="0"/>
              <c:showBubbleSize val="0"/>
            </c:dLbl>
            <c:dLbl>
              <c:idx val="4"/>
              <c:layout>
                <c:manualLayout>
                  <c:x val="-2.8913672036348603E-2"/>
                  <c:y val="-6.0185185185185147E-2"/>
                </c:manualLayout>
              </c:layout>
              <c:showLegendKey val="0"/>
              <c:showVal val="1"/>
              <c:showCatName val="0"/>
              <c:showSerName val="0"/>
              <c:showPercent val="0"/>
              <c:showBubbleSize val="0"/>
            </c:dLbl>
            <c:dLbl>
              <c:idx val="7"/>
              <c:layout>
                <c:manualLayout>
                  <c:x val="-1.4456836018174308E-2"/>
                  <c:y val="-4.6296296296296412E-2"/>
                </c:manualLayout>
              </c:layout>
              <c:showLegendKey val="0"/>
              <c:showVal val="1"/>
              <c:showCatName val="0"/>
              <c:showSerName val="0"/>
              <c:showPercent val="0"/>
              <c:showBubbleSize val="0"/>
            </c:dLbl>
            <c:dLbl>
              <c:idx val="8"/>
              <c:layout>
                <c:manualLayout>
                  <c:x val="-2.2717885171416811E-2"/>
                  <c:y val="-5.0925925925925992E-2"/>
                </c:manualLayout>
              </c:layout>
              <c:showLegendKey val="0"/>
              <c:showVal val="1"/>
              <c:showCatName val="0"/>
              <c:showSerName val="0"/>
              <c:showPercent val="0"/>
              <c:showBubbleSize val="0"/>
            </c:dLbl>
            <c:dLbl>
              <c:idx val="9"/>
              <c:layout>
                <c:manualLayout>
                  <c:x val="-2.6848409748037993E-2"/>
                  <c:y val="-6.0185185185185147E-2"/>
                </c:manualLayout>
              </c:layout>
              <c:showLegendKey val="0"/>
              <c:showVal val="1"/>
              <c:showCatName val="0"/>
              <c:showSerName val="0"/>
              <c:showPercent val="0"/>
              <c:showBubbleSize val="0"/>
            </c:dLbl>
            <c:dLbl>
              <c:idx val="10"/>
              <c:layout>
                <c:manualLayout>
                  <c:x val="-2.8913672036348603E-2"/>
                  <c:y val="-5.09259259259259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Лист2!$B$1:$L$1</c:f>
              <c:strCache>
                <c:ptCount val="11"/>
                <c:pt idx="0">
                  <c:v>01.01.2011 г. </c:v>
                </c:pt>
                <c:pt idx="1">
                  <c:v>01.01.2012 г. </c:v>
                </c:pt>
                <c:pt idx="2">
                  <c:v>01.01.2013 г. </c:v>
                </c:pt>
                <c:pt idx="3">
                  <c:v>01.01.2014 г. </c:v>
                </c:pt>
                <c:pt idx="4">
                  <c:v>01.01.2015 г. </c:v>
                </c:pt>
                <c:pt idx="5">
                  <c:v>01.01.2016 г. </c:v>
                </c:pt>
                <c:pt idx="6">
                  <c:v>01.01.2017 г. </c:v>
                </c:pt>
                <c:pt idx="7">
                  <c:v>01.01.2018 г. </c:v>
                </c:pt>
                <c:pt idx="8">
                  <c:v>01.01.2019 г. </c:v>
                </c:pt>
                <c:pt idx="9">
                  <c:v>01.01.2020 г. </c:v>
                </c:pt>
                <c:pt idx="10">
                  <c:v>01.01.2021 г. </c:v>
                </c:pt>
              </c:strCache>
            </c:strRef>
          </c:cat>
          <c:val>
            <c:numRef>
              <c:f>Лист2!$B$4:$L$4</c:f>
              <c:numCache>
                <c:formatCode>General</c:formatCode>
                <c:ptCount val="11"/>
                <c:pt idx="0">
                  <c:v>35.4</c:v>
                </c:pt>
                <c:pt idx="1">
                  <c:v>26.9</c:v>
                </c:pt>
                <c:pt idx="2">
                  <c:v>28.1</c:v>
                </c:pt>
                <c:pt idx="3">
                  <c:v>28.7</c:v>
                </c:pt>
                <c:pt idx="4">
                  <c:v>28.5</c:v>
                </c:pt>
                <c:pt idx="5">
                  <c:v>37.800000000000004</c:v>
                </c:pt>
                <c:pt idx="6">
                  <c:v>36.700000000000003</c:v>
                </c:pt>
                <c:pt idx="7">
                  <c:v>31.4</c:v>
                </c:pt>
                <c:pt idx="8">
                  <c:v>29.3</c:v>
                </c:pt>
                <c:pt idx="9">
                  <c:v>25.9</c:v>
                </c:pt>
                <c:pt idx="10">
                  <c:v>30</c:v>
                </c:pt>
              </c:numCache>
            </c:numRef>
          </c:val>
          <c:smooth val="0"/>
        </c:ser>
        <c:dLbls>
          <c:showLegendKey val="0"/>
          <c:showVal val="0"/>
          <c:showCatName val="0"/>
          <c:showSerName val="0"/>
          <c:showPercent val="0"/>
          <c:showBubbleSize val="0"/>
        </c:dLbls>
        <c:marker val="1"/>
        <c:smooth val="0"/>
        <c:axId val="221598848"/>
        <c:axId val="221600384"/>
      </c:lineChart>
      <c:catAx>
        <c:axId val="221598848"/>
        <c:scaling>
          <c:orientation val="minMax"/>
        </c:scaling>
        <c:delete val="0"/>
        <c:axPos val="b"/>
        <c:majorTickMark val="out"/>
        <c:minorTickMark val="none"/>
        <c:tickLblPos val="nextTo"/>
        <c:crossAx val="221600384"/>
        <c:crosses val="autoZero"/>
        <c:auto val="1"/>
        <c:lblAlgn val="ctr"/>
        <c:lblOffset val="100"/>
        <c:noMultiLvlLbl val="0"/>
      </c:catAx>
      <c:valAx>
        <c:axId val="221600384"/>
        <c:scaling>
          <c:orientation val="minMax"/>
        </c:scaling>
        <c:delete val="0"/>
        <c:axPos val="l"/>
        <c:majorGridlines/>
        <c:numFmt formatCode="General" sourceLinked="1"/>
        <c:majorTickMark val="out"/>
        <c:minorTickMark val="none"/>
        <c:tickLblPos val="nextTo"/>
        <c:crossAx val="221598848"/>
        <c:crosses val="autoZero"/>
        <c:crossBetween val="between"/>
      </c:valAx>
    </c:plotArea>
    <c:legend>
      <c:legendPos val="b"/>
      <c:layout>
        <c:manualLayout>
          <c:xMode val="edge"/>
          <c:yMode val="edge"/>
          <c:x val="6.1131763733994213E-3"/>
          <c:y val="0.86797462817148052"/>
          <c:w val="0.99190417182982238"/>
          <c:h val="0.11350685331000292"/>
        </c:manualLayout>
      </c:layout>
      <c:overlay val="0"/>
    </c:legend>
    <c:plotVisOnly val="1"/>
    <c:dispBlanksAs val="zero"/>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050207433748387E-2"/>
          <c:y val="5.0925925925925923E-2"/>
          <c:w val="0.87935285229544935"/>
          <c:h val="0.64095422061006546"/>
        </c:manualLayout>
      </c:layout>
      <c:barChart>
        <c:barDir val="col"/>
        <c:grouping val="clustered"/>
        <c:varyColors val="0"/>
        <c:ser>
          <c:idx val="0"/>
          <c:order val="0"/>
          <c:tx>
            <c:strRef>
              <c:f>АТФ!$A$24</c:f>
              <c:strCache>
                <c:ptCount val="1"/>
                <c:pt idx="0">
                  <c:v>Срочные вклады ФЛ</c:v>
                </c:pt>
              </c:strCache>
            </c:strRef>
          </c:tx>
          <c:spPr>
            <a:solidFill>
              <a:schemeClr val="tx2">
                <a:lumMod val="40000"/>
                <a:lumOff val="60000"/>
              </a:schemeClr>
            </a:solidFill>
          </c:spPr>
          <c:invertIfNegative val="0"/>
          <c:dLbls>
            <c:dLbl>
              <c:idx val="0"/>
              <c:layout>
                <c:manualLayout>
                  <c:x val="0"/>
                  <c:y val="0.39950062421972626"/>
                </c:manualLayout>
              </c:layout>
              <c:showLegendKey val="0"/>
              <c:showVal val="1"/>
              <c:showCatName val="0"/>
              <c:showSerName val="0"/>
              <c:showPercent val="0"/>
              <c:showBubbleSize val="0"/>
            </c:dLbl>
            <c:dLbl>
              <c:idx val="1"/>
              <c:layout>
                <c:manualLayout>
                  <c:x val="0"/>
                  <c:y val="0.41198501872659171"/>
                </c:manualLayout>
              </c:layout>
              <c:showLegendKey val="0"/>
              <c:showVal val="1"/>
              <c:showCatName val="0"/>
              <c:showSerName val="0"/>
              <c:showPercent val="0"/>
              <c:showBubbleSize val="0"/>
            </c:dLbl>
            <c:dLbl>
              <c:idx val="2"/>
              <c:layout>
                <c:manualLayout>
                  <c:x val="0"/>
                  <c:y val="0.44319600499375778"/>
                </c:manualLayout>
              </c:layout>
              <c:showLegendKey val="0"/>
              <c:showVal val="1"/>
              <c:showCatName val="0"/>
              <c:showSerName val="0"/>
              <c:showPercent val="0"/>
              <c:showBubbleSize val="0"/>
            </c:dLbl>
            <c:dLbl>
              <c:idx val="3"/>
              <c:layout>
                <c:manualLayout>
                  <c:x val="7.581936123882948E-17"/>
                  <c:y val="0.41198501872659177"/>
                </c:manualLayout>
              </c:layout>
              <c:showLegendKey val="0"/>
              <c:showVal val="1"/>
              <c:showCatName val="0"/>
              <c:showSerName val="0"/>
              <c:showPercent val="0"/>
              <c:showBubbleSize val="0"/>
            </c:dLbl>
            <c:dLbl>
              <c:idx val="4"/>
              <c:layout>
                <c:manualLayout>
                  <c:x val="0"/>
                  <c:y val="0.38701622971286059"/>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АТФ!$B$23:$F$23</c:f>
              <c:strCache>
                <c:ptCount val="5"/>
                <c:pt idx="0">
                  <c:v>2016 г.</c:v>
                </c:pt>
                <c:pt idx="1">
                  <c:v>2017 г.</c:v>
                </c:pt>
                <c:pt idx="2">
                  <c:v>2018 г.</c:v>
                </c:pt>
                <c:pt idx="3">
                  <c:v>2019 г.</c:v>
                </c:pt>
                <c:pt idx="4">
                  <c:v>2020 г.(окт)</c:v>
                </c:pt>
              </c:strCache>
            </c:strRef>
          </c:cat>
          <c:val>
            <c:numRef>
              <c:f>АТФ!$B$24:$F$24</c:f>
              <c:numCache>
                <c:formatCode>General</c:formatCode>
                <c:ptCount val="5"/>
                <c:pt idx="0">
                  <c:v>397.3319999999992</c:v>
                </c:pt>
                <c:pt idx="1">
                  <c:v>340.11</c:v>
                </c:pt>
                <c:pt idx="2">
                  <c:v>349.96999999999969</c:v>
                </c:pt>
                <c:pt idx="3">
                  <c:v>330.404</c:v>
                </c:pt>
                <c:pt idx="4">
                  <c:v>312.76299999999969</c:v>
                </c:pt>
              </c:numCache>
            </c:numRef>
          </c:val>
        </c:ser>
        <c:ser>
          <c:idx val="1"/>
          <c:order val="1"/>
          <c:tx>
            <c:strRef>
              <c:f>АТФ!$A$25</c:f>
              <c:strCache>
                <c:ptCount val="1"/>
                <c:pt idx="0">
                  <c:v>Срочные вклады ЮЛ</c:v>
                </c:pt>
              </c:strCache>
            </c:strRef>
          </c:tx>
          <c:spPr>
            <a:solidFill>
              <a:schemeClr val="accent2">
                <a:lumMod val="60000"/>
                <a:lumOff val="40000"/>
              </a:schemeClr>
            </a:solidFill>
          </c:spPr>
          <c:invertIfNegative val="0"/>
          <c:dLbls>
            <c:dLbl>
              <c:idx val="0"/>
              <c:layout>
                <c:manualLayout>
                  <c:x val="0"/>
                  <c:y val="0.33707865168539403"/>
                </c:manualLayout>
              </c:layout>
              <c:showLegendKey val="0"/>
              <c:showVal val="1"/>
              <c:showCatName val="0"/>
              <c:showSerName val="0"/>
              <c:showPercent val="0"/>
              <c:showBubbleSize val="0"/>
            </c:dLbl>
            <c:dLbl>
              <c:idx val="2"/>
              <c:layout>
                <c:manualLayout>
                  <c:x val="0"/>
                  <c:y val="0.43695380774032488"/>
                </c:manualLayout>
              </c:layout>
              <c:showLegendKey val="0"/>
              <c:showVal val="1"/>
              <c:showCatName val="0"/>
              <c:showSerName val="0"/>
              <c:showPercent val="0"/>
              <c:showBubbleSize val="0"/>
            </c:dLbl>
            <c:dLbl>
              <c:idx val="3"/>
              <c:layout>
                <c:manualLayout>
                  <c:x val="-7.581936123882948E-17"/>
                  <c:y val="0.41198501872659177"/>
                </c:manualLayout>
              </c:layout>
              <c:showLegendKey val="0"/>
              <c:showVal val="1"/>
              <c:showCatName val="0"/>
              <c:showSerName val="0"/>
              <c:showPercent val="0"/>
              <c:showBubbleSize val="0"/>
            </c:dLbl>
            <c:dLbl>
              <c:idx val="4"/>
              <c:layout>
                <c:manualLayout>
                  <c:x val="2.0678246484698197E-3"/>
                  <c:y val="0.41198501872659177"/>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АТФ!$B$23:$F$23</c:f>
              <c:strCache>
                <c:ptCount val="5"/>
                <c:pt idx="0">
                  <c:v>2016 г.</c:v>
                </c:pt>
                <c:pt idx="1">
                  <c:v>2017 г.</c:v>
                </c:pt>
                <c:pt idx="2">
                  <c:v>2018 г.</c:v>
                </c:pt>
                <c:pt idx="3">
                  <c:v>2019 г.</c:v>
                </c:pt>
                <c:pt idx="4">
                  <c:v>2020 г.(окт)</c:v>
                </c:pt>
              </c:strCache>
            </c:strRef>
          </c:cat>
          <c:val>
            <c:numRef>
              <c:f>АТФ!$B$25:$F$25</c:f>
              <c:numCache>
                <c:formatCode>General</c:formatCode>
                <c:ptCount val="5"/>
                <c:pt idx="0">
                  <c:v>278.81700000000001</c:v>
                </c:pt>
                <c:pt idx="1">
                  <c:v>265.05099999999999</c:v>
                </c:pt>
                <c:pt idx="2">
                  <c:v>348.47999999999945</c:v>
                </c:pt>
                <c:pt idx="3">
                  <c:v>357.80200000000002</c:v>
                </c:pt>
                <c:pt idx="4">
                  <c:v>354.77299999999963</c:v>
                </c:pt>
              </c:numCache>
            </c:numRef>
          </c:val>
        </c:ser>
        <c:ser>
          <c:idx val="2"/>
          <c:order val="2"/>
          <c:tx>
            <c:strRef>
              <c:f>АТФ!$A$26</c:f>
              <c:strCache>
                <c:ptCount val="1"/>
                <c:pt idx="0">
                  <c:v>Текущие счета ФЛ</c:v>
                </c:pt>
              </c:strCache>
            </c:strRef>
          </c:tx>
          <c:spPr>
            <a:solidFill>
              <a:srgbClr val="92D050"/>
            </a:solidFill>
          </c:spPr>
          <c:invertIfNegative val="0"/>
          <c:dLbls>
            <c:dLbl>
              <c:idx val="0"/>
              <c:layout>
                <c:manualLayout>
                  <c:x val="-2.0678246484698007E-3"/>
                  <c:y val="0.36828963795256003"/>
                </c:manualLayout>
              </c:layout>
              <c:showLegendKey val="0"/>
              <c:showVal val="1"/>
              <c:showCatName val="0"/>
              <c:showSerName val="0"/>
              <c:showPercent val="0"/>
              <c:showBubbleSize val="0"/>
            </c:dLbl>
            <c:dLbl>
              <c:idx val="1"/>
              <c:layout>
                <c:manualLayout>
                  <c:x val="0"/>
                  <c:y val="-0.22471910112359578"/>
                </c:manualLayout>
              </c:layout>
              <c:showLegendKey val="0"/>
              <c:showVal val="1"/>
              <c:showCatName val="0"/>
              <c:showSerName val="0"/>
              <c:showPercent val="0"/>
              <c:showBubbleSize val="0"/>
            </c:dLbl>
            <c:dLbl>
              <c:idx val="2"/>
              <c:layout>
                <c:manualLayout>
                  <c:x val="0"/>
                  <c:y val="8.7390761548064855E-2"/>
                </c:manualLayout>
              </c:layout>
              <c:showLegendKey val="0"/>
              <c:showVal val="1"/>
              <c:showCatName val="0"/>
              <c:showSerName val="0"/>
              <c:showPercent val="0"/>
              <c:showBubbleSize val="0"/>
            </c:dLbl>
            <c:dLbl>
              <c:idx val="4"/>
              <c:layout>
                <c:manualLayout>
                  <c:x val="0"/>
                  <c:y val="9.9875156054931274E-2"/>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АТФ!$B$23:$F$23</c:f>
              <c:strCache>
                <c:ptCount val="5"/>
                <c:pt idx="0">
                  <c:v>2016 г.</c:v>
                </c:pt>
                <c:pt idx="1">
                  <c:v>2017 г.</c:v>
                </c:pt>
                <c:pt idx="2">
                  <c:v>2018 г.</c:v>
                </c:pt>
                <c:pt idx="3">
                  <c:v>2019 г.</c:v>
                </c:pt>
                <c:pt idx="4">
                  <c:v>2020 г.(окт)</c:v>
                </c:pt>
              </c:strCache>
            </c:strRef>
          </c:cat>
          <c:val>
            <c:numRef>
              <c:f>АТФ!$B$26:$F$26</c:f>
              <c:numCache>
                <c:formatCode>General</c:formatCode>
                <c:ptCount val="5"/>
                <c:pt idx="0">
                  <c:v>424.18200000000002</c:v>
                </c:pt>
                <c:pt idx="1">
                  <c:v>51.588000000000001</c:v>
                </c:pt>
                <c:pt idx="2">
                  <c:v>77.155999999999949</c:v>
                </c:pt>
                <c:pt idx="3">
                  <c:v>74.143000000000001</c:v>
                </c:pt>
                <c:pt idx="4">
                  <c:v>71.667000000000002</c:v>
                </c:pt>
              </c:numCache>
            </c:numRef>
          </c:val>
        </c:ser>
        <c:ser>
          <c:idx val="3"/>
          <c:order val="3"/>
          <c:tx>
            <c:strRef>
              <c:f>АТФ!$A$27</c:f>
              <c:strCache>
                <c:ptCount val="1"/>
                <c:pt idx="0">
                  <c:v>Текущие счета ЮЛ</c:v>
                </c:pt>
              </c:strCache>
            </c:strRef>
          </c:tx>
          <c:spPr>
            <a:solidFill>
              <a:schemeClr val="accent4">
                <a:lumMod val="60000"/>
                <a:lumOff val="40000"/>
              </a:schemeClr>
            </a:solidFill>
          </c:spPr>
          <c:invertIfNegative val="0"/>
          <c:dLbls>
            <c:dLbl>
              <c:idx val="2"/>
              <c:layout>
                <c:manualLayout>
                  <c:x val="-7.581936123882948E-17"/>
                  <c:y val="0.39950062421972626"/>
                </c:manualLayout>
              </c:layout>
              <c:showLegendKey val="0"/>
              <c:showVal val="1"/>
              <c:showCatName val="0"/>
              <c:showSerName val="0"/>
              <c:showPercent val="0"/>
              <c:showBubbleSize val="0"/>
            </c:dLbl>
            <c:dLbl>
              <c:idx val="3"/>
              <c:layout>
                <c:manualLayout>
                  <c:x val="0"/>
                  <c:y val="0.36828963795256003"/>
                </c:manualLayout>
              </c:layout>
              <c:showLegendKey val="0"/>
              <c:showVal val="1"/>
              <c:showCatName val="0"/>
              <c:showSerName val="0"/>
              <c:showPercent val="0"/>
              <c:showBubbleSize val="0"/>
            </c:dLbl>
            <c:dLbl>
              <c:idx val="4"/>
              <c:layout>
                <c:manualLayout>
                  <c:x val="0"/>
                  <c:y val="0.33707865168539403"/>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АТФ!$B$23:$F$23</c:f>
              <c:strCache>
                <c:ptCount val="5"/>
                <c:pt idx="0">
                  <c:v>2016 г.</c:v>
                </c:pt>
                <c:pt idx="1">
                  <c:v>2017 г.</c:v>
                </c:pt>
                <c:pt idx="2">
                  <c:v>2018 г.</c:v>
                </c:pt>
                <c:pt idx="3">
                  <c:v>2019 г.</c:v>
                </c:pt>
                <c:pt idx="4">
                  <c:v>2020 г.(окт)</c:v>
                </c:pt>
              </c:strCache>
            </c:strRef>
          </c:cat>
          <c:val>
            <c:numRef>
              <c:f>АТФ!$B$27:$F$27</c:f>
              <c:numCache>
                <c:formatCode>General</c:formatCode>
                <c:ptCount val="5"/>
                <c:pt idx="0">
                  <c:v>43.497</c:v>
                </c:pt>
                <c:pt idx="1">
                  <c:v>301.90499999999969</c:v>
                </c:pt>
                <c:pt idx="2">
                  <c:v>294.18099999999993</c:v>
                </c:pt>
                <c:pt idx="3">
                  <c:v>286.25</c:v>
                </c:pt>
                <c:pt idx="4">
                  <c:v>279.28199999999907</c:v>
                </c:pt>
              </c:numCache>
            </c:numRef>
          </c:val>
        </c:ser>
        <c:dLbls>
          <c:showLegendKey val="0"/>
          <c:showVal val="0"/>
          <c:showCatName val="0"/>
          <c:showSerName val="0"/>
          <c:showPercent val="0"/>
          <c:showBubbleSize val="0"/>
        </c:dLbls>
        <c:gapWidth val="150"/>
        <c:axId val="223061888"/>
        <c:axId val="223063424"/>
      </c:barChart>
      <c:lineChart>
        <c:grouping val="standard"/>
        <c:varyColors val="0"/>
        <c:ser>
          <c:idx val="4"/>
          <c:order val="4"/>
          <c:tx>
            <c:strRef>
              <c:f>АТФ!$A$28</c:f>
              <c:strCache>
                <c:ptCount val="1"/>
                <c:pt idx="0">
                  <c:v>Динамика срочных вкладов, %</c:v>
                </c:pt>
              </c:strCache>
            </c:strRef>
          </c:tx>
          <c:dLbls>
            <c:dLbl>
              <c:idx val="1"/>
              <c:layout>
                <c:manualLayout>
                  <c:x val="-2.688172043010759E-2"/>
                  <c:y val="3.7453183520599363E-2"/>
                </c:manualLayout>
              </c:layout>
              <c:showLegendKey val="0"/>
              <c:showVal val="1"/>
              <c:showCatName val="0"/>
              <c:showSerName val="0"/>
              <c:showPercent val="0"/>
              <c:showBubbleSize val="0"/>
            </c:dLbl>
            <c:dLbl>
              <c:idx val="2"/>
              <c:layout>
                <c:manualLayout>
                  <c:x val="-3.7220843672456656E-2"/>
                  <c:y val="-6.2421972534332092E-2"/>
                </c:manualLayout>
              </c:layout>
              <c:showLegendKey val="0"/>
              <c:showVal val="1"/>
              <c:showCatName val="0"/>
              <c:showSerName val="0"/>
              <c:showPercent val="0"/>
              <c:showBubbleSize val="0"/>
            </c:dLbl>
            <c:dLbl>
              <c:idx val="3"/>
              <c:layout>
                <c:manualLayout>
                  <c:x val="-6.410256410256418E-2"/>
                  <c:y val="2.496878901373276E-2"/>
                </c:manualLayout>
              </c:layout>
              <c:showLegendKey val="0"/>
              <c:showVal val="1"/>
              <c:showCatName val="0"/>
              <c:showSerName val="0"/>
              <c:showPercent val="0"/>
              <c:showBubbleSize val="0"/>
            </c:dLbl>
            <c:dLbl>
              <c:idx val="4"/>
              <c:layout>
                <c:manualLayout>
                  <c:x val="-2.0678246484698189E-2"/>
                  <c:y val="-6.2421972534332092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АТФ!$B$23:$F$23</c:f>
              <c:strCache>
                <c:ptCount val="5"/>
                <c:pt idx="0">
                  <c:v>2016 г.</c:v>
                </c:pt>
                <c:pt idx="1">
                  <c:v>2017 г.</c:v>
                </c:pt>
                <c:pt idx="2">
                  <c:v>2018 г.</c:v>
                </c:pt>
                <c:pt idx="3">
                  <c:v>2019 г.</c:v>
                </c:pt>
                <c:pt idx="4">
                  <c:v>2020 г.(окт)</c:v>
                </c:pt>
              </c:strCache>
            </c:strRef>
          </c:cat>
          <c:val>
            <c:numRef>
              <c:f>АТФ!$B$28:$F$28</c:f>
              <c:numCache>
                <c:formatCode>0.00</c:formatCode>
                <c:ptCount val="5"/>
                <c:pt idx="1">
                  <c:v>-10.498721435659863</c:v>
                </c:pt>
                <c:pt idx="2">
                  <c:v>15.415541623565279</c:v>
                </c:pt>
                <c:pt idx="3">
                  <c:v>-1.4668172856793098</c:v>
                </c:pt>
                <c:pt idx="4">
                  <c:v>-3.0034611729627612</c:v>
                </c:pt>
              </c:numCache>
            </c:numRef>
          </c:val>
          <c:smooth val="0"/>
        </c:ser>
        <c:ser>
          <c:idx val="5"/>
          <c:order val="5"/>
          <c:tx>
            <c:strRef>
              <c:f>АТФ!$A$29</c:f>
              <c:strCache>
                <c:ptCount val="1"/>
                <c:pt idx="0">
                  <c:v>Динамика текущих счетов, %</c:v>
                </c:pt>
              </c:strCache>
            </c:strRef>
          </c:tx>
          <c:dLbls>
            <c:dLbl>
              <c:idx val="1"/>
              <c:layout>
                <c:manualLayout>
                  <c:x val="-4.5492142266335807E-2"/>
                  <c:y val="2.496878901373276E-2"/>
                </c:manualLayout>
              </c:layout>
              <c:showLegendKey val="0"/>
              <c:showVal val="1"/>
              <c:showCatName val="0"/>
              <c:showSerName val="0"/>
              <c:showPercent val="0"/>
              <c:showBubbleSize val="0"/>
            </c:dLbl>
            <c:dLbl>
              <c:idx val="2"/>
              <c:layout>
                <c:manualLayout>
                  <c:x val="-3.1017369727047217E-2"/>
                  <c:y val="-4.3695380774032455E-2"/>
                </c:manualLayout>
              </c:layout>
              <c:showLegendKey val="0"/>
              <c:showVal val="1"/>
              <c:showCatName val="0"/>
              <c:showSerName val="0"/>
              <c:showPercent val="0"/>
              <c:showBubbleSize val="0"/>
            </c:dLbl>
            <c:dLbl>
              <c:idx val="3"/>
              <c:layout>
                <c:manualLayout>
                  <c:x val="-2.6881720430107649E-2"/>
                  <c:y val="-6.2421972534332064E-2"/>
                </c:manualLayout>
              </c:layout>
              <c:showLegendKey val="0"/>
              <c:showVal val="1"/>
              <c:showCatName val="0"/>
              <c:showSerName val="0"/>
              <c:showPercent val="0"/>
              <c:showBubbleSize val="0"/>
            </c:dLbl>
            <c:dLbl>
              <c:idx val="4"/>
              <c:layout>
                <c:manualLayout>
                  <c:x val="-1.4474772539288671E-2"/>
                  <c:y val="3.7453183520599363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АТФ!$B$23:$F$23</c:f>
              <c:strCache>
                <c:ptCount val="5"/>
                <c:pt idx="0">
                  <c:v>2016 г.</c:v>
                </c:pt>
                <c:pt idx="1">
                  <c:v>2017 г.</c:v>
                </c:pt>
                <c:pt idx="2">
                  <c:v>2018 г.</c:v>
                </c:pt>
                <c:pt idx="3">
                  <c:v>2019 г.</c:v>
                </c:pt>
                <c:pt idx="4">
                  <c:v>2020 г.(окт)</c:v>
                </c:pt>
              </c:strCache>
            </c:strRef>
          </c:cat>
          <c:val>
            <c:numRef>
              <c:f>АТФ!$B$29:$F$29</c:f>
              <c:numCache>
                <c:formatCode>0.00</c:formatCode>
                <c:ptCount val="5"/>
                <c:pt idx="1">
                  <c:v>-24.415626069107049</c:v>
                </c:pt>
                <c:pt idx="2">
                  <c:v>5.0479075964729017</c:v>
                </c:pt>
                <c:pt idx="3">
                  <c:v>-2.947188133689882</c:v>
                </c:pt>
                <c:pt idx="4">
                  <c:v>-2.6204726506896532</c:v>
                </c:pt>
              </c:numCache>
            </c:numRef>
          </c:val>
          <c:smooth val="0"/>
        </c:ser>
        <c:dLbls>
          <c:showLegendKey val="0"/>
          <c:showVal val="0"/>
          <c:showCatName val="0"/>
          <c:showSerName val="0"/>
          <c:showPercent val="0"/>
          <c:showBubbleSize val="0"/>
        </c:dLbls>
        <c:marker val="1"/>
        <c:smooth val="0"/>
        <c:axId val="223095424"/>
        <c:axId val="223093888"/>
      </c:lineChart>
      <c:catAx>
        <c:axId val="223061888"/>
        <c:scaling>
          <c:orientation val="minMax"/>
        </c:scaling>
        <c:delete val="0"/>
        <c:axPos val="b"/>
        <c:majorTickMark val="out"/>
        <c:minorTickMark val="none"/>
        <c:tickLblPos val="nextTo"/>
        <c:txPr>
          <a:bodyPr/>
          <a:lstStyle/>
          <a:p>
            <a:pPr>
              <a:defRPr sz="1100"/>
            </a:pPr>
            <a:endParaRPr lang="ru-RU"/>
          </a:p>
        </c:txPr>
        <c:crossAx val="223063424"/>
        <c:crosses val="autoZero"/>
        <c:auto val="1"/>
        <c:lblAlgn val="ctr"/>
        <c:lblOffset val="100"/>
        <c:noMultiLvlLbl val="0"/>
      </c:catAx>
      <c:valAx>
        <c:axId val="223063424"/>
        <c:scaling>
          <c:orientation val="minMax"/>
        </c:scaling>
        <c:delete val="0"/>
        <c:axPos val="l"/>
        <c:majorGridlines/>
        <c:numFmt formatCode="General" sourceLinked="1"/>
        <c:majorTickMark val="out"/>
        <c:minorTickMark val="none"/>
        <c:tickLblPos val="nextTo"/>
        <c:crossAx val="223061888"/>
        <c:crosses val="autoZero"/>
        <c:crossBetween val="between"/>
      </c:valAx>
      <c:valAx>
        <c:axId val="223093888"/>
        <c:scaling>
          <c:orientation val="minMax"/>
        </c:scaling>
        <c:delete val="0"/>
        <c:axPos val="r"/>
        <c:numFmt formatCode="0.00" sourceLinked="1"/>
        <c:majorTickMark val="out"/>
        <c:minorTickMark val="none"/>
        <c:tickLblPos val="nextTo"/>
        <c:crossAx val="223095424"/>
        <c:crosses val="max"/>
        <c:crossBetween val="between"/>
      </c:valAx>
      <c:catAx>
        <c:axId val="223095424"/>
        <c:scaling>
          <c:orientation val="minMax"/>
        </c:scaling>
        <c:delete val="1"/>
        <c:axPos val="b"/>
        <c:majorTickMark val="out"/>
        <c:minorTickMark val="none"/>
        <c:tickLblPos val="none"/>
        <c:crossAx val="223093888"/>
        <c:crosses val="autoZero"/>
        <c:auto val="1"/>
        <c:lblAlgn val="ctr"/>
        <c:lblOffset val="100"/>
        <c:noMultiLvlLbl val="0"/>
      </c:catAx>
    </c:plotArea>
    <c:legend>
      <c:legendPos val="b"/>
      <c:layout>
        <c:manualLayout>
          <c:xMode val="edge"/>
          <c:yMode val="edge"/>
          <c:x val="8.2712985938805347E-5"/>
          <c:y val="0.84313161697484595"/>
          <c:w val="0.99776674937965093"/>
          <c:h val="0.1568683830251560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952486379300423E-2"/>
          <c:y val="2.5636482939632547E-2"/>
          <c:w val="0.65585786342721863"/>
          <c:h val="0.86382327209099052"/>
        </c:manualLayout>
      </c:layout>
      <c:bar3DChart>
        <c:barDir val="col"/>
        <c:grouping val="clustered"/>
        <c:varyColors val="0"/>
        <c:ser>
          <c:idx val="0"/>
          <c:order val="0"/>
          <c:tx>
            <c:strRef>
              <c:f>АТФ!$A$54</c:f>
              <c:strCache>
                <c:ptCount val="1"/>
                <c:pt idx="0">
                  <c:v>Кредиты, предоставленные банками и финансовыми институтами</c:v>
                </c:pt>
              </c:strCache>
            </c:strRef>
          </c:tx>
          <c:invertIfNegative val="0"/>
          <c:dLbls>
            <c:dLbl>
              <c:idx val="1"/>
              <c:layout>
                <c:manualLayout>
                  <c:x val="2.0374898125509436E-3"/>
                  <c:y val="8.597883597883618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АТФ!$B$53:$F$53</c:f>
              <c:strCache>
                <c:ptCount val="5"/>
                <c:pt idx="0">
                  <c:v>2016 г.</c:v>
                </c:pt>
                <c:pt idx="1">
                  <c:v>2017 г.</c:v>
                </c:pt>
                <c:pt idx="2">
                  <c:v>2018 г.</c:v>
                </c:pt>
                <c:pt idx="3">
                  <c:v>2019 г.</c:v>
                </c:pt>
                <c:pt idx="4">
                  <c:v>2020 г.(окт)</c:v>
                </c:pt>
              </c:strCache>
            </c:strRef>
          </c:cat>
          <c:val>
            <c:numRef>
              <c:f>АТФ!$B$54:$F$54</c:f>
              <c:numCache>
                <c:formatCode>General</c:formatCode>
                <c:ptCount val="5"/>
                <c:pt idx="0">
                  <c:v>49.957000000000001</c:v>
                </c:pt>
                <c:pt idx="1">
                  <c:v>55.324000000000005</c:v>
                </c:pt>
                <c:pt idx="2">
                  <c:v>71.367000000000004</c:v>
                </c:pt>
                <c:pt idx="3">
                  <c:v>80.007999999999996</c:v>
                </c:pt>
                <c:pt idx="4">
                  <c:v>86.350999999999999</c:v>
                </c:pt>
              </c:numCache>
            </c:numRef>
          </c:val>
        </c:ser>
        <c:ser>
          <c:idx val="1"/>
          <c:order val="1"/>
          <c:tx>
            <c:strRef>
              <c:f>АТФ!$A$55</c:f>
              <c:strCache>
                <c:ptCount val="1"/>
                <c:pt idx="0">
                  <c:v>Обязательства перед АО «Ипотечная организация Баспана»</c:v>
                </c:pt>
              </c:strCache>
            </c:strRef>
          </c:tx>
          <c:invertIfNegative val="0"/>
          <c:dLbls>
            <c:showLegendKey val="0"/>
            <c:showVal val="1"/>
            <c:showCatName val="0"/>
            <c:showSerName val="0"/>
            <c:showPercent val="0"/>
            <c:showBubbleSize val="0"/>
            <c:showLeaderLines val="0"/>
          </c:dLbls>
          <c:cat>
            <c:strRef>
              <c:f>АТФ!$B$53:$F$53</c:f>
              <c:strCache>
                <c:ptCount val="5"/>
                <c:pt idx="0">
                  <c:v>2016 г.</c:v>
                </c:pt>
                <c:pt idx="1">
                  <c:v>2017 г.</c:v>
                </c:pt>
                <c:pt idx="2">
                  <c:v>2018 г.</c:v>
                </c:pt>
                <c:pt idx="3">
                  <c:v>2019 г.</c:v>
                </c:pt>
                <c:pt idx="4">
                  <c:v>2020 г.(окт)</c:v>
                </c:pt>
              </c:strCache>
            </c:strRef>
          </c:cat>
          <c:val>
            <c:numRef>
              <c:f>АТФ!$B$55:$F$55</c:f>
              <c:numCache>
                <c:formatCode>General</c:formatCode>
                <c:ptCount val="5"/>
                <c:pt idx="0">
                  <c:v>0</c:v>
                </c:pt>
                <c:pt idx="1">
                  <c:v>0</c:v>
                </c:pt>
                <c:pt idx="2">
                  <c:v>1.4849999999999974</c:v>
                </c:pt>
                <c:pt idx="3">
                  <c:v>8.27</c:v>
                </c:pt>
                <c:pt idx="4">
                  <c:v>7.3639999999999946</c:v>
                </c:pt>
              </c:numCache>
            </c:numRef>
          </c:val>
        </c:ser>
        <c:ser>
          <c:idx val="2"/>
          <c:order val="2"/>
          <c:tx>
            <c:strRef>
              <c:f>АТФ!$A$56</c:f>
              <c:strCache>
                <c:ptCount val="1"/>
                <c:pt idx="0">
                  <c:v>Субординированные долговые ценные бумаги</c:v>
                </c:pt>
              </c:strCache>
            </c:strRef>
          </c:tx>
          <c:invertIfNegative val="0"/>
          <c:dLbls>
            <c:dLbl>
              <c:idx val="3"/>
              <c:layout>
                <c:manualLayout>
                  <c:x val="-1.8337408312958471E-2"/>
                  <c:y val="6.6137566137566134E-2"/>
                </c:manualLayout>
              </c:layout>
              <c:showLegendKey val="0"/>
              <c:showVal val="1"/>
              <c:showCatName val="0"/>
              <c:showSerName val="0"/>
              <c:showPercent val="0"/>
              <c:showBubbleSize val="0"/>
            </c:dLbl>
            <c:dLbl>
              <c:idx val="4"/>
              <c:layout>
                <c:manualLayout>
                  <c:x val="-1.0187449062754613E-2"/>
                  <c:y val="8.59788359788362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АТФ!$B$53:$F$53</c:f>
              <c:strCache>
                <c:ptCount val="5"/>
                <c:pt idx="0">
                  <c:v>2016 г.</c:v>
                </c:pt>
                <c:pt idx="1">
                  <c:v>2017 г.</c:v>
                </c:pt>
                <c:pt idx="2">
                  <c:v>2018 г.</c:v>
                </c:pt>
                <c:pt idx="3">
                  <c:v>2019 г.</c:v>
                </c:pt>
                <c:pt idx="4">
                  <c:v>2020 г.(окт)</c:v>
                </c:pt>
              </c:strCache>
            </c:strRef>
          </c:cat>
          <c:val>
            <c:numRef>
              <c:f>АТФ!$B$56:$F$56</c:f>
              <c:numCache>
                <c:formatCode>General</c:formatCode>
                <c:ptCount val="5"/>
                <c:pt idx="0">
                  <c:v>93.093999999999994</c:v>
                </c:pt>
                <c:pt idx="1">
                  <c:v>124.739</c:v>
                </c:pt>
                <c:pt idx="2">
                  <c:v>131.70599999999999</c:v>
                </c:pt>
                <c:pt idx="3">
                  <c:v>127.73399999999999</c:v>
                </c:pt>
                <c:pt idx="4">
                  <c:v>127.7</c:v>
                </c:pt>
              </c:numCache>
            </c:numRef>
          </c:val>
        </c:ser>
        <c:ser>
          <c:idx val="3"/>
          <c:order val="3"/>
          <c:tx>
            <c:strRef>
              <c:f>АТФ!$A$57</c:f>
              <c:strCache>
                <c:ptCount val="1"/>
                <c:pt idx="0">
                  <c:v>Несубординированные долговые ценные бумаги</c:v>
                </c:pt>
              </c:strCache>
            </c:strRef>
          </c:tx>
          <c:invertIfNegative val="0"/>
          <c:dLbls>
            <c:dLbl>
              <c:idx val="4"/>
              <c:layout>
                <c:manualLayout>
                  <c:x val="1.426242868785658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АТФ!$B$53:$F$53</c:f>
              <c:strCache>
                <c:ptCount val="5"/>
                <c:pt idx="0">
                  <c:v>2016 г.</c:v>
                </c:pt>
                <c:pt idx="1">
                  <c:v>2017 г.</c:v>
                </c:pt>
                <c:pt idx="2">
                  <c:v>2018 г.</c:v>
                </c:pt>
                <c:pt idx="3">
                  <c:v>2019 г.</c:v>
                </c:pt>
                <c:pt idx="4">
                  <c:v>2020 г.(окт)</c:v>
                </c:pt>
              </c:strCache>
            </c:strRef>
          </c:cat>
          <c:val>
            <c:numRef>
              <c:f>АТФ!$B$57:$F$57</c:f>
              <c:numCache>
                <c:formatCode>General</c:formatCode>
                <c:ptCount val="5"/>
                <c:pt idx="0">
                  <c:v>58.678000000000011</c:v>
                </c:pt>
                <c:pt idx="1">
                  <c:v>57.533000000000001</c:v>
                </c:pt>
                <c:pt idx="2">
                  <c:v>57.709000000000003</c:v>
                </c:pt>
                <c:pt idx="3">
                  <c:v>129.29900000000001</c:v>
                </c:pt>
                <c:pt idx="4">
                  <c:v>129.30000000000001</c:v>
                </c:pt>
              </c:numCache>
            </c:numRef>
          </c:val>
        </c:ser>
        <c:dLbls>
          <c:showLegendKey val="0"/>
          <c:showVal val="0"/>
          <c:showCatName val="0"/>
          <c:showSerName val="0"/>
          <c:showPercent val="0"/>
          <c:showBubbleSize val="0"/>
        </c:dLbls>
        <c:gapWidth val="150"/>
        <c:shape val="cylinder"/>
        <c:axId val="223128192"/>
        <c:axId val="223134080"/>
        <c:axId val="0"/>
      </c:bar3DChart>
      <c:catAx>
        <c:axId val="223128192"/>
        <c:scaling>
          <c:orientation val="minMax"/>
        </c:scaling>
        <c:delete val="0"/>
        <c:axPos val="b"/>
        <c:majorTickMark val="out"/>
        <c:minorTickMark val="none"/>
        <c:tickLblPos val="nextTo"/>
        <c:txPr>
          <a:bodyPr/>
          <a:lstStyle/>
          <a:p>
            <a:pPr>
              <a:defRPr sz="1050"/>
            </a:pPr>
            <a:endParaRPr lang="ru-RU"/>
          </a:p>
        </c:txPr>
        <c:crossAx val="223134080"/>
        <c:crosses val="autoZero"/>
        <c:auto val="1"/>
        <c:lblAlgn val="ctr"/>
        <c:lblOffset val="100"/>
        <c:noMultiLvlLbl val="0"/>
      </c:catAx>
      <c:valAx>
        <c:axId val="223134080"/>
        <c:scaling>
          <c:orientation val="minMax"/>
        </c:scaling>
        <c:delete val="0"/>
        <c:axPos val="l"/>
        <c:majorGridlines/>
        <c:numFmt formatCode="General" sourceLinked="1"/>
        <c:majorTickMark val="out"/>
        <c:minorTickMark val="none"/>
        <c:tickLblPos val="nextTo"/>
        <c:crossAx val="223128192"/>
        <c:crosses val="autoZero"/>
        <c:crossBetween val="between"/>
      </c:valAx>
    </c:plotArea>
    <c:legend>
      <c:legendPos val="r"/>
      <c:layout>
        <c:manualLayout>
          <c:xMode val="edge"/>
          <c:yMode val="edge"/>
          <c:x val="0.73577928370200674"/>
          <c:y val="1.1585739282589715E-2"/>
          <c:w val="0.26422071629799332"/>
          <c:h val="0.9884142607174082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141064661181693E-2"/>
          <c:y val="2.5636482939632547E-2"/>
          <c:w val="0.64304871024538635"/>
          <c:h val="0.70096310877806856"/>
        </c:manualLayout>
      </c:layout>
      <c:barChart>
        <c:barDir val="col"/>
        <c:grouping val="clustered"/>
        <c:varyColors val="0"/>
        <c:ser>
          <c:idx val="0"/>
          <c:order val="0"/>
          <c:tx>
            <c:strRef>
              <c:f>АТФ!$O$2</c:f>
              <c:strCache>
                <c:ptCount val="1"/>
                <c:pt idx="0">
                  <c:v>коэффициент нетто-стабильного фондирования</c:v>
                </c:pt>
              </c:strCache>
            </c:strRef>
          </c:tx>
          <c:spPr>
            <a:gradFill>
              <a:gsLst>
                <a:gs pos="0">
                  <a:srgbClr val="03D4A8"/>
                </a:gs>
                <a:gs pos="25000">
                  <a:srgbClr val="21D6E0"/>
                </a:gs>
                <a:gs pos="75000">
                  <a:srgbClr val="0087E6"/>
                </a:gs>
                <a:gs pos="100000">
                  <a:srgbClr val="005CBF"/>
                </a:gs>
              </a:gsLst>
              <a:lin ang="5400000" scaled="0"/>
            </a:gradFill>
          </c:spPr>
          <c:invertIfNegative val="0"/>
          <c:dLbls>
            <c:dLbl>
              <c:idx val="6"/>
              <c:layout>
                <c:manualLayout>
                  <c:x val="4.1562759767247784E-3"/>
                  <c:y val="0.2638888888888901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АТФ!$P$1:$V$1</c:f>
              <c:strCache>
                <c:ptCount val="7"/>
                <c:pt idx="0">
                  <c:v>01.02.2019 г.</c:v>
                </c:pt>
                <c:pt idx="1">
                  <c:v>01.06.2019 г.</c:v>
                </c:pt>
                <c:pt idx="2">
                  <c:v>01.09.2019 г.</c:v>
                </c:pt>
                <c:pt idx="3">
                  <c:v>01.02.2020 г.</c:v>
                </c:pt>
                <c:pt idx="4">
                  <c:v>01.06.2020 г.</c:v>
                </c:pt>
                <c:pt idx="5">
                  <c:v>01.09.2020 г.</c:v>
                </c:pt>
                <c:pt idx="6">
                  <c:v>01.02.2021 г.</c:v>
                </c:pt>
              </c:strCache>
            </c:strRef>
          </c:cat>
          <c:val>
            <c:numRef>
              <c:f>АТФ!$P$2:$V$2</c:f>
              <c:numCache>
                <c:formatCode>#,##0.000_ ;\-#,##0.000\ </c:formatCode>
                <c:ptCount val="7"/>
                <c:pt idx="0">
                  <c:v>1.131</c:v>
                </c:pt>
                <c:pt idx="1">
                  <c:v>1.161</c:v>
                </c:pt>
                <c:pt idx="2">
                  <c:v>1.115</c:v>
                </c:pt>
                <c:pt idx="3">
                  <c:v>1.2129999999999974</c:v>
                </c:pt>
                <c:pt idx="4">
                  <c:v>1.171</c:v>
                </c:pt>
                <c:pt idx="5">
                  <c:v>1.242</c:v>
                </c:pt>
                <c:pt idx="6">
                  <c:v>2.0709999999999997</c:v>
                </c:pt>
              </c:numCache>
            </c:numRef>
          </c:val>
        </c:ser>
        <c:dLbls>
          <c:showLegendKey val="0"/>
          <c:showVal val="0"/>
          <c:showCatName val="0"/>
          <c:showSerName val="0"/>
          <c:showPercent val="0"/>
          <c:showBubbleSize val="0"/>
        </c:dLbls>
        <c:gapWidth val="150"/>
        <c:axId val="222710400"/>
        <c:axId val="222724480"/>
      </c:barChart>
      <c:lineChart>
        <c:grouping val="standard"/>
        <c:varyColors val="0"/>
        <c:ser>
          <c:idx val="1"/>
          <c:order val="1"/>
          <c:tx>
            <c:strRef>
              <c:f>АТФ!$O$3</c:f>
              <c:strCache>
                <c:ptCount val="1"/>
                <c:pt idx="0">
                  <c:v>динамика коэффициента</c:v>
                </c:pt>
              </c:strCache>
            </c:strRef>
          </c:tx>
          <c:dLbls>
            <c:dLbl>
              <c:idx val="6"/>
              <c:layout>
                <c:manualLayout>
                  <c:x val="-1.8703241895261923E-2"/>
                  <c:y val="-2.3148148148148147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АТФ!$P$1:$V$1</c:f>
              <c:strCache>
                <c:ptCount val="7"/>
                <c:pt idx="0">
                  <c:v>01.02.2019 г.</c:v>
                </c:pt>
                <c:pt idx="1">
                  <c:v>01.06.2019 г.</c:v>
                </c:pt>
                <c:pt idx="2">
                  <c:v>01.09.2019 г.</c:v>
                </c:pt>
                <c:pt idx="3">
                  <c:v>01.02.2020 г.</c:v>
                </c:pt>
                <c:pt idx="4">
                  <c:v>01.06.2020 г.</c:v>
                </c:pt>
                <c:pt idx="5">
                  <c:v>01.09.2020 г.</c:v>
                </c:pt>
                <c:pt idx="6">
                  <c:v>01.02.2021 г.</c:v>
                </c:pt>
              </c:strCache>
            </c:strRef>
          </c:cat>
          <c:val>
            <c:numRef>
              <c:f>АТФ!$P$3:$V$3</c:f>
              <c:numCache>
                <c:formatCode>#,##0.000_ ;\-#,##0.000\ </c:formatCode>
                <c:ptCount val="7"/>
                <c:pt idx="1">
                  <c:v>3.0000000000000051E-2</c:v>
                </c:pt>
                <c:pt idx="2">
                  <c:v>-4.6000000000000062E-2</c:v>
                </c:pt>
                <c:pt idx="3">
                  <c:v>9.8000000000000226E-2</c:v>
                </c:pt>
                <c:pt idx="4">
                  <c:v>-4.2000000000000093E-2</c:v>
                </c:pt>
                <c:pt idx="5">
                  <c:v>7.099999999999998E-2</c:v>
                </c:pt>
                <c:pt idx="6">
                  <c:v>0.82900000000000063</c:v>
                </c:pt>
              </c:numCache>
            </c:numRef>
          </c:val>
          <c:smooth val="0"/>
        </c:ser>
        <c:dLbls>
          <c:showLegendKey val="0"/>
          <c:showVal val="0"/>
          <c:showCatName val="0"/>
          <c:showSerName val="0"/>
          <c:showPercent val="0"/>
          <c:showBubbleSize val="0"/>
        </c:dLbls>
        <c:marker val="1"/>
        <c:smooth val="0"/>
        <c:axId val="222727552"/>
        <c:axId val="222726016"/>
      </c:lineChart>
      <c:catAx>
        <c:axId val="222710400"/>
        <c:scaling>
          <c:orientation val="minMax"/>
        </c:scaling>
        <c:delete val="0"/>
        <c:axPos val="b"/>
        <c:majorTickMark val="out"/>
        <c:minorTickMark val="none"/>
        <c:tickLblPos val="nextTo"/>
        <c:txPr>
          <a:bodyPr/>
          <a:lstStyle/>
          <a:p>
            <a:pPr>
              <a:defRPr sz="1100"/>
            </a:pPr>
            <a:endParaRPr lang="ru-RU"/>
          </a:p>
        </c:txPr>
        <c:crossAx val="222724480"/>
        <c:crosses val="autoZero"/>
        <c:auto val="1"/>
        <c:lblAlgn val="ctr"/>
        <c:lblOffset val="100"/>
        <c:noMultiLvlLbl val="0"/>
      </c:catAx>
      <c:valAx>
        <c:axId val="222724480"/>
        <c:scaling>
          <c:orientation val="minMax"/>
        </c:scaling>
        <c:delete val="0"/>
        <c:axPos val="l"/>
        <c:majorGridlines/>
        <c:numFmt formatCode="#,##0.000_ ;\-#,##0.000\ " sourceLinked="1"/>
        <c:majorTickMark val="out"/>
        <c:minorTickMark val="none"/>
        <c:tickLblPos val="nextTo"/>
        <c:crossAx val="222710400"/>
        <c:crosses val="autoZero"/>
        <c:crossBetween val="between"/>
      </c:valAx>
      <c:valAx>
        <c:axId val="222726016"/>
        <c:scaling>
          <c:orientation val="minMax"/>
        </c:scaling>
        <c:delete val="0"/>
        <c:axPos val="r"/>
        <c:numFmt formatCode="#,##0.000_ ;\-#,##0.000\ " sourceLinked="1"/>
        <c:majorTickMark val="out"/>
        <c:minorTickMark val="none"/>
        <c:tickLblPos val="nextTo"/>
        <c:crossAx val="222727552"/>
        <c:crosses val="max"/>
        <c:crossBetween val="between"/>
      </c:valAx>
      <c:catAx>
        <c:axId val="222727552"/>
        <c:scaling>
          <c:orientation val="minMax"/>
        </c:scaling>
        <c:delete val="1"/>
        <c:axPos val="b"/>
        <c:majorTickMark val="out"/>
        <c:minorTickMark val="none"/>
        <c:tickLblPos val="none"/>
        <c:crossAx val="222726016"/>
        <c:crosses val="autoZero"/>
        <c:auto val="1"/>
        <c:lblAlgn val="ctr"/>
        <c:lblOffset val="100"/>
        <c:noMultiLvlLbl val="0"/>
      </c:catAx>
    </c:plotArea>
    <c:legend>
      <c:legendPos val="r"/>
      <c:layout>
        <c:manualLayout>
          <c:xMode val="edge"/>
          <c:yMode val="edge"/>
          <c:x val="0.7965087281795511"/>
          <c:y val="3.0087680466480891E-2"/>
          <c:w val="0.20349127182044927"/>
          <c:h val="0.8257590551181122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1515949805167343E-2"/>
          <c:y val="1.257375185050098E-2"/>
          <c:w val="0.93848405019483261"/>
          <c:h val="0.57498315584115156"/>
        </c:manualLayout>
      </c:layout>
      <c:bar3DChart>
        <c:barDir val="col"/>
        <c:grouping val="clustered"/>
        <c:varyColors val="0"/>
        <c:ser>
          <c:idx val="0"/>
          <c:order val="0"/>
          <c:tx>
            <c:strRef>
              <c:f>'Каспи банк'!$A$2</c:f>
              <c:strCache>
                <c:ptCount val="1"/>
                <c:pt idx="0">
                  <c:v>Срочные вклады:</c:v>
                </c:pt>
              </c:strCache>
            </c:strRef>
          </c:tx>
          <c:spPr>
            <a:solidFill>
              <a:schemeClr val="tx2">
                <a:lumMod val="40000"/>
                <a:lumOff val="60000"/>
              </a:schemeClr>
            </a:solidFill>
          </c:spPr>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'Каспи банк'!$B$1:$F$1</c:f>
              <c:strCache>
                <c:ptCount val="5"/>
                <c:pt idx="0">
                  <c:v>2016 г.</c:v>
                </c:pt>
                <c:pt idx="1">
                  <c:v>2017 г.</c:v>
                </c:pt>
                <c:pt idx="2">
                  <c:v>2018 г.</c:v>
                </c:pt>
                <c:pt idx="3">
                  <c:v>2019 г.</c:v>
                </c:pt>
                <c:pt idx="4">
                  <c:v>2020 г.</c:v>
                </c:pt>
              </c:strCache>
            </c:strRef>
          </c:cat>
          <c:val>
            <c:numRef>
              <c:f>'Каспи банк'!$B$2:$F$2</c:f>
              <c:numCache>
                <c:formatCode>General</c:formatCode>
                <c:ptCount val="5"/>
                <c:pt idx="0">
                  <c:v>752.54199999999946</c:v>
                </c:pt>
                <c:pt idx="1">
                  <c:v>922.16800000000001</c:v>
                </c:pt>
                <c:pt idx="2">
                  <c:v>1066.8239999999998</c:v>
                </c:pt>
                <c:pt idx="3">
                  <c:v>1342.8899999999999</c:v>
                </c:pt>
                <c:pt idx="4">
                  <c:v>1648.6079999999999</c:v>
                </c:pt>
              </c:numCache>
            </c:numRef>
          </c:val>
        </c:ser>
        <c:ser>
          <c:idx val="1"/>
          <c:order val="1"/>
          <c:tx>
            <c:strRef>
              <c:f>'Каспи банк'!$A$3</c:f>
              <c:strCache>
                <c:ptCount val="1"/>
                <c:pt idx="0">
                  <c:v>Текущие счета:</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'Каспи банк'!$B$1:$F$1</c:f>
              <c:strCache>
                <c:ptCount val="5"/>
                <c:pt idx="0">
                  <c:v>2016 г.</c:v>
                </c:pt>
                <c:pt idx="1">
                  <c:v>2017 г.</c:v>
                </c:pt>
                <c:pt idx="2">
                  <c:v>2018 г.</c:v>
                </c:pt>
                <c:pt idx="3">
                  <c:v>2019 г.</c:v>
                </c:pt>
                <c:pt idx="4">
                  <c:v>2020 г.</c:v>
                </c:pt>
              </c:strCache>
            </c:strRef>
          </c:cat>
          <c:val>
            <c:numRef>
              <c:f>'Каспи банк'!$B$3:$F$3</c:f>
              <c:numCache>
                <c:formatCode>General</c:formatCode>
                <c:ptCount val="5"/>
                <c:pt idx="0">
                  <c:v>62.065000000000012</c:v>
                </c:pt>
                <c:pt idx="1">
                  <c:v>79.046999999999997</c:v>
                </c:pt>
                <c:pt idx="2">
                  <c:v>170.39200000000028</c:v>
                </c:pt>
                <c:pt idx="3">
                  <c:v>301.04899999999969</c:v>
                </c:pt>
                <c:pt idx="4">
                  <c:v>595.31399999999996</c:v>
                </c:pt>
              </c:numCache>
            </c:numRef>
          </c:val>
        </c:ser>
        <c:ser>
          <c:idx val="2"/>
          <c:order val="2"/>
          <c:tx>
            <c:strRef>
              <c:f>'Каспи банк'!$A$4</c:f>
              <c:strCache>
                <c:ptCount val="1"/>
                <c:pt idx="0">
                  <c:v>Средства кредитных учреждений:</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'Каспи банк'!$B$1:$F$1</c:f>
              <c:strCache>
                <c:ptCount val="5"/>
                <c:pt idx="0">
                  <c:v>2016 г.</c:v>
                </c:pt>
                <c:pt idx="1">
                  <c:v>2017 г.</c:v>
                </c:pt>
                <c:pt idx="2">
                  <c:v>2018 г.</c:v>
                </c:pt>
                <c:pt idx="3">
                  <c:v>2019 г.</c:v>
                </c:pt>
                <c:pt idx="4">
                  <c:v>2020 г.</c:v>
                </c:pt>
              </c:strCache>
            </c:strRef>
          </c:cat>
          <c:val>
            <c:numRef>
              <c:f>'Каспи банк'!$B$4:$F$4</c:f>
              <c:numCache>
                <c:formatCode>General</c:formatCode>
                <c:ptCount val="5"/>
                <c:pt idx="0">
                  <c:v>40.272000000000013</c:v>
                </c:pt>
                <c:pt idx="1">
                  <c:v>63.2</c:v>
                </c:pt>
                <c:pt idx="2">
                  <c:v>0.49000000000000032</c:v>
                </c:pt>
                <c:pt idx="3">
                  <c:v>3</c:v>
                </c:pt>
                <c:pt idx="4">
                  <c:v>19.87</c:v>
                </c:pt>
              </c:numCache>
            </c:numRef>
          </c:val>
        </c:ser>
        <c:ser>
          <c:idx val="3"/>
          <c:order val="3"/>
          <c:tx>
            <c:strRef>
              <c:f>'Каспи банк'!$A$5</c:f>
              <c:strCache>
                <c:ptCount val="1"/>
                <c:pt idx="0">
                  <c:v>Выпущенные долговые ценные бумаги</c:v>
                </c:pt>
              </c:strCache>
            </c:strRef>
          </c:tx>
          <c:spPr>
            <a:solidFill>
              <a:schemeClr val="accent4">
                <a:lumMod val="40000"/>
                <a:lumOff val="60000"/>
              </a:schemeClr>
            </a:solidFill>
          </c:spPr>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'Каспи банк'!$B$1:$F$1</c:f>
              <c:strCache>
                <c:ptCount val="5"/>
                <c:pt idx="0">
                  <c:v>2016 г.</c:v>
                </c:pt>
                <c:pt idx="1">
                  <c:v>2017 г.</c:v>
                </c:pt>
                <c:pt idx="2">
                  <c:v>2018 г.</c:v>
                </c:pt>
                <c:pt idx="3">
                  <c:v>2019 г.</c:v>
                </c:pt>
                <c:pt idx="4">
                  <c:v>2020 г.</c:v>
                </c:pt>
              </c:strCache>
            </c:strRef>
          </c:cat>
          <c:val>
            <c:numRef>
              <c:f>'Каспи банк'!$B$5:$F$5</c:f>
              <c:numCache>
                <c:formatCode>General</c:formatCode>
                <c:ptCount val="5"/>
                <c:pt idx="0">
                  <c:v>286.83599999999944</c:v>
                </c:pt>
                <c:pt idx="1">
                  <c:v>286.51299999999969</c:v>
                </c:pt>
                <c:pt idx="2">
                  <c:v>308.68700000000001</c:v>
                </c:pt>
                <c:pt idx="3">
                  <c:v>297.351</c:v>
                </c:pt>
                <c:pt idx="4">
                  <c:v>293.72399999999919</c:v>
                </c:pt>
              </c:numCache>
            </c:numRef>
          </c:val>
        </c:ser>
        <c:ser>
          <c:idx val="4"/>
          <c:order val="4"/>
          <c:tx>
            <c:strRef>
              <c:f>'Каспи банк'!$A$6</c:f>
              <c:strCache>
                <c:ptCount val="1"/>
                <c:pt idx="0">
                  <c:v>Уставный капитал</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'Каспи банк'!$B$1:$F$1</c:f>
              <c:strCache>
                <c:ptCount val="5"/>
                <c:pt idx="0">
                  <c:v>2016 г.</c:v>
                </c:pt>
                <c:pt idx="1">
                  <c:v>2017 г.</c:v>
                </c:pt>
                <c:pt idx="2">
                  <c:v>2018 г.</c:v>
                </c:pt>
                <c:pt idx="3">
                  <c:v>2019 г.</c:v>
                </c:pt>
                <c:pt idx="4">
                  <c:v>2020 г.</c:v>
                </c:pt>
              </c:strCache>
            </c:strRef>
          </c:cat>
          <c:val>
            <c:numRef>
              <c:f>'Каспи банк'!$B$6:$F$6</c:f>
              <c:numCache>
                <c:formatCode>General</c:formatCode>
                <c:ptCount val="5"/>
                <c:pt idx="0">
                  <c:v>13.188000000000001</c:v>
                </c:pt>
                <c:pt idx="1">
                  <c:v>8.5090000000000003</c:v>
                </c:pt>
                <c:pt idx="2">
                  <c:v>8.5090000000000003</c:v>
                </c:pt>
                <c:pt idx="3">
                  <c:v>8.5090000000000003</c:v>
                </c:pt>
                <c:pt idx="4">
                  <c:v>8.5090000000000003</c:v>
                </c:pt>
              </c:numCache>
            </c:numRef>
          </c:val>
        </c:ser>
        <c:ser>
          <c:idx val="5"/>
          <c:order val="5"/>
          <c:tx>
            <c:strRef>
              <c:f>'Каспи банк'!$A$7</c:f>
              <c:strCache>
                <c:ptCount val="1"/>
                <c:pt idx="0">
                  <c:v>Резервный капитал</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'Каспи банк'!$B$1:$F$1</c:f>
              <c:strCache>
                <c:ptCount val="5"/>
                <c:pt idx="0">
                  <c:v>2016 г.</c:v>
                </c:pt>
                <c:pt idx="1">
                  <c:v>2017 г.</c:v>
                </c:pt>
                <c:pt idx="2">
                  <c:v>2018 г.</c:v>
                </c:pt>
                <c:pt idx="3">
                  <c:v>2019 г.</c:v>
                </c:pt>
                <c:pt idx="4">
                  <c:v>2020 г.</c:v>
                </c:pt>
              </c:strCache>
            </c:strRef>
          </c:cat>
          <c:val>
            <c:numRef>
              <c:f>'Каспи банк'!$B$7:$F$7</c:f>
              <c:numCache>
                <c:formatCode>General</c:formatCode>
                <c:ptCount val="5"/>
                <c:pt idx="0">
                  <c:v>14.253</c:v>
                </c:pt>
                <c:pt idx="1">
                  <c:v>2.093</c:v>
                </c:pt>
                <c:pt idx="2">
                  <c:v>1.661</c:v>
                </c:pt>
                <c:pt idx="3">
                  <c:v>1.6240000000000001</c:v>
                </c:pt>
                <c:pt idx="4">
                  <c:v>245.65900000000002</c:v>
                </c:pt>
              </c:numCache>
            </c:numRef>
          </c:val>
        </c:ser>
        <c:ser>
          <c:idx val="6"/>
          <c:order val="6"/>
          <c:tx>
            <c:strRef>
              <c:f>'Каспи банк'!$A$8</c:f>
              <c:strCache>
                <c:ptCount val="1"/>
                <c:pt idx="0">
                  <c:v>Нераспределенная прибыль</c:v>
                </c:pt>
              </c:strCache>
            </c:strRef>
          </c:tx>
          <c:invertIfNegative val="0"/>
          <c:dLbls>
            <c:txPr>
              <a:bodyPr rot="-5400000" vert="horz"/>
              <a:lstStyle/>
              <a:p>
                <a:pPr>
                  <a:defRPr/>
                </a:pPr>
                <a:endParaRPr lang="ru-RU"/>
              </a:p>
            </c:txPr>
            <c:showLegendKey val="0"/>
            <c:showVal val="1"/>
            <c:showCatName val="0"/>
            <c:showSerName val="0"/>
            <c:showPercent val="0"/>
            <c:showBubbleSize val="0"/>
            <c:showLeaderLines val="0"/>
          </c:dLbls>
          <c:cat>
            <c:strRef>
              <c:f>'Каспи банк'!$B$1:$F$1</c:f>
              <c:strCache>
                <c:ptCount val="5"/>
                <c:pt idx="0">
                  <c:v>2016 г.</c:v>
                </c:pt>
                <c:pt idx="1">
                  <c:v>2017 г.</c:v>
                </c:pt>
                <c:pt idx="2">
                  <c:v>2018 г.</c:v>
                </c:pt>
                <c:pt idx="3">
                  <c:v>2019 г.</c:v>
                </c:pt>
                <c:pt idx="4">
                  <c:v>2020 г.</c:v>
                </c:pt>
              </c:strCache>
            </c:strRef>
          </c:cat>
          <c:val>
            <c:numRef>
              <c:f>'Каспи банк'!$B$8:$F$8</c:f>
              <c:numCache>
                <c:formatCode>General</c:formatCode>
                <c:ptCount val="5"/>
                <c:pt idx="0">
                  <c:v>122.657</c:v>
                </c:pt>
                <c:pt idx="1">
                  <c:v>155.87</c:v>
                </c:pt>
                <c:pt idx="2">
                  <c:v>196.71699999999998</c:v>
                </c:pt>
                <c:pt idx="3">
                  <c:v>252.14599999999999</c:v>
                </c:pt>
                <c:pt idx="4">
                  <c:v>239.37800000000001</c:v>
                </c:pt>
              </c:numCache>
            </c:numRef>
          </c:val>
        </c:ser>
        <c:dLbls>
          <c:showLegendKey val="0"/>
          <c:showVal val="0"/>
          <c:showCatName val="0"/>
          <c:showSerName val="0"/>
          <c:showPercent val="0"/>
          <c:showBubbleSize val="0"/>
        </c:dLbls>
        <c:gapWidth val="150"/>
        <c:shape val="box"/>
        <c:axId val="223247360"/>
        <c:axId val="223261440"/>
        <c:axId val="0"/>
      </c:bar3DChart>
      <c:catAx>
        <c:axId val="223247360"/>
        <c:scaling>
          <c:orientation val="minMax"/>
        </c:scaling>
        <c:delete val="0"/>
        <c:axPos val="b"/>
        <c:majorTickMark val="out"/>
        <c:minorTickMark val="none"/>
        <c:tickLblPos val="nextTo"/>
        <c:crossAx val="223261440"/>
        <c:crosses val="autoZero"/>
        <c:auto val="1"/>
        <c:lblAlgn val="ctr"/>
        <c:lblOffset val="100"/>
        <c:noMultiLvlLbl val="0"/>
      </c:catAx>
      <c:valAx>
        <c:axId val="223261440"/>
        <c:scaling>
          <c:orientation val="minMax"/>
        </c:scaling>
        <c:delete val="0"/>
        <c:axPos val="l"/>
        <c:majorGridlines/>
        <c:numFmt formatCode="General" sourceLinked="1"/>
        <c:majorTickMark val="out"/>
        <c:minorTickMark val="none"/>
        <c:tickLblPos val="nextTo"/>
        <c:crossAx val="223247360"/>
        <c:crosses val="autoZero"/>
        <c:crossBetween val="between"/>
      </c:valAx>
    </c:plotArea>
    <c:legend>
      <c:legendPos val="b"/>
      <c:layout>
        <c:manualLayout>
          <c:xMode val="edge"/>
          <c:yMode val="edge"/>
          <c:x val="0"/>
          <c:y val="0.75872527428324554"/>
          <c:w val="0.99929266221795943"/>
          <c:h val="0.24126857027317797"/>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849374091396477E-2"/>
          <c:y val="2.5636482939632547E-2"/>
          <c:w val="0.88092113485814272"/>
          <c:h val="0.61215596568215569"/>
        </c:manualLayout>
      </c:layout>
      <c:barChart>
        <c:barDir val="col"/>
        <c:grouping val="clustered"/>
        <c:varyColors val="0"/>
        <c:ser>
          <c:idx val="0"/>
          <c:order val="0"/>
          <c:tx>
            <c:strRef>
              <c:f>'Каспи банк'!$A$12</c:f>
              <c:strCache>
                <c:ptCount val="1"/>
                <c:pt idx="0">
                  <c:v>Срочные вклады ФЛ</c:v>
                </c:pt>
              </c:strCache>
            </c:strRef>
          </c:tx>
          <c:spPr>
            <a:gradFill>
              <a:gsLst>
                <a:gs pos="0">
                  <a:srgbClr val="5E9EFF"/>
                </a:gs>
                <a:gs pos="39999">
                  <a:srgbClr val="85C2FF"/>
                </a:gs>
                <a:gs pos="70000">
                  <a:srgbClr val="C4D6EB"/>
                </a:gs>
                <a:gs pos="100000">
                  <a:srgbClr val="FFEBFA"/>
                </a:gs>
              </a:gsLst>
              <a:lin ang="5400000" scaled="0"/>
            </a:gradFill>
          </c:spPr>
          <c:invertIfNegative val="0"/>
          <c:dLbls>
            <c:dLbl>
              <c:idx val="0"/>
              <c:layout>
                <c:manualLayout>
                  <c:x val="0"/>
                  <c:y val="0.19762845849802371"/>
                </c:manualLayout>
              </c:layout>
              <c:showLegendKey val="0"/>
              <c:showVal val="1"/>
              <c:showCatName val="0"/>
              <c:showSerName val="0"/>
              <c:showPercent val="0"/>
              <c:showBubbleSize val="0"/>
            </c:dLbl>
            <c:dLbl>
              <c:idx val="1"/>
              <c:layout>
                <c:manualLayout>
                  <c:x val="2.0885547201336691E-3"/>
                  <c:y val="0.22397891963109354"/>
                </c:manualLayout>
              </c:layout>
              <c:showLegendKey val="0"/>
              <c:showVal val="1"/>
              <c:showCatName val="0"/>
              <c:showSerName val="0"/>
              <c:showPercent val="0"/>
              <c:showBubbleSize val="0"/>
            </c:dLbl>
            <c:dLbl>
              <c:idx val="2"/>
              <c:layout>
                <c:manualLayout>
                  <c:x val="0"/>
                  <c:y val="0.28326745718050067"/>
                </c:manualLayout>
              </c:layout>
              <c:showLegendKey val="0"/>
              <c:showVal val="1"/>
              <c:showCatName val="0"/>
              <c:showSerName val="0"/>
              <c:showPercent val="0"/>
              <c:showBubbleSize val="0"/>
            </c:dLbl>
            <c:dLbl>
              <c:idx val="3"/>
              <c:layout>
                <c:manualLayout>
                  <c:x val="2.0885547201336691E-3"/>
                  <c:y val="0.31620553359683795"/>
                </c:manualLayout>
              </c:layout>
              <c:showLegendKey val="0"/>
              <c:showVal val="1"/>
              <c:showCatName val="0"/>
              <c:showSerName val="0"/>
              <c:showPercent val="0"/>
              <c:showBubbleSize val="0"/>
            </c:dLbl>
            <c:dLbl>
              <c:idx val="4"/>
              <c:layout>
                <c:manualLayout>
                  <c:x val="0"/>
                  <c:y val="0.31620553359683795"/>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'Каспи банк'!$B$11:$F$11</c:f>
              <c:strCache>
                <c:ptCount val="5"/>
                <c:pt idx="0">
                  <c:v>2016 г.</c:v>
                </c:pt>
                <c:pt idx="1">
                  <c:v>2017 г.</c:v>
                </c:pt>
                <c:pt idx="2">
                  <c:v>2018 г.</c:v>
                </c:pt>
                <c:pt idx="3">
                  <c:v>2019 г.</c:v>
                </c:pt>
                <c:pt idx="4">
                  <c:v>2020 г.</c:v>
                </c:pt>
              </c:strCache>
            </c:strRef>
          </c:cat>
          <c:val>
            <c:numRef>
              <c:f>'Каспи банк'!$B$12:$F$12</c:f>
              <c:numCache>
                <c:formatCode>General</c:formatCode>
                <c:ptCount val="5"/>
                <c:pt idx="0">
                  <c:v>712.89</c:v>
                </c:pt>
                <c:pt idx="1">
                  <c:v>828.73400000000004</c:v>
                </c:pt>
                <c:pt idx="2">
                  <c:v>1025.0989999999999</c:v>
                </c:pt>
                <c:pt idx="3">
                  <c:v>1298.7719999999999</c:v>
                </c:pt>
                <c:pt idx="4">
                  <c:v>1608.4639999999999</c:v>
                </c:pt>
              </c:numCache>
            </c:numRef>
          </c:val>
        </c:ser>
        <c:ser>
          <c:idx val="1"/>
          <c:order val="1"/>
          <c:tx>
            <c:strRef>
              <c:f>'Каспи банк'!$A$13</c:f>
              <c:strCache>
                <c:ptCount val="1"/>
                <c:pt idx="0">
                  <c:v>Срочные вклады ЮЛ</c:v>
                </c:pt>
              </c:strCache>
            </c:strRef>
          </c:tx>
          <c:spPr>
            <a:gradFill>
              <a:gsLst>
                <a:gs pos="0">
                  <a:srgbClr val="FFF200"/>
                </a:gs>
                <a:gs pos="30000">
                  <a:srgbClr val="FF7A00"/>
                </a:gs>
                <a:gs pos="70000">
                  <a:srgbClr val="FF0300"/>
                </a:gs>
                <a:gs pos="100000">
                  <a:srgbClr val="4D0808"/>
                </a:gs>
              </a:gsLst>
              <a:lin ang="5400000" scaled="0"/>
            </a:gradFill>
          </c:spPr>
          <c:invertIfNegative val="0"/>
          <c:dLbls>
            <c:dLbl>
              <c:idx val="2"/>
              <c:layout>
                <c:manualLayout>
                  <c:x val="-2.0885547201336691E-3"/>
                  <c:y val="3.9525691699604744E-2"/>
                </c:manualLayout>
              </c:layout>
              <c:showLegendKey val="0"/>
              <c:showVal val="1"/>
              <c:showCatName val="0"/>
              <c:showSerName val="0"/>
              <c:showPercent val="0"/>
              <c:showBubbleSize val="0"/>
            </c:dLbl>
            <c:dLbl>
              <c:idx val="3"/>
              <c:layout>
                <c:manualLayout>
                  <c:x val="7.6579455085835133E-17"/>
                  <c:y val="4.61133069828722E-2"/>
                </c:manualLayout>
              </c:layout>
              <c:showLegendKey val="0"/>
              <c:showVal val="1"/>
              <c:showCatName val="0"/>
              <c:showSerName val="0"/>
              <c:showPercent val="0"/>
              <c:showBubbleSize val="0"/>
            </c:dLbl>
            <c:dLbl>
              <c:idx val="4"/>
              <c:layout>
                <c:manualLayout>
                  <c:x val="0"/>
                  <c:y val="3.9525691699604744E-2"/>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'Каспи банк'!$B$11:$F$11</c:f>
              <c:strCache>
                <c:ptCount val="5"/>
                <c:pt idx="0">
                  <c:v>2016 г.</c:v>
                </c:pt>
                <c:pt idx="1">
                  <c:v>2017 г.</c:v>
                </c:pt>
                <c:pt idx="2">
                  <c:v>2018 г.</c:v>
                </c:pt>
                <c:pt idx="3">
                  <c:v>2019 г.</c:v>
                </c:pt>
                <c:pt idx="4">
                  <c:v>2020 г.</c:v>
                </c:pt>
              </c:strCache>
            </c:strRef>
          </c:cat>
          <c:val>
            <c:numRef>
              <c:f>'Каспи банк'!$B$13:$F$13</c:f>
              <c:numCache>
                <c:formatCode>General</c:formatCode>
                <c:ptCount val="5"/>
                <c:pt idx="0">
                  <c:v>39.652000000000001</c:v>
                </c:pt>
                <c:pt idx="1">
                  <c:v>93.433999999999997</c:v>
                </c:pt>
                <c:pt idx="2">
                  <c:v>41.72500000000008</c:v>
                </c:pt>
                <c:pt idx="3">
                  <c:v>44.118000000000002</c:v>
                </c:pt>
                <c:pt idx="4">
                  <c:v>40.144000000000005</c:v>
                </c:pt>
              </c:numCache>
            </c:numRef>
          </c:val>
        </c:ser>
        <c:ser>
          <c:idx val="2"/>
          <c:order val="2"/>
          <c:tx>
            <c:strRef>
              <c:f>'Каспи банк'!$A$14</c:f>
              <c:strCache>
                <c:ptCount val="1"/>
                <c:pt idx="0">
                  <c:v>Текущие счета ФЛ</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dLbl>
              <c:idx val="1"/>
              <c:layout>
                <c:manualLayout>
                  <c:x val="8.3542188805346366E-3"/>
                  <c:y val="7.7160493827160741E-3"/>
                </c:manualLayout>
              </c:layout>
              <c:showLegendKey val="0"/>
              <c:showVal val="1"/>
              <c:showCatName val="0"/>
              <c:showSerName val="0"/>
              <c:showPercent val="0"/>
              <c:showBubbleSize val="0"/>
            </c:dLbl>
            <c:dLbl>
              <c:idx val="2"/>
              <c:layout>
                <c:manualLayout>
                  <c:x val="0"/>
                  <c:y val="6.5876152832674575E-2"/>
                </c:manualLayout>
              </c:layout>
              <c:showLegendKey val="0"/>
              <c:showVal val="1"/>
              <c:showCatName val="0"/>
              <c:showSerName val="0"/>
              <c:showPercent val="0"/>
              <c:showBubbleSize val="0"/>
            </c:dLbl>
            <c:dLbl>
              <c:idx val="3"/>
              <c:layout>
                <c:manualLayout>
                  <c:x val="0"/>
                  <c:y val="0.11857707509881421"/>
                </c:manualLayout>
              </c:layout>
              <c:showLegendKey val="0"/>
              <c:showVal val="1"/>
              <c:showCatName val="0"/>
              <c:showSerName val="0"/>
              <c:showPercent val="0"/>
              <c:showBubbleSize val="0"/>
            </c:dLbl>
            <c:dLbl>
              <c:idx val="4"/>
              <c:layout>
                <c:manualLayout>
                  <c:x val="0"/>
                  <c:y val="0.16469038208168643"/>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'Каспи банк'!$B$11:$F$11</c:f>
              <c:strCache>
                <c:ptCount val="5"/>
                <c:pt idx="0">
                  <c:v>2016 г.</c:v>
                </c:pt>
                <c:pt idx="1">
                  <c:v>2017 г.</c:v>
                </c:pt>
                <c:pt idx="2">
                  <c:v>2018 г.</c:v>
                </c:pt>
                <c:pt idx="3">
                  <c:v>2019 г.</c:v>
                </c:pt>
                <c:pt idx="4">
                  <c:v>2020 г.</c:v>
                </c:pt>
              </c:strCache>
            </c:strRef>
          </c:cat>
          <c:val>
            <c:numRef>
              <c:f>'Каспи банк'!$B$14:$F$14</c:f>
              <c:numCache>
                <c:formatCode>General</c:formatCode>
                <c:ptCount val="5"/>
                <c:pt idx="0">
                  <c:v>30.946999999999989</c:v>
                </c:pt>
                <c:pt idx="1">
                  <c:v>50.806000000000004</c:v>
                </c:pt>
                <c:pt idx="2">
                  <c:v>124.971</c:v>
                </c:pt>
                <c:pt idx="3">
                  <c:v>242.20599999999999</c:v>
                </c:pt>
                <c:pt idx="4">
                  <c:v>404.04</c:v>
                </c:pt>
              </c:numCache>
            </c:numRef>
          </c:val>
        </c:ser>
        <c:ser>
          <c:idx val="3"/>
          <c:order val="3"/>
          <c:tx>
            <c:strRef>
              <c:f>'Каспи банк'!$A$15</c:f>
              <c:strCache>
                <c:ptCount val="1"/>
                <c:pt idx="0">
                  <c:v>Текущие счета ЮЛ</c:v>
                </c:pt>
              </c:strCache>
            </c:strRef>
          </c:tx>
          <c:spPr>
            <a:gradFill>
              <a:gsLst>
                <a:gs pos="0">
                  <a:srgbClr val="03D4A8"/>
                </a:gs>
                <a:gs pos="55000">
                  <a:srgbClr val="21D6E0"/>
                </a:gs>
                <a:gs pos="75000">
                  <a:srgbClr val="0087E6"/>
                </a:gs>
                <a:gs pos="100000">
                  <a:srgbClr val="005CBF"/>
                </a:gs>
              </a:gsLst>
              <a:lin ang="5400000" scaled="0"/>
            </a:gradFill>
          </c:spPr>
          <c:invertIfNegative val="0"/>
          <c:dLbls>
            <c:dLbl>
              <c:idx val="0"/>
              <c:layout>
                <c:manualLayout>
                  <c:x val="4.1771094402673539E-3"/>
                  <c:y val="6.1728395061728482E-2"/>
                </c:manualLayout>
              </c:layout>
              <c:showLegendKey val="0"/>
              <c:showVal val="1"/>
              <c:showCatName val="0"/>
              <c:showSerName val="0"/>
              <c:showPercent val="0"/>
              <c:showBubbleSize val="0"/>
            </c:dLbl>
            <c:dLbl>
              <c:idx val="1"/>
              <c:layout>
                <c:manualLayout>
                  <c:x val="8.3542188805346695E-3"/>
                  <c:y val="5.4012345679012363E-2"/>
                </c:manualLayout>
              </c:layout>
              <c:showLegendKey val="0"/>
              <c:showVal val="1"/>
              <c:showCatName val="0"/>
              <c:showSerName val="0"/>
              <c:showPercent val="0"/>
              <c:showBubbleSize val="0"/>
            </c:dLbl>
            <c:dLbl>
              <c:idx val="2"/>
              <c:layout>
                <c:manualLayout>
                  <c:x val="6.2656641604010126E-3"/>
                  <c:y val="4.6296296296296412E-2"/>
                </c:manualLayout>
              </c:layout>
              <c:showLegendKey val="0"/>
              <c:showVal val="1"/>
              <c:showCatName val="0"/>
              <c:showSerName val="0"/>
              <c:showPercent val="0"/>
              <c:showBubbleSize val="0"/>
            </c:dLbl>
            <c:dLbl>
              <c:idx val="3"/>
              <c:layout>
                <c:manualLayout>
                  <c:x val="8.3542188805346695E-3"/>
                  <c:y val="5.4012345679012363E-2"/>
                </c:manualLayout>
              </c:layout>
              <c:showLegendKey val="0"/>
              <c:showVal val="1"/>
              <c:showCatName val="0"/>
              <c:showSerName val="0"/>
              <c:showPercent val="0"/>
              <c:showBubbleSize val="0"/>
            </c:dLbl>
            <c:dLbl>
              <c:idx val="4"/>
              <c:layout>
                <c:manualLayout>
                  <c:x val="2.0885547201336691E-3"/>
                  <c:y val="0.10558494911456225"/>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'Каспи банк'!$B$11:$F$11</c:f>
              <c:strCache>
                <c:ptCount val="5"/>
                <c:pt idx="0">
                  <c:v>2016 г.</c:v>
                </c:pt>
                <c:pt idx="1">
                  <c:v>2017 г.</c:v>
                </c:pt>
                <c:pt idx="2">
                  <c:v>2018 г.</c:v>
                </c:pt>
                <c:pt idx="3">
                  <c:v>2019 г.</c:v>
                </c:pt>
                <c:pt idx="4">
                  <c:v>2020 г.</c:v>
                </c:pt>
              </c:strCache>
            </c:strRef>
          </c:cat>
          <c:val>
            <c:numRef>
              <c:f>'Каспи банк'!$B$15:$F$15</c:f>
              <c:numCache>
                <c:formatCode>General</c:formatCode>
                <c:ptCount val="5"/>
                <c:pt idx="0">
                  <c:v>31.118000000000031</c:v>
                </c:pt>
                <c:pt idx="1">
                  <c:v>28.241</c:v>
                </c:pt>
                <c:pt idx="2">
                  <c:v>45.421000000000006</c:v>
                </c:pt>
                <c:pt idx="3">
                  <c:v>58.843000000000004</c:v>
                </c:pt>
                <c:pt idx="4">
                  <c:v>191.27399999999992</c:v>
                </c:pt>
              </c:numCache>
            </c:numRef>
          </c:val>
        </c:ser>
        <c:dLbls>
          <c:showLegendKey val="0"/>
          <c:showVal val="0"/>
          <c:showCatName val="0"/>
          <c:showSerName val="0"/>
          <c:showPercent val="0"/>
          <c:showBubbleSize val="0"/>
        </c:dLbls>
        <c:gapWidth val="150"/>
        <c:axId val="223350784"/>
        <c:axId val="223352320"/>
      </c:barChart>
      <c:lineChart>
        <c:grouping val="standard"/>
        <c:varyColors val="0"/>
        <c:ser>
          <c:idx val="4"/>
          <c:order val="4"/>
          <c:tx>
            <c:strRef>
              <c:f>'Каспи банк'!$A$17</c:f>
              <c:strCache>
                <c:ptCount val="1"/>
                <c:pt idx="0">
                  <c:v>Динамика срочных вкладов,%</c:v>
                </c:pt>
              </c:strCache>
            </c:strRef>
          </c:tx>
          <c:dLbls>
            <c:dLbl>
              <c:idx val="1"/>
              <c:layout>
                <c:manualLayout>
                  <c:x val="8.3542188805346695E-3"/>
                  <c:y val="-5.9288537549407133E-2"/>
                </c:manualLayout>
              </c:layout>
              <c:showLegendKey val="0"/>
              <c:showVal val="1"/>
              <c:showCatName val="0"/>
              <c:showSerName val="0"/>
              <c:showPercent val="0"/>
              <c:showBubbleSize val="0"/>
            </c:dLbl>
            <c:dLbl>
              <c:idx val="2"/>
              <c:layout>
                <c:manualLayout>
                  <c:x val="-4.59482038429408E-2"/>
                  <c:y val="-0.10540184453227955"/>
                </c:manualLayout>
              </c:layout>
              <c:showLegendKey val="0"/>
              <c:showVal val="1"/>
              <c:showCatName val="0"/>
              <c:showSerName val="0"/>
              <c:showPercent val="0"/>
              <c:showBubbleSize val="0"/>
            </c:dLbl>
            <c:dLbl>
              <c:idx val="3"/>
              <c:layout>
                <c:manualLayout>
                  <c:x val="-3.3416875522138685E-2"/>
                  <c:y val="-5.9288537549407133E-2"/>
                </c:manualLayout>
              </c:layout>
              <c:showLegendKey val="0"/>
              <c:showVal val="1"/>
              <c:showCatName val="0"/>
              <c:showSerName val="0"/>
              <c:showPercent val="0"/>
              <c:showBubbleSize val="0"/>
            </c:dLbl>
            <c:dLbl>
              <c:idx val="4"/>
              <c:layout>
                <c:manualLayout>
                  <c:x val="-3.1328320802005011E-2"/>
                  <c:y val="-6.5876152832674575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'Каспи банк'!$B$11:$F$11</c:f>
              <c:strCache>
                <c:ptCount val="5"/>
                <c:pt idx="0">
                  <c:v>2016 г.</c:v>
                </c:pt>
                <c:pt idx="1">
                  <c:v>2017 г.</c:v>
                </c:pt>
                <c:pt idx="2">
                  <c:v>2018 г.</c:v>
                </c:pt>
                <c:pt idx="3">
                  <c:v>2019 г.</c:v>
                </c:pt>
                <c:pt idx="4">
                  <c:v>2020 г.</c:v>
                </c:pt>
              </c:strCache>
            </c:strRef>
          </c:cat>
          <c:val>
            <c:numRef>
              <c:f>'Каспи банк'!$B$17:$F$17</c:f>
              <c:numCache>
                <c:formatCode>0.00</c:formatCode>
                <c:ptCount val="5"/>
                <c:pt idx="1">
                  <c:v>22.540403060560024</c:v>
                </c:pt>
                <c:pt idx="2">
                  <c:v>15.686512652792123</c:v>
                </c:pt>
                <c:pt idx="3">
                  <c:v>25.877370587838293</c:v>
                </c:pt>
                <c:pt idx="4">
                  <c:v>22.765677010030586</c:v>
                </c:pt>
              </c:numCache>
            </c:numRef>
          </c:val>
          <c:smooth val="0"/>
        </c:ser>
        <c:ser>
          <c:idx val="5"/>
          <c:order val="5"/>
          <c:tx>
            <c:strRef>
              <c:f>'Каспи банк'!$A$18</c:f>
              <c:strCache>
                <c:ptCount val="1"/>
                <c:pt idx="0">
                  <c:v>Динамика текущих счетов,%</c:v>
                </c:pt>
              </c:strCache>
            </c:strRef>
          </c:tx>
          <c:dLbls>
            <c:dLbl>
              <c:idx val="1"/>
              <c:layout>
                <c:manualLayout>
                  <c:x val="-3.1328320802005011E-2"/>
                  <c:y val="-0.12232838484122292"/>
                </c:manualLayout>
              </c:layout>
              <c:showLegendKey val="0"/>
              <c:showVal val="1"/>
              <c:showCatName val="0"/>
              <c:showSerName val="0"/>
              <c:showPercent val="0"/>
              <c:showBubbleSize val="0"/>
            </c:dLbl>
            <c:dLbl>
              <c:idx val="2"/>
              <c:layout>
                <c:manualLayout>
                  <c:x val="-3.968253968253968E-2"/>
                  <c:y val="-6.0668305789839455E-3"/>
                </c:manualLayout>
              </c:layout>
              <c:showLegendKey val="0"/>
              <c:showVal val="1"/>
              <c:showCatName val="0"/>
              <c:showSerName val="0"/>
              <c:showPercent val="0"/>
              <c:showBubbleSize val="0"/>
            </c:dLbl>
            <c:dLbl>
              <c:idx val="3"/>
              <c:layout>
                <c:manualLayout>
                  <c:x val="-2.7151211361737676E-2"/>
                  <c:y val="-9.2592592592592962E-2"/>
                </c:manualLayout>
              </c:layout>
              <c:showLegendKey val="0"/>
              <c:showVal val="1"/>
              <c:showCatName val="0"/>
              <c:showSerName val="0"/>
              <c:showPercent val="0"/>
              <c:showBubbleSize val="0"/>
            </c:dLbl>
            <c:dLbl>
              <c:idx val="4"/>
              <c:layout>
                <c:manualLayout>
                  <c:x val="-3.1328320802005011E-2"/>
                  <c:y val="-6.9444444444444503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'Каспи банк'!$B$11:$F$11</c:f>
              <c:strCache>
                <c:ptCount val="5"/>
                <c:pt idx="0">
                  <c:v>2016 г.</c:v>
                </c:pt>
                <c:pt idx="1">
                  <c:v>2017 г.</c:v>
                </c:pt>
                <c:pt idx="2">
                  <c:v>2018 г.</c:v>
                </c:pt>
                <c:pt idx="3">
                  <c:v>2019 г.</c:v>
                </c:pt>
                <c:pt idx="4">
                  <c:v>2020 г.</c:v>
                </c:pt>
              </c:strCache>
            </c:strRef>
          </c:cat>
          <c:val>
            <c:numRef>
              <c:f>'Каспи банк'!$B$18:$F$18</c:f>
              <c:numCache>
                <c:formatCode>0.00</c:formatCode>
                <c:ptCount val="5"/>
                <c:pt idx="1">
                  <c:v>27.36163699347458</c:v>
                </c:pt>
                <c:pt idx="2">
                  <c:v>115.55783268182222</c:v>
                </c:pt>
                <c:pt idx="3">
                  <c:v>76.680243203906272</c:v>
                </c:pt>
                <c:pt idx="4">
                  <c:v>97.746546243302774</c:v>
                </c:pt>
              </c:numCache>
            </c:numRef>
          </c:val>
          <c:smooth val="0"/>
        </c:ser>
        <c:dLbls>
          <c:showLegendKey val="0"/>
          <c:showVal val="0"/>
          <c:showCatName val="0"/>
          <c:showSerName val="0"/>
          <c:showPercent val="0"/>
          <c:showBubbleSize val="0"/>
        </c:dLbls>
        <c:marker val="1"/>
        <c:smooth val="0"/>
        <c:axId val="223367936"/>
        <c:axId val="223353856"/>
      </c:lineChart>
      <c:catAx>
        <c:axId val="223350784"/>
        <c:scaling>
          <c:orientation val="minMax"/>
        </c:scaling>
        <c:delete val="0"/>
        <c:axPos val="b"/>
        <c:majorTickMark val="out"/>
        <c:minorTickMark val="none"/>
        <c:tickLblPos val="nextTo"/>
        <c:txPr>
          <a:bodyPr/>
          <a:lstStyle/>
          <a:p>
            <a:pPr>
              <a:defRPr sz="1050"/>
            </a:pPr>
            <a:endParaRPr lang="ru-RU"/>
          </a:p>
        </c:txPr>
        <c:crossAx val="223352320"/>
        <c:crosses val="autoZero"/>
        <c:auto val="1"/>
        <c:lblAlgn val="ctr"/>
        <c:lblOffset val="100"/>
        <c:noMultiLvlLbl val="0"/>
      </c:catAx>
      <c:valAx>
        <c:axId val="223352320"/>
        <c:scaling>
          <c:orientation val="minMax"/>
          <c:max val="2000"/>
        </c:scaling>
        <c:delete val="0"/>
        <c:axPos val="l"/>
        <c:majorGridlines/>
        <c:numFmt formatCode="General" sourceLinked="1"/>
        <c:majorTickMark val="out"/>
        <c:minorTickMark val="none"/>
        <c:tickLblPos val="nextTo"/>
        <c:crossAx val="223350784"/>
        <c:crosses val="autoZero"/>
        <c:crossBetween val="between"/>
      </c:valAx>
      <c:valAx>
        <c:axId val="223353856"/>
        <c:scaling>
          <c:orientation val="minMax"/>
          <c:max val="120"/>
        </c:scaling>
        <c:delete val="0"/>
        <c:axPos val="r"/>
        <c:numFmt formatCode="0.00" sourceLinked="1"/>
        <c:majorTickMark val="out"/>
        <c:minorTickMark val="none"/>
        <c:tickLblPos val="nextTo"/>
        <c:crossAx val="223367936"/>
        <c:crosses val="max"/>
        <c:crossBetween val="between"/>
      </c:valAx>
      <c:catAx>
        <c:axId val="223367936"/>
        <c:scaling>
          <c:orientation val="minMax"/>
        </c:scaling>
        <c:delete val="1"/>
        <c:axPos val="b"/>
        <c:majorTickMark val="out"/>
        <c:minorTickMark val="none"/>
        <c:tickLblPos val="none"/>
        <c:crossAx val="223353856"/>
        <c:crosses val="autoZero"/>
        <c:auto val="1"/>
        <c:lblAlgn val="ctr"/>
        <c:lblOffset val="100"/>
        <c:noMultiLvlLbl val="0"/>
      </c:catAx>
    </c:plotArea>
    <c:legend>
      <c:legendPos val="b"/>
      <c:layout>
        <c:manualLayout>
          <c:xMode val="edge"/>
          <c:yMode val="edge"/>
          <c:x val="0"/>
          <c:y val="0.81071653543307165"/>
          <c:w val="0.99887218045112758"/>
          <c:h val="0.1892834645669298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483680337503586E-2"/>
          <c:y val="2.4897854263062479E-2"/>
          <c:w val="0.77304687374200964"/>
          <c:h val="0.81603823362285965"/>
        </c:manualLayout>
      </c:layout>
      <c:bar3DChart>
        <c:barDir val="bar"/>
        <c:grouping val="stacked"/>
        <c:varyColors val="0"/>
        <c:ser>
          <c:idx val="0"/>
          <c:order val="0"/>
          <c:tx>
            <c:strRef>
              <c:f>'Каспи банк'!$H$12</c:f>
              <c:strCache>
                <c:ptCount val="1"/>
                <c:pt idx="0">
                  <c:v>Срочные вклады ФЛ</c:v>
                </c:pt>
              </c:strCache>
            </c:strRef>
          </c:tx>
          <c:invertIfNegative val="0"/>
          <c:dLbls>
            <c:showLegendKey val="0"/>
            <c:showVal val="1"/>
            <c:showCatName val="0"/>
            <c:showSerName val="0"/>
            <c:showPercent val="0"/>
            <c:showBubbleSize val="0"/>
            <c:showLeaderLines val="0"/>
          </c:dLbls>
          <c:cat>
            <c:strRef>
              <c:f>'Каспи банк'!$I$11:$M$11</c:f>
              <c:strCache>
                <c:ptCount val="5"/>
                <c:pt idx="0">
                  <c:v>2016 г.</c:v>
                </c:pt>
                <c:pt idx="1">
                  <c:v>2017 г.</c:v>
                </c:pt>
                <c:pt idx="2">
                  <c:v>2018 г.</c:v>
                </c:pt>
                <c:pt idx="3">
                  <c:v>2019 г.</c:v>
                </c:pt>
                <c:pt idx="4">
                  <c:v>2020 г.</c:v>
                </c:pt>
              </c:strCache>
            </c:strRef>
          </c:cat>
          <c:val>
            <c:numRef>
              <c:f>'Каспи банк'!$I$12:$M$12</c:f>
              <c:numCache>
                <c:formatCode>0.00</c:formatCode>
                <c:ptCount val="5"/>
                <c:pt idx="0">
                  <c:v>87.513365340587541</c:v>
                </c:pt>
                <c:pt idx="1">
                  <c:v>82.772831010322207</c:v>
                </c:pt>
                <c:pt idx="2">
                  <c:v>82.855297700643959</c:v>
                </c:pt>
                <c:pt idx="3">
                  <c:v>79.003661328066315</c:v>
                </c:pt>
                <c:pt idx="4">
                  <c:v>71.680922955432479</c:v>
                </c:pt>
              </c:numCache>
            </c:numRef>
          </c:val>
        </c:ser>
        <c:ser>
          <c:idx val="1"/>
          <c:order val="1"/>
          <c:tx>
            <c:strRef>
              <c:f>'Каспи банк'!$H$13</c:f>
              <c:strCache>
                <c:ptCount val="1"/>
                <c:pt idx="0">
                  <c:v>Срочные вклады ЮЛ</c:v>
                </c:pt>
              </c:strCache>
            </c:strRef>
          </c:tx>
          <c:invertIfNegative val="0"/>
          <c:dLbls>
            <c:dLbl>
              <c:idx val="0"/>
              <c:layout>
                <c:manualLayout>
                  <c:x val="-8.1799591002044997E-3"/>
                  <c:y val="-8.591065292096220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'Каспи банк'!$I$11:$M$11</c:f>
              <c:strCache>
                <c:ptCount val="5"/>
                <c:pt idx="0">
                  <c:v>2016 г.</c:v>
                </c:pt>
                <c:pt idx="1">
                  <c:v>2017 г.</c:v>
                </c:pt>
                <c:pt idx="2">
                  <c:v>2018 г.</c:v>
                </c:pt>
                <c:pt idx="3">
                  <c:v>2019 г.</c:v>
                </c:pt>
                <c:pt idx="4">
                  <c:v>2020 г.</c:v>
                </c:pt>
              </c:strCache>
            </c:strRef>
          </c:cat>
          <c:val>
            <c:numRef>
              <c:f>'Каспи банк'!$I$13:$M$13</c:f>
              <c:numCache>
                <c:formatCode>0.00</c:formatCode>
                <c:ptCount val="5"/>
                <c:pt idx="0">
                  <c:v>4.8676232833746917</c:v>
                </c:pt>
                <c:pt idx="1">
                  <c:v>9.332061545222551</c:v>
                </c:pt>
                <c:pt idx="2">
                  <c:v>3.3724911414013405</c:v>
                </c:pt>
                <c:pt idx="3">
                  <c:v>2.6836762191297847</c:v>
                </c:pt>
                <c:pt idx="4">
                  <c:v>1.78901049145202</c:v>
                </c:pt>
              </c:numCache>
            </c:numRef>
          </c:val>
        </c:ser>
        <c:ser>
          <c:idx val="2"/>
          <c:order val="2"/>
          <c:tx>
            <c:strRef>
              <c:f>'Каспи банк'!$H$14</c:f>
              <c:strCache>
                <c:ptCount val="1"/>
                <c:pt idx="0">
                  <c:v>Текущие счета ФЛ</c:v>
                </c:pt>
              </c:strCache>
            </c:strRef>
          </c:tx>
          <c:invertIfNegative val="0"/>
          <c:dLbls>
            <c:showLegendKey val="0"/>
            <c:showVal val="1"/>
            <c:showCatName val="0"/>
            <c:showSerName val="0"/>
            <c:showPercent val="0"/>
            <c:showBubbleSize val="0"/>
            <c:showLeaderLines val="0"/>
          </c:dLbls>
          <c:cat>
            <c:strRef>
              <c:f>'Каспи банк'!$I$11:$M$11</c:f>
              <c:strCache>
                <c:ptCount val="5"/>
                <c:pt idx="0">
                  <c:v>2016 г.</c:v>
                </c:pt>
                <c:pt idx="1">
                  <c:v>2017 г.</c:v>
                </c:pt>
                <c:pt idx="2">
                  <c:v>2018 г.</c:v>
                </c:pt>
                <c:pt idx="3">
                  <c:v>2019 г.</c:v>
                </c:pt>
                <c:pt idx="4">
                  <c:v>2020 г.</c:v>
                </c:pt>
              </c:strCache>
            </c:strRef>
          </c:cat>
          <c:val>
            <c:numRef>
              <c:f>'Каспи банк'!$I$14:$M$14</c:f>
              <c:numCache>
                <c:formatCode>0.00</c:formatCode>
                <c:ptCount val="5"/>
                <c:pt idx="0">
                  <c:v>3.7990098292796377</c:v>
                </c:pt>
                <c:pt idx="1">
                  <c:v>5.0744345620071476</c:v>
                </c:pt>
                <c:pt idx="2">
                  <c:v>10.100984791661279</c:v>
                </c:pt>
                <c:pt idx="3">
                  <c:v>14.733271733318533</c:v>
                </c:pt>
                <c:pt idx="4">
                  <c:v>18.005973469666095</c:v>
                </c:pt>
              </c:numCache>
            </c:numRef>
          </c:val>
        </c:ser>
        <c:ser>
          <c:idx val="3"/>
          <c:order val="3"/>
          <c:tx>
            <c:strRef>
              <c:f>'Каспи банк'!$H$15</c:f>
              <c:strCache>
                <c:ptCount val="1"/>
                <c:pt idx="0">
                  <c:v>Текущие счета ЮЛ</c:v>
                </c:pt>
              </c:strCache>
            </c:strRef>
          </c:tx>
          <c:spPr>
            <a:solidFill>
              <a:srgbClr val="FFC000"/>
            </a:solidFill>
          </c:spPr>
          <c:invertIfNegative val="0"/>
          <c:dLbls>
            <c:dLbl>
              <c:idx val="0"/>
              <c:layout>
                <c:manualLayout>
                  <c:x val="1.2269938650306744E-2"/>
                  <c:y val="0"/>
                </c:manualLayout>
              </c:layout>
              <c:showLegendKey val="0"/>
              <c:showVal val="1"/>
              <c:showCatName val="0"/>
              <c:showSerName val="0"/>
              <c:showPercent val="0"/>
              <c:showBubbleSize val="0"/>
            </c:dLbl>
            <c:dLbl>
              <c:idx val="1"/>
              <c:layout>
                <c:manualLayout>
                  <c:x val="1.2269938650306744E-2"/>
                  <c:y val="0"/>
                </c:manualLayout>
              </c:layout>
              <c:showLegendKey val="0"/>
              <c:showVal val="1"/>
              <c:showCatName val="0"/>
              <c:showSerName val="0"/>
              <c:showPercent val="0"/>
              <c:showBubbleSize val="0"/>
            </c:dLbl>
            <c:dLbl>
              <c:idx val="2"/>
              <c:layout>
                <c:manualLayout>
                  <c:x val="1.2269938650306744E-2"/>
                  <c:y val="-8.5910652920962206E-3"/>
                </c:manualLayout>
              </c:layout>
              <c:showLegendKey val="0"/>
              <c:showVal val="1"/>
              <c:showCatName val="0"/>
              <c:showSerName val="0"/>
              <c:showPercent val="0"/>
              <c:showBubbleSize val="0"/>
            </c:dLbl>
            <c:dLbl>
              <c:idx val="3"/>
              <c:layout>
                <c:manualLayout>
                  <c:x val="8.1799591002044997E-3"/>
                  <c:y val="-8.591065292096220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'Каспи банк'!$I$11:$M$11</c:f>
              <c:strCache>
                <c:ptCount val="5"/>
                <c:pt idx="0">
                  <c:v>2016 г.</c:v>
                </c:pt>
                <c:pt idx="1">
                  <c:v>2017 г.</c:v>
                </c:pt>
                <c:pt idx="2">
                  <c:v>2018 г.</c:v>
                </c:pt>
                <c:pt idx="3">
                  <c:v>2019 г.</c:v>
                </c:pt>
                <c:pt idx="4">
                  <c:v>2020 г.</c:v>
                </c:pt>
              </c:strCache>
            </c:strRef>
          </c:cat>
          <c:val>
            <c:numRef>
              <c:f>'Каспи банк'!$I$15:$M$15</c:f>
              <c:numCache>
                <c:formatCode>0.00</c:formatCode>
                <c:ptCount val="5"/>
                <c:pt idx="0">
                  <c:v>3.8200015467581299</c:v>
                </c:pt>
                <c:pt idx="1">
                  <c:v>2.8206728824478247</c:v>
                </c:pt>
                <c:pt idx="2">
                  <c:v>3.6712263662933555</c:v>
                </c:pt>
                <c:pt idx="3">
                  <c:v>3.5793907194853389</c:v>
                </c:pt>
                <c:pt idx="4">
                  <c:v>8.5240930834494186</c:v>
                </c:pt>
              </c:numCache>
            </c:numRef>
          </c:val>
        </c:ser>
        <c:dLbls>
          <c:showLegendKey val="0"/>
          <c:showVal val="0"/>
          <c:showCatName val="0"/>
          <c:showSerName val="0"/>
          <c:showPercent val="0"/>
          <c:showBubbleSize val="0"/>
        </c:dLbls>
        <c:gapWidth val="150"/>
        <c:shape val="box"/>
        <c:axId val="223396608"/>
        <c:axId val="223398144"/>
        <c:axId val="0"/>
      </c:bar3DChart>
      <c:catAx>
        <c:axId val="223396608"/>
        <c:scaling>
          <c:orientation val="minMax"/>
        </c:scaling>
        <c:delete val="0"/>
        <c:axPos val="l"/>
        <c:majorTickMark val="out"/>
        <c:minorTickMark val="none"/>
        <c:tickLblPos val="nextTo"/>
        <c:crossAx val="223398144"/>
        <c:crosses val="autoZero"/>
        <c:auto val="1"/>
        <c:lblAlgn val="ctr"/>
        <c:lblOffset val="100"/>
        <c:noMultiLvlLbl val="0"/>
      </c:catAx>
      <c:valAx>
        <c:axId val="223398144"/>
        <c:scaling>
          <c:orientation val="minMax"/>
        </c:scaling>
        <c:delete val="0"/>
        <c:axPos val="b"/>
        <c:majorGridlines/>
        <c:numFmt formatCode="0.00" sourceLinked="1"/>
        <c:majorTickMark val="out"/>
        <c:minorTickMark val="none"/>
        <c:tickLblPos val="nextTo"/>
        <c:crossAx val="223396608"/>
        <c:crosses val="autoZero"/>
        <c:crossBetween val="between"/>
      </c:valAx>
    </c:plotArea>
    <c:legend>
      <c:legendPos val="r"/>
      <c:layout>
        <c:manualLayout>
          <c:xMode val="edge"/>
          <c:yMode val="edge"/>
          <c:x val="0.85673316909005959"/>
          <c:y val="0"/>
          <c:w val="0.14326683090993994"/>
          <c:h val="1"/>
        </c:manualLayout>
      </c:layout>
      <c:overlay val="0"/>
      <c:txPr>
        <a:bodyPr/>
        <a:lstStyle/>
        <a:p>
          <a:pPr>
            <a:defRPr sz="1000"/>
          </a:pPr>
          <a:endParaRPr lang="ru-RU"/>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904276286759296E-2"/>
          <c:y val="3.5771836659952441E-2"/>
          <c:w val="0.54625371392710409"/>
          <c:h val="0.83627795072127609"/>
        </c:manualLayout>
      </c:layout>
      <c:barChart>
        <c:barDir val="col"/>
        <c:grouping val="clustered"/>
        <c:varyColors val="0"/>
        <c:ser>
          <c:idx val="1"/>
          <c:order val="1"/>
          <c:tx>
            <c:strRef>
              <c:f>'Каспи банк'!$P$3</c:f>
              <c:strCache>
                <c:ptCount val="1"/>
                <c:pt idx="0">
                  <c:v>Первая облигационная программа:</c:v>
                </c:pt>
              </c:strCache>
            </c:strRef>
          </c:tx>
          <c:spPr>
            <a:solidFill>
              <a:srgbClr val="FF0000"/>
            </a:solidFill>
          </c:spPr>
          <c:invertIfNegative val="0"/>
          <c:dLbls>
            <c:dLbl>
              <c:idx val="0"/>
              <c:layout>
                <c:manualLayout>
                  <c:x val="-2.0755500207555004E-3"/>
                  <c:y val="5.1679586563307352E-2"/>
                </c:manualLayout>
              </c:layout>
              <c:showLegendKey val="0"/>
              <c:showVal val="1"/>
              <c:showCatName val="0"/>
              <c:showSerName val="0"/>
              <c:showPercent val="0"/>
              <c:showBubbleSize val="0"/>
            </c:dLbl>
            <c:dLbl>
              <c:idx val="3"/>
              <c:delete val="1"/>
            </c:dLbl>
            <c:dLbl>
              <c:idx val="4"/>
              <c:delete val="1"/>
            </c:dLbl>
            <c:txPr>
              <a:bodyPr rot="-5400000" vert="horz"/>
              <a:lstStyle/>
              <a:p>
                <a:pPr>
                  <a:defRPr/>
                </a:pPr>
                <a:endParaRPr lang="ru-RU"/>
              </a:p>
            </c:txPr>
            <c:showLegendKey val="0"/>
            <c:showVal val="1"/>
            <c:showCatName val="0"/>
            <c:showSerName val="0"/>
            <c:showPercent val="0"/>
            <c:showBubbleSize val="0"/>
            <c:showLeaderLines val="0"/>
          </c:dLbls>
          <c:cat>
            <c:strRef>
              <c:f>'Каспи банк'!$Q$1:$U$1</c:f>
              <c:strCache>
                <c:ptCount val="5"/>
                <c:pt idx="0">
                  <c:v>2016 г.</c:v>
                </c:pt>
                <c:pt idx="1">
                  <c:v>2017 г.</c:v>
                </c:pt>
                <c:pt idx="2">
                  <c:v>2018 г.</c:v>
                </c:pt>
                <c:pt idx="3">
                  <c:v>2019 г.</c:v>
                </c:pt>
                <c:pt idx="4">
                  <c:v>2020 г.</c:v>
                </c:pt>
              </c:strCache>
            </c:strRef>
          </c:cat>
          <c:val>
            <c:numRef>
              <c:f>'Каспи банк'!$Q$3:$U$3</c:f>
              <c:numCache>
                <c:formatCode>General</c:formatCode>
                <c:ptCount val="5"/>
                <c:pt idx="0">
                  <c:v>15.853000000000018</c:v>
                </c:pt>
                <c:pt idx="1">
                  <c:v>15.683</c:v>
                </c:pt>
                <c:pt idx="2">
                  <c:v>11.784000000000001</c:v>
                </c:pt>
                <c:pt idx="3">
                  <c:v>0</c:v>
                </c:pt>
                <c:pt idx="4">
                  <c:v>0</c:v>
                </c:pt>
              </c:numCache>
            </c:numRef>
          </c:val>
        </c:ser>
        <c:ser>
          <c:idx val="2"/>
          <c:order val="2"/>
          <c:tx>
            <c:strRef>
              <c:f>'Каспи банк'!$P$4</c:f>
              <c:strCache>
                <c:ptCount val="1"/>
                <c:pt idx="0">
                  <c:v>Вторая облигационная программа:</c:v>
                </c:pt>
              </c:strCache>
            </c:strRef>
          </c:tx>
          <c:spPr>
            <a:solidFill>
              <a:srgbClr val="92D050"/>
            </a:solidFill>
          </c:spPr>
          <c:invertIfNegative val="0"/>
          <c:dLbls>
            <c:dLbl>
              <c:idx val="0"/>
              <c:layout>
                <c:manualLayout>
                  <c:x val="-9.5128277021320765E-18"/>
                  <c:y val="8.3979328165374942E-2"/>
                </c:manualLayout>
              </c:layout>
              <c:showLegendKey val="0"/>
              <c:showVal val="1"/>
              <c:showCatName val="0"/>
              <c:showSerName val="0"/>
              <c:showPercent val="0"/>
              <c:showBubbleSize val="0"/>
            </c:dLbl>
            <c:dLbl>
              <c:idx val="3"/>
              <c:layout>
                <c:manualLayout>
                  <c:x val="-8.3022000830220068E-3"/>
                  <c:y val="6.4599483204134511E-3"/>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'Каспи банк'!$Q$1:$U$1</c:f>
              <c:strCache>
                <c:ptCount val="5"/>
                <c:pt idx="0">
                  <c:v>2016 г.</c:v>
                </c:pt>
                <c:pt idx="1">
                  <c:v>2017 г.</c:v>
                </c:pt>
                <c:pt idx="2">
                  <c:v>2018 г.</c:v>
                </c:pt>
                <c:pt idx="3">
                  <c:v>2019 г.</c:v>
                </c:pt>
                <c:pt idx="4">
                  <c:v>2020 г.</c:v>
                </c:pt>
              </c:strCache>
            </c:strRef>
          </c:cat>
          <c:val>
            <c:numRef>
              <c:f>'Каспи банк'!$Q$4:$U$4</c:f>
              <c:numCache>
                <c:formatCode>General</c:formatCode>
                <c:ptCount val="5"/>
                <c:pt idx="0">
                  <c:v>15.787000000000001</c:v>
                </c:pt>
                <c:pt idx="1">
                  <c:v>15.627000000000001</c:v>
                </c:pt>
                <c:pt idx="2">
                  <c:v>15.55</c:v>
                </c:pt>
                <c:pt idx="3">
                  <c:v>15.516</c:v>
                </c:pt>
                <c:pt idx="4">
                  <c:v>15.616</c:v>
                </c:pt>
              </c:numCache>
            </c:numRef>
          </c:val>
        </c:ser>
        <c:ser>
          <c:idx val="3"/>
          <c:order val="3"/>
          <c:tx>
            <c:strRef>
              <c:f>'Каспи банк'!$P$5</c:f>
              <c:strCache>
                <c:ptCount val="1"/>
                <c:pt idx="0">
                  <c:v>Третья облигационная программа:</c:v>
                </c:pt>
              </c:strCache>
            </c:strRef>
          </c:tx>
          <c:spPr>
            <a:solidFill>
              <a:schemeClr val="accent4">
                <a:lumMod val="40000"/>
                <a:lumOff val="60000"/>
              </a:schemeClr>
            </a:solidFill>
          </c:spPr>
          <c:invertIfNegative val="0"/>
          <c:dLbls>
            <c:dLbl>
              <c:idx val="0"/>
              <c:layout>
                <c:manualLayout>
                  <c:x val="0"/>
                  <c:y val="0.6007751937984509"/>
                </c:manualLayout>
              </c:layout>
              <c:showLegendKey val="0"/>
              <c:showVal val="1"/>
              <c:showCatName val="0"/>
              <c:showSerName val="0"/>
              <c:showPercent val="0"/>
              <c:showBubbleSize val="0"/>
            </c:dLbl>
            <c:dLbl>
              <c:idx val="1"/>
              <c:layout>
                <c:manualLayout>
                  <c:x val="0"/>
                  <c:y val="0.59431524547803616"/>
                </c:manualLayout>
              </c:layout>
              <c:showLegendKey val="0"/>
              <c:showVal val="1"/>
              <c:showCatName val="0"/>
              <c:showSerName val="0"/>
              <c:showPercent val="0"/>
              <c:showBubbleSize val="0"/>
            </c:dLbl>
            <c:dLbl>
              <c:idx val="2"/>
              <c:layout>
                <c:manualLayout>
                  <c:x val="4.1511000415110008E-3"/>
                  <c:y val="0.58785529715762253"/>
                </c:manualLayout>
              </c:layout>
              <c:showLegendKey val="0"/>
              <c:showVal val="1"/>
              <c:showCatName val="0"/>
              <c:showSerName val="0"/>
              <c:showPercent val="0"/>
              <c:showBubbleSize val="0"/>
            </c:dLbl>
            <c:dLbl>
              <c:idx val="3"/>
              <c:layout>
                <c:manualLayout>
                  <c:x val="-2.0755500207555004E-3"/>
                  <c:y val="0.58139534883720723"/>
                </c:manualLayout>
              </c:layout>
              <c:showLegendKey val="0"/>
              <c:showVal val="1"/>
              <c:showCatName val="0"/>
              <c:showSerName val="0"/>
              <c:showPercent val="0"/>
              <c:showBubbleSize val="0"/>
            </c:dLbl>
            <c:dLbl>
              <c:idx val="4"/>
              <c:layout>
                <c:manualLayout>
                  <c:x val="2.0755500207555004E-3"/>
                  <c:y val="0.59431524547803616"/>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'Каспи банк'!$Q$1:$U$1</c:f>
              <c:strCache>
                <c:ptCount val="5"/>
                <c:pt idx="0">
                  <c:v>2016 г.</c:v>
                </c:pt>
                <c:pt idx="1">
                  <c:v>2017 г.</c:v>
                </c:pt>
                <c:pt idx="2">
                  <c:v>2018 г.</c:v>
                </c:pt>
                <c:pt idx="3">
                  <c:v>2019 г.</c:v>
                </c:pt>
                <c:pt idx="4">
                  <c:v>2020 г.</c:v>
                </c:pt>
              </c:strCache>
            </c:strRef>
          </c:cat>
          <c:val>
            <c:numRef>
              <c:f>'Каспи банк'!$Q$5:$U$5</c:f>
              <c:numCache>
                <c:formatCode>General</c:formatCode>
                <c:ptCount val="5"/>
                <c:pt idx="0">
                  <c:v>143.86700000000027</c:v>
                </c:pt>
                <c:pt idx="1">
                  <c:v>143.869</c:v>
                </c:pt>
                <c:pt idx="2">
                  <c:v>143.25899999999999</c:v>
                </c:pt>
                <c:pt idx="3">
                  <c:v>143.261</c:v>
                </c:pt>
                <c:pt idx="4">
                  <c:v>143.26399999999998</c:v>
                </c:pt>
              </c:numCache>
            </c:numRef>
          </c:val>
        </c:ser>
        <c:ser>
          <c:idx val="5"/>
          <c:order val="5"/>
          <c:tx>
            <c:strRef>
              <c:f>'Каспи банк'!$P$7</c:f>
              <c:strCache>
                <c:ptCount val="1"/>
                <c:pt idx="0">
                  <c:v>Вторая облигационная программа:</c:v>
                </c:pt>
              </c:strCache>
            </c:strRef>
          </c:tx>
          <c:spPr>
            <a:solidFill>
              <a:srgbClr val="FFC000"/>
            </a:solidFill>
          </c:spPr>
          <c:invertIfNegative val="0"/>
          <c:dLbls>
            <c:dLbl>
              <c:idx val="2"/>
              <c:delete val="1"/>
            </c:dLbl>
            <c:dLbl>
              <c:idx val="3"/>
              <c:delete val="1"/>
            </c:dLbl>
            <c:txPr>
              <a:bodyPr rot="-5400000" vert="horz"/>
              <a:lstStyle/>
              <a:p>
                <a:pPr>
                  <a:defRPr/>
                </a:pPr>
                <a:endParaRPr lang="ru-RU"/>
              </a:p>
            </c:txPr>
            <c:showLegendKey val="0"/>
            <c:showVal val="1"/>
            <c:showCatName val="0"/>
            <c:showSerName val="0"/>
            <c:showPercent val="0"/>
            <c:showBubbleSize val="0"/>
            <c:showLeaderLines val="0"/>
          </c:dLbls>
          <c:cat>
            <c:strRef>
              <c:f>'Каспи банк'!$Q$1:$U$1</c:f>
              <c:strCache>
                <c:ptCount val="5"/>
                <c:pt idx="0">
                  <c:v>2016 г.</c:v>
                </c:pt>
                <c:pt idx="1">
                  <c:v>2017 г.</c:v>
                </c:pt>
                <c:pt idx="2">
                  <c:v>2018 г.</c:v>
                </c:pt>
                <c:pt idx="3">
                  <c:v>2019 г.</c:v>
                </c:pt>
                <c:pt idx="4">
                  <c:v>2020 г.</c:v>
                </c:pt>
              </c:strCache>
            </c:strRef>
          </c:cat>
          <c:val>
            <c:numRef>
              <c:f>'Каспи банк'!$Q$7:$U$7</c:f>
              <c:numCache>
                <c:formatCode>General</c:formatCode>
                <c:ptCount val="5"/>
                <c:pt idx="0">
                  <c:v>11.885000000000018</c:v>
                </c:pt>
                <c:pt idx="1">
                  <c:v>11.888</c:v>
                </c:pt>
                <c:pt idx="2">
                  <c:v>0</c:v>
                </c:pt>
                <c:pt idx="3">
                  <c:v>0</c:v>
                </c:pt>
              </c:numCache>
            </c:numRef>
          </c:val>
        </c:ser>
        <c:ser>
          <c:idx val="6"/>
          <c:order val="6"/>
          <c:tx>
            <c:strRef>
              <c:f>'Каспи банк'!$P$8</c:f>
              <c:strCache>
                <c:ptCount val="1"/>
                <c:pt idx="0">
                  <c:v>Третья облигационная программа:</c:v>
                </c:pt>
              </c:strCache>
            </c:strRef>
          </c:tx>
          <c:invertIfNegative val="0"/>
          <c:dLbls>
            <c:dLbl>
              <c:idx val="0"/>
              <c:layout>
                <c:manualLayout>
                  <c:x val="2.0755500207555004E-3"/>
                  <c:y val="0.54263565891472865"/>
                </c:manualLayout>
              </c:layout>
              <c:showLegendKey val="0"/>
              <c:showVal val="1"/>
              <c:showCatName val="0"/>
              <c:showSerName val="0"/>
              <c:showPercent val="0"/>
              <c:showBubbleSize val="0"/>
            </c:dLbl>
            <c:dLbl>
              <c:idx val="1"/>
              <c:layout>
                <c:manualLayout>
                  <c:x val="4.1511000415110008E-3"/>
                  <c:y val="0.54263565891472865"/>
                </c:manualLayout>
              </c:layout>
              <c:showLegendKey val="0"/>
              <c:showVal val="1"/>
              <c:showCatName val="0"/>
              <c:showSerName val="0"/>
              <c:showPercent val="0"/>
              <c:showBubbleSize val="0"/>
            </c:dLbl>
            <c:dLbl>
              <c:idx val="2"/>
              <c:layout>
                <c:manualLayout>
                  <c:x val="2.0755500207555004E-3"/>
                  <c:y val="0.61369509043927939"/>
                </c:manualLayout>
              </c:layout>
              <c:showLegendKey val="0"/>
              <c:showVal val="1"/>
              <c:showCatName val="0"/>
              <c:showSerName val="0"/>
              <c:showPercent val="0"/>
              <c:showBubbleSize val="0"/>
            </c:dLbl>
            <c:dLbl>
              <c:idx val="3"/>
              <c:layout>
                <c:manualLayout>
                  <c:x val="0"/>
                  <c:y val="0.62015503875969125"/>
                </c:manualLayout>
              </c:layout>
              <c:showLegendKey val="0"/>
              <c:showVal val="1"/>
              <c:showCatName val="0"/>
              <c:showSerName val="0"/>
              <c:showPercent val="0"/>
              <c:showBubbleSize val="0"/>
            </c:dLbl>
            <c:dLbl>
              <c:idx val="4"/>
              <c:layout>
                <c:manualLayout>
                  <c:x val="0"/>
                  <c:y val="0.62015503875969125"/>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'Каспи банк'!$Q$1:$U$1</c:f>
              <c:strCache>
                <c:ptCount val="5"/>
                <c:pt idx="0">
                  <c:v>2016 г.</c:v>
                </c:pt>
                <c:pt idx="1">
                  <c:v>2017 г.</c:v>
                </c:pt>
                <c:pt idx="2">
                  <c:v>2018 г.</c:v>
                </c:pt>
                <c:pt idx="3">
                  <c:v>2019 г.</c:v>
                </c:pt>
                <c:pt idx="4">
                  <c:v>2020 г.</c:v>
                </c:pt>
              </c:strCache>
            </c:strRef>
          </c:cat>
          <c:val>
            <c:numRef>
              <c:f>'Каспи банк'!$Q$8:$U$8</c:f>
              <c:numCache>
                <c:formatCode>General</c:formatCode>
                <c:ptCount val="5"/>
                <c:pt idx="0">
                  <c:v>99.444000000000187</c:v>
                </c:pt>
                <c:pt idx="1">
                  <c:v>99.446000000000026</c:v>
                </c:pt>
                <c:pt idx="2">
                  <c:v>138.09399999999999</c:v>
                </c:pt>
                <c:pt idx="3">
                  <c:v>138.57399999999998</c:v>
                </c:pt>
                <c:pt idx="4">
                  <c:v>134.84399999999999</c:v>
                </c:pt>
              </c:numCache>
            </c:numRef>
          </c:val>
        </c:ser>
        <c:dLbls>
          <c:showLegendKey val="0"/>
          <c:showVal val="0"/>
          <c:showCatName val="0"/>
          <c:showSerName val="0"/>
          <c:showPercent val="0"/>
          <c:showBubbleSize val="0"/>
        </c:dLbls>
        <c:gapWidth val="150"/>
        <c:axId val="223480448"/>
        <c:axId val="223494528"/>
      </c:barChart>
      <c:lineChart>
        <c:grouping val="standard"/>
        <c:varyColors val="0"/>
        <c:ser>
          <c:idx val="0"/>
          <c:order val="0"/>
          <c:tx>
            <c:strRef>
              <c:f>'Каспи банк'!$P$2</c:f>
              <c:strCache>
                <c:ptCount val="1"/>
                <c:pt idx="0">
                  <c:v>субординированные долговые ценные бумаги, всего </c:v>
                </c:pt>
              </c:strCache>
            </c:strRef>
          </c:tx>
          <c:dLbls>
            <c:dLbl>
              <c:idx val="0"/>
              <c:layout>
                <c:manualLayout>
                  <c:x val="-4.5662100456621099E-2"/>
                  <c:y val="-4.5219638242894072E-2"/>
                </c:manualLayout>
              </c:layout>
              <c:showLegendKey val="0"/>
              <c:showVal val="1"/>
              <c:showCatName val="0"/>
              <c:showSerName val="0"/>
              <c:showPercent val="0"/>
              <c:showBubbleSize val="0"/>
            </c:dLbl>
            <c:dLbl>
              <c:idx val="1"/>
              <c:layout>
                <c:manualLayout>
                  <c:x val="-3.9435450394354504E-2"/>
                  <c:y val="-5.1679586563307352E-2"/>
                </c:manualLayout>
              </c:layout>
              <c:showLegendKey val="0"/>
              <c:showVal val="1"/>
              <c:showCatName val="0"/>
              <c:showSerName val="0"/>
              <c:showPercent val="0"/>
              <c:showBubbleSize val="0"/>
            </c:dLbl>
            <c:dLbl>
              <c:idx val="2"/>
              <c:layout>
                <c:manualLayout>
                  <c:x val="-4.3586550435865505E-2"/>
                  <c:y val="-4.5219638242894072E-2"/>
                </c:manualLayout>
              </c:layout>
              <c:showLegendKey val="0"/>
              <c:showVal val="1"/>
              <c:showCatName val="0"/>
              <c:showSerName val="0"/>
              <c:showPercent val="0"/>
              <c:showBubbleSize val="0"/>
            </c:dLbl>
            <c:dLbl>
              <c:idx val="3"/>
              <c:layout>
                <c:manualLayout>
                  <c:x val="-5.3964300539643024E-2"/>
                  <c:y val="-8.3979328165374942E-2"/>
                </c:manualLayout>
              </c:layout>
              <c:showLegendKey val="0"/>
              <c:showVal val="1"/>
              <c:showCatName val="0"/>
              <c:showSerName val="0"/>
              <c:showPercent val="0"/>
              <c:showBubbleSize val="0"/>
            </c:dLbl>
            <c:dLbl>
              <c:idx val="4"/>
              <c:layout>
                <c:manualLayout>
                  <c:x val="-4.5662100456621134E-2"/>
                  <c:y val="-6.459948320413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'Каспи банк'!$Q$1:$U$1</c:f>
              <c:strCache>
                <c:ptCount val="5"/>
                <c:pt idx="0">
                  <c:v>2016 г.</c:v>
                </c:pt>
                <c:pt idx="1">
                  <c:v>2017 г.</c:v>
                </c:pt>
                <c:pt idx="2">
                  <c:v>2018 г.</c:v>
                </c:pt>
                <c:pt idx="3">
                  <c:v>2019 г.</c:v>
                </c:pt>
                <c:pt idx="4">
                  <c:v>2020 г.</c:v>
                </c:pt>
              </c:strCache>
            </c:strRef>
          </c:cat>
          <c:val>
            <c:numRef>
              <c:f>'Каспи банк'!$Q$2:$U$2</c:f>
              <c:numCache>
                <c:formatCode>General</c:formatCode>
                <c:ptCount val="5"/>
                <c:pt idx="0">
                  <c:v>175.50700000000001</c:v>
                </c:pt>
                <c:pt idx="1">
                  <c:v>175.17899999999997</c:v>
                </c:pt>
                <c:pt idx="2">
                  <c:v>170.59300000000002</c:v>
                </c:pt>
                <c:pt idx="3">
                  <c:v>158.77699999999999</c:v>
                </c:pt>
                <c:pt idx="4">
                  <c:v>158.88000000000028</c:v>
                </c:pt>
              </c:numCache>
            </c:numRef>
          </c:val>
          <c:smooth val="0"/>
        </c:ser>
        <c:ser>
          <c:idx val="4"/>
          <c:order val="4"/>
          <c:tx>
            <c:strRef>
              <c:f>'Каспи банк'!$P$6</c:f>
              <c:strCache>
                <c:ptCount val="1"/>
                <c:pt idx="0">
                  <c:v>несубординированные долговые ценные бумаги, всего </c:v>
                </c:pt>
              </c:strCache>
            </c:strRef>
          </c:tx>
          <c:dLbls>
            <c:dLbl>
              <c:idx val="0"/>
              <c:layout>
                <c:manualLayout>
                  <c:x val="-4.5662100456621099E-2"/>
                  <c:y val="-5.813953488372102E-2"/>
                </c:manualLayout>
              </c:layout>
              <c:showLegendKey val="0"/>
              <c:showVal val="1"/>
              <c:showCatName val="0"/>
              <c:showSerName val="0"/>
              <c:showPercent val="0"/>
              <c:showBubbleSize val="0"/>
            </c:dLbl>
            <c:dLbl>
              <c:idx val="1"/>
              <c:layout>
                <c:manualLayout>
                  <c:x val="-5.1888750518887486E-2"/>
                  <c:y val="-6.45994832041345E-2"/>
                </c:manualLayout>
              </c:layout>
              <c:showLegendKey val="0"/>
              <c:showVal val="1"/>
              <c:showCatName val="0"/>
              <c:showSerName val="0"/>
              <c:showPercent val="0"/>
              <c:showBubbleSize val="0"/>
            </c:dLbl>
            <c:dLbl>
              <c:idx val="2"/>
              <c:layout>
                <c:manualLayout>
                  <c:x val="-4.3586550435865505E-2"/>
                  <c:y val="-3.2299741602067229E-2"/>
                </c:manualLayout>
              </c:layout>
              <c:showLegendKey val="0"/>
              <c:showVal val="1"/>
              <c:showCatName val="0"/>
              <c:showSerName val="0"/>
              <c:showPercent val="0"/>
              <c:showBubbleSize val="0"/>
            </c:dLbl>
            <c:dLbl>
              <c:idx val="3"/>
              <c:layout>
                <c:manualLayout>
                  <c:x val="-4.5662100456621106E-2"/>
                  <c:y val="-1.291989664082684E-2"/>
                </c:manualLayout>
              </c:layout>
              <c:showLegendKey val="0"/>
              <c:showVal val="1"/>
              <c:showCatName val="0"/>
              <c:showSerName val="0"/>
              <c:showPercent val="0"/>
              <c:showBubbleSize val="0"/>
            </c:dLbl>
            <c:dLbl>
              <c:idx val="4"/>
              <c:layout>
                <c:manualLayout>
                  <c:x val="-4.5662100456621134E-2"/>
                  <c:y val="-3.875968992248058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'Каспи банк'!$Q$1:$U$1</c:f>
              <c:strCache>
                <c:ptCount val="5"/>
                <c:pt idx="0">
                  <c:v>2016 г.</c:v>
                </c:pt>
                <c:pt idx="1">
                  <c:v>2017 г.</c:v>
                </c:pt>
                <c:pt idx="2">
                  <c:v>2018 г.</c:v>
                </c:pt>
                <c:pt idx="3">
                  <c:v>2019 г.</c:v>
                </c:pt>
                <c:pt idx="4">
                  <c:v>2020 г.</c:v>
                </c:pt>
              </c:strCache>
            </c:strRef>
          </c:cat>
          <c:val>
            <c:numRef>
              <c:f>'Каспи банк'!$Q$6:$U$6</c:f>
              <c:numCache>
                <c:formatCode>General</c:formatCode>
                <c:ptCount val="5"/>
                <c:pt idx="0">
                  <c:v>111.32899999999998</c:v>
                </c:pt>
                <c:pt idx="1">
                  <c:v>111.334</c:v>
                </c:pt>
                <c:pt idx="2">
                  <c:v>138.09399999999999</c:v>
                </c:pt>
                <c:pt idx="3">
                  <c:v>138.57399999999998</c:v>
                </c:pt>
                <c:pt idx="4">
                  <c:v>134.84399999999999</c:v>
                </c:pt>
              </c:numCache>
            </c:numRef>
          </c:val>
          <c:smooth val="0"/>
        </c:ser>
        <c:dLbls>
          <c:showLegendKey val="0"/>
          <c:showVal val="0"/>
          <c:showCatName val="0"/>
          <c:showSerName val="0"/>
          <c:showPercent val="0"/>
          <c:showBubbleSize val="0"/>
        </c:dLbls>
        <c:marker val="1"/>
        <c:smooth val="0"/>
        <c:axId val="223497600"/>
        <c:axId val="223496064"/>
      </c:lineChart>
      <c:catAx>
        <c:axId val="223480448"/>
        <c:scaling>
          <c:orientation val="minMax"/>
        </c:scaling>
        <c:delete val="0"/>
        <c:axPos val="b"/>
        <c:majorTickMark val="out"/>
        <c:minorTickMark val="none"/>
        <c:tickLblPos val="nextTo"/>
        <c:crossAx val="223494528"/>
        <c:crosses val="autoZero"/>
        <c:auto val="1"/>
        <c:lblAlgn val="ctr"/>
        <c:lblOffset val="100"/>
        <c:noMultiLvlLbl val="0"/>
      </c:catAx>
      <c:valAx>
        <c:axId val="223494528"/>
        <c:scaling>
          <c:orientation val="minMax"/>
        </c:scaling>
        <c:delete val="0"/>
        <c:axPos val="l"/>
        <c:majorGridlines/>
        <c:numFmt formatCode="General" sourceLinked="1"/>
        <c:majorTickMark val="out"/>
        <c:minorTickMark val="none"/>
        <c:tickLblPos val="nextTo"/>
        <c:crossAx val="223480448"/>
        <c:crosses val="autoZero"/>
        <c:crossBetween val="between"/>
      </c:valAx>
      <c:valAx>
        <c:axId val="223496064"/>
        <c:scaling>
          <c:orientation val="minMax"/>
        </c:scaling>
        <c:delete val="0"/>
        <c:axPos val="r"/>
        <c:numFmt formatCode="General" sourceLinked="1"/>
        <c:majorTickMark val="out"/>
        <c:minorTickMark val="none"/>
        <c:tickLblPos val="nextTo"/>
        <c:crossAx val="223497600"/>
        <c:crosses val="max"/>
        <c:crossBetween val="between"/>
      </c:valAx>
      <c:catAx>
        <c:axId val="223497600"/>
        <c:scaling>
          <c:orientation val="minMax"/>
        </c:scaling>
        <c:delete val="1"/>
        <c:axPos val="b"/>
        <c:majorTickMark val="out"/>
        <c:minorTickMark val="none"/>
        <c:tickLblPos val="none"/>
        <c:crossAx val="223496064"/>
        <c:crosses val="autoZero"/>
        <c:auto val="1"/>
        <c:lblAlgn val="ctr"/>
        <c:lblOffset val="100"/>
        <c:noMultiLvlLbl val="0"/>
      </c:catAx>
    </c:plotArea>
    <c:legend>
      <c:legendPos val="r"/>
      <c:layout>
        <c:manualLayout>
          <c:xMode val="edge"/>
          <c:yMode val="edge"/>
          <c:x val="0.67079031061341821"/>
          <c:y val="1.3528091597246003E-2"/>
          <c:w val="0.32675575506076782"/>
          <c:h val="0.98480923580204649"/>
        </c:manualLayout>
      </c:layout>
      <c:overlay val="0"/>
      <c:txPr>
        <a:bodyPr/>
        <a:lstStyle/>
        <a:p>
          <a:pPr>
            <a:defRPr sz="1000"/>
          </a:pPr>
          <a:endParaRPr lang="ru-RU"/>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242518382472665E-2"/>
          <c:y val="5.3028814946518885E-2"/>
          <c:w val="0.53860840285783163"/>
          <c:h val="0.8939423701069612"/>
        </c:manualLayout>
      </c:layout>
      <c:radarChart>
        <c:radarStyle val="marker"/>
        <c:varyColors val="0"/>
        <c:ser>
          <c:idx val="0"/>
          <c:order val="0"/>
          <c:tx>
            <c:strRef>
              <c:f>Лист2!$C$1</c:f>
              <c:strCache>
                <c:ptCount val="1"/>
                <c:pt idx="0">
                  <c:v>АО Halyk bank</c:v>
                </c:pt>
              </c:strCache>
            </c:strRef>
          </c:tx>
          <c:cat>
            <c:strRef>
              <c:f>Лист2!$B$2:$B$22</c:f>
              <c:strCache>
                <c:ptCount val="21"/>
                <c:pt idx="0">
                  <c:v>EX1</c:v>
                </c:pt>
                <c:pt idx="1">
                  <c:v>EX2</c:v>
                </c:pt>
                <c:pt idx="2">
                  <c:v>EX3</c:v>
                </c:pt>
                <c:pt idx="3">
                  <c:v>EX4</c:v>
                </c:pt>
                <c:pt idx="4">
                  <c:v>EX5</c:v>
                </c:pt>
                <c:pt idx="5">
                  <c:v>EX6</c:v>
                </c:pt>
                <c:pt idx="6">
                  <c:v>EX7</c:v>
                </c:pt>
                <c:pt idx="7">
                  <c:v>EX8</c:v>
                </c:pt>
                <c:pt idx="8">
                  <c:v>EX9</c:v>
                </c:pt>
                <c:pt idx="9">
                  <c:v>EX10</c:v>
                </c:pt>
                <c:pt idx="10">
                  <c:v>EX11</c:v>
                </c:pt>
                <c:pt idx="11">
                  <c:v>EX12</c:v>
                </c:pt>
                <c:pt idx="12">
                  <c:v>IN1</c:v>
                </c:pt>
                <c:pt idx="13">
                  <c:v>IN2</c:v>
                </c:pt>
                <c:pt idx="14">
                  <c:v>IN3</c:v>
                </c:pt>
                <c:pt idx="15">
                  <c:v>IN4</c:v>
                </c:pt>
                <c:pt idx="16">
                  <c:v>IN5</c:v>
                </c:pt>
                <c:pt idx="17">
                  <c:v>IN6</c:v>
                </c:pt>
                <c:pt idx="18">
                  <c:v>IN7</c:v>
                </c:pt>
                <c:pt idx="19">
                  <c:v>IN8</c:v>
                </c:pt>
                <c:pt idx="20">
                  <c:v>IN9</c:v>
                </c:pt>
              </c:strCache>
            </c:strRef>
          </c:cat>
          <c:val>
            <c:numRef>
              <c:f>Лист2!$C$2:$C$22</c:f>
              <c:numCache>
                <c:formatCode>General</c:formatCode>
                <c:ptCount val="21"/>
                <c:pt idx="0">
                  <c:v>0.51</c:v>
                </c:pt>
                <c:pt idx="1">
                  <c:v>0.83100000000000063</c:v>
                </c:pt>
                <c:pt idx="2">
                  <c:v>-0.19500000000000001</c:v>
                </c:pt>
                <c:pt idx="3">
                  <c:v>-9.5000000000000043E-2</c:v>
                </c:pt>
                <c:pt idx="4">
                  <c:v>0.51300000000000001</c:v>
                </c:pt>
                <c:pt idx="5">
                  <c:v>0.41100000000000031</c:v>
                </c:pt>
                <c:pt idx="6">
                  <c:v>-0.39000000000000062</c:v>
                </c:pt>
                <c:pt idx="7">
                  <c:v>0.78600000000000003</c:v>
                </c:pt>
                <c:pt idx="8">
                  <c:v>0.30200000000000032</c:v>
                </c:pt>
                <c:pt idx="9">
                  <c:v>0.4</c:v>
                </c:pt>
                <c:pt idx="10">
                  <c:v>0.60100000000000064</c:v>
                </c:pt>
                <c:pt idx="11">
                  <c:v>0.35200000000000031</c:v>
                </c:pt>
                <c:pt idx="12">
                  <c:v>0.21000000000000021</c:v>
                </c:pt>
                <c:pt idx="13">
                  <c:v>0.63200000000000123</c:v>
                </c:pt>
                <c:pt idx="14">
                  <c:v>8.3000000000000046E-2</c:v>
                </c:pt>
                <c:pt idx="15">
                  <c:v>0.503</c:v>
                </c:pt>
                <c:pt idx="16">
                  <c:v>-0.47800000000000031</c:v>
                </c:pt>
                <c:pt idx="17">
                  <c:v>-0.36600000000000038</c:v>
                </c:pt>
                <c:pt idx="18">
                  <c:v>0.70300000000000062</c:v>
                </c:pt>
                <c:pt idx="19">
                  <c:v>0.31200000000000055</c:v>
                </c:pt>
                <c:pt idx="20">
                  <c:v>0.29300000000000032</c:v>
                </c:pt>
              </c:numCache>
            </c:numRef>
          </c:val>
        </c:ser>
        <c:ser>
          <c:idx val="1"/>
          <c:order val="1"/>
          <c:tx>
            <c:strRef>
              <c:f>Лист2!$D$1</c:f>
              <c:strCache>
                <c:ptCount val="1"/>
                <c:pt idx="0">
                  <c:v>АО АТФБанк</c:v>
                </c:pt>
              </c:strCache>
            </c:strRef>
          </c:tx>
          <c:cat>
            <c:strRef>
              <c:f>Лист2!$B$2:$B$22</c:f>
              <c:strCache>
                <c:ptCount val="21"/>
                <c:pt idx="0">
                  <c:v>EX1</c:v>
                </c:pt>
                <c:pt idx="1">
                  <c:v>EX2</c:v>
                </c:pt>
                <c:pt idx="2">
                  <c:v>EX3</c:v>
                </c:pt>
                <c:pt idx="3">
                  <c:v>EX4</c:v>
                </c:pt>
                <c:pt idx="4">
                  <c:v>EX5</c:v>
                </c:pt>
                <c:pt idx="5">
                  <c:v>EX6</c:v>
                </c:pt>
                <c:pt idx="6">
                  <c:v>EX7</c:v>
                </c:pt>
                <c:pt idx="7">
                  <c:v>EX8</c:v>
                </c:pt>
                <c:pt idx="8">
                  <c:v>EX9</c:v>
                </c:pt>
                <c:pt idx="9">
                  <c:v>EX10</c:v>
                </c:pt>
                <c:pt idx="10">
                  <c:v>EX11</c:v>
                </c:pt>
                <c:pt idx="11">
                  <c:v>EX12</c:v>
                </c:pt>
                <c:pt idx="12">
                  <c:v>IN1</c:v>
                </c:pt>
                <c:pt idx="13">
                  <c:v>IN2</c:v>
                </c:pt>
                <c:pt idx="14">
                  <c:v>IN3</c:v>
                </c:pt>
                <c:pt idx="15">
                  <c:v>IN4</c:v>
                </c:pt>
                <c:pt idx="16">
                  <c:v>IN5</c:v>
                </c:pt>
                <c:pt idx="17">
                  <c:v>IN6</c:v>
                </c:pt>
                <c:pt idx="18">
                  <c:v>IN7</c:v>
                </c:pt>
                <c:pt idx="19">
                  <c:v>IN8</c:v>
                </c:pt>
                <c:pt idx="20">
                  <c:v>IN9</c:v>
                </c:pt>
              </c:strCache>
            </c:strRef>
          </c:cat>
          <c:val>
            <c:numRef>
              <c:f>Лист2!$D$2:$D$22</c:f>
              <c:numCache>
                <c:formatCode>General</c:formatCode>
                <c:ptCount val="21"/>
                <c:pt idx="0">
                  <c:v>0.41000000000000031</c:v>
                </c:pt>
                <c:pt idx="1">
                  <c:v>0.72000000000000064</c:v>
                </c:pt>
                <c:pt idx="2">
                  <c:v>-4.5000000000000012E-2</c:v>
                </c:pt>
                <c:pt idx="3">
                  <c:v>-8.0000000000000043E-2</c:v>
                </c:pt>
                <c:pt idx="4">
                  <c:v>0.39900000000000074</c:v>
                </c:pt>
                <c:pt idx="5">
                  <c:v>0.37000000000000038</c:v>
                </c:pt>
                <c:pt idx="6">
                  <c:v>-4.1000000000000002E-2</c:v>
                </c:pt>
                <c:pt idx="7">
                  <c:v>0.64400000000000124</c:v>
                </c:pt>
                <c:pt idx="8">
                  <c:v>0.28800000000000031</c:v>
                </c:pt>
                <c:pt idx="9">
                  <c:v>0.51</c:v>
                </c:pt>
                <c:pt idx="10">
                  <c:v>0.55300000000000005</c:v>
                </c:pt>
                <c:pt idx="11">
                  <c:v>0.36200000000000032</c:v>
                </c:pt>
                <c:pt idx="12">
                  <c:v>0.65200000000000136</c:v>
                </c:pt>
                <c:pt idx="13">
                  <c:v>0.70100000000000062</c:v>
                </c:pt>
                <c:pt idx="14">
                  <c:v>0.29700000000000032</c:v>
                </c:pt>
                <c:pt idx="15">
                  <c:v>0.41200000000000031</c:v>
                </c:pt>
                <c:pt idx="16">
                  <c:v>-0.52800000000000002</c:v>
                </c:pt>
                <c:pt idx="17">
                  <c:v>-0.13500000000000001</c:v>
                </c:pt>
                <c:pt idx="18">
                  <c:v>0.68700000000000061</c:v>
                </c:pt>
                <c:pt idx="19">
                  <c:v>0.41400000000000031</c:v>
                </c:pt>
                <c:pt idx="20">
                  <c:v>0.29900000000000032</c:v>
                </c:pt>
              </c:numCache>
            </c:numRef>
          </c:val>
        </c:ser>
        <c:ser>
          <c:idx val="2"/>
          <c:order val="2"/>
          <c:tx>
            <c:strRef>
              <c:f>Лист2!$E$1</c:f>
              <c:strCache>
                <c:ptCount val="1"/>
                <c:pt idx="0">
                  <c:v>АО Kaspi bank</c:v>
                </c:pt>
              </c:strCache>
            </c:strRef>
          </c:tx>
          <c:cat>
            <c:strRef>
              <c:f>Лист2!$B$2:$B$22</c:f>
              <c:strCache>
                <c:ptCount val="21"/>
                <c:pt idx="0">
                  <c:v>EX1</c:v>
                </c:pt>
                <c:pt idx="1">
                  <c:v>EX2</c:v>
                </c:pt>
                <c:pt idx="2">
                  <c:v>EX3</c:v>
                </c:pt>
                <c:pt idx="3">
                  <c:v>EX4</c:v>
                </c:pt>
                <c:pt idx="4">
                  <c:v>EX5</c:v>
                </c:pt>
                <c:pt idx="5">
                  <c:v>EX6</c:v>
                </c:pt>
                <c:pt idx="6">
                  <c:v>EX7</c:v>
                </c:pt>
                <c:pt idx="7">
                  <c:v>EX8</c:v>
                </c:pt>
                <c:pt idx="8">
                  <c:v>EX9</c:v>
                </c:pt>
                <c:pt idx="9">
                  <c:v>EX10</c:v>
                </c:pt>
                <c:pt idx="10">
                  <c:v>EX11</c:v>
                </c:pt>
                <c:pt idx="11">
                  <c:v>EX12</c:v>
                </c:pt>
                <c:pt idx="12">
                  <c:v>IN1</c:v>
                </c:pt>
                <c:pt idx="13">
                  <c:v>IN2</c:v>
                </c:pt>
                <c:pt idx="14">
                  <c:v>IN3</c:v>
                </c:pt>
                <c:pt idx="15">
                  <c:v>IN4</c:v>
                </c:pt>
                <c:pt idx="16">
                  <c:v>IN5</c:v>
                </c:pt>
                <c:pt idx="17">
                  <c:v>IN6</c:v>
                </c:pt>
                <c:pt idx="18">
                  <c:v>IN7</c:v>
                </c:pt>
                <c:pt idx="19">
                  <c:v>IN8</c:v>
                </c:pt>
                <c:pt idx="20">
                  <c:v>IN9</c:v>
                </c:pt>
              </c:strCache>
            </c:strRef>
          </c:cat>
          <c:val>
            <c:numRef>
              <c:f>Лист2!$E$2:$E$22</c:f>
              <c:numCache>
                <c:formatCode>General</c:formatCode>
                <c:ptCount val="21"/>
                <c:pt idx="0">
                  <c:v>0.72300000000000064</c:v>
                </c:pt>
                <c:pt idx="1">
                  <c:v>0.58699999999999997</c:v>
                </c:pt>
                <c:pt idx="2">
                  <c:v>-0.10100000000000002</c:v>
                </c:pt>
                <c:pt idx="3">
                  <c:v>-9.0000000000000028E-3</c:v>
                </c:pt>
                <c:pt idx="4">
                  <c:v>0.52300000000000002</c:v>
                </c:pt>
                <c:pt idx="5">
                  <c:v>0.19900000000000001</c:v>
                </c:pt>
                <c:pt idx="6">
                  <c:v>-8.3000000000000046E-2</c:v>
                </c:pt>
                <c:pt idx="7">
                  <c:v>0.70200000000000062</c:v>
                </c:pt>
                <c:pt idx="8">
                  <c:v>0.44</c:v>
                </c:pt>
                <c:pt idx="9">
                  <c:v>0.42100000000000032</c:v>
                </c:pt>
                <c:pt idx="10">
                  <c:v>0.72300000000000064</c:v>
                </c:pt>
                <c:pt idx="11">
                  <c:v>0.71100000000000063</c:v>
                </c:pt>
                <c:pt idx="12">
                  <c:v>0.47800000000000031</c:v>
                </c:pt>
                <c:pt idx="13">
                  <c:v>0.45600000000000002</c:v>
                </c:pt>
                <c:pt idx="14">
                  <c:v>0.192</c:v>
                </c:pt>
                <c:pt idx="15">
                  <c:v>0.33800000000000074</c:v>
                </c:pt>
                <c:pt idx="16">
                  <c:v>-0.30300000000000032</c:v>
                </c:pt>
                <c:pt idx="17">
                  <c:v>-0.10100000000000002</c:v>
                </c:pt>
                <c:pt idx="18">
                  <c:v>0.70200000000000062</c:v>
                </c:pt>
                <c:pt idx="19">
                  <c:v>0.38000000000000062</c:v>
                </c:pt>
                <c:pt idx="20">
                  <c:v>0.33200000000000074</c:v>
                </c:pt>
              </c:numCache>
            </c:numRef>
          </c:val>
        </c:ser>
        <c:dLbls>
          <c:showLegendKey val="0"/>
          <c:showVal val="0"/>
          <c:showCatName val="0"/>
          <c:showSerName val="0"/>
          <c:showPercent val="0"/>
          <c:showBubbleSize val="0"/>
        </c:dLbls>
        <c:axId val="223532928"/>
        <c:axId val="223534464"/>
      </c:radarChart>
      <c:catAx>
        <c:axId val="223532928"/>
        <c:scaling>
          <c:orientation val="minMax"/>
        </c:scaling>
        <c:delete val="0"/>
        <c:axPos val="b"/>
        <c:majorGridlines/>
        <c:majorTickMark val="out"/>
        <c:minorTickMark val="none"/>
        <c:tickLblPos val="nextTo"/>
        <c:crossAx val="223534464"/>
        <c:crosses val="autoZero"/>
        <c:auto val="1"/>
        <c:lblAlgn val="ctr"/>
        <c:lblOffset val="100"/>
        <c:noMultiLvlLbl val="0"/>
      </c:catAx>
      <c:valAx>
        <c:axId val="223534464"/>
        <c:scaling>
          <c:orientation val="minMax"/>
        </c:scaling>
        <c:delete val="0"/>
        <c:axPos val="l"/>
        <c:majorGridlines/>
        <c:numFmt formatCode="General" sourceLinked="1"/>
        <c:majorTickMark val="out"/>
        <c:minorTickMark val="none"/>
        <c:tickLblPos val="nextTo"/>
        <c:crossAx val="223532928"/>
        <c:crosses val="autoZero"/>
        <c:crossBetween val="between"/>
      </c:valAx>
    </c:plotArea>
    <c:legend>
      <c:legendPos val="r"/>
      <c:layout>
        <c:manualLayout>
          <c:xMode val="edge"/>
          <c:yMode val="edge"/>
          <c:x val="0.716387428928704"/>
          <c:y val="0.35545762424858185"/>
          <c:w val="0.19296939619520326"/>
          <c:h val="0.1824104648209303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Лист12!$A$2</c:f>
              <c:strCache>
                <c:ptCount val="1"/>
                <c:pt idx="0">
                  <c:v>АО Halyk Bank</c:v>
                </c:pt>
              </c:strCache>
            </c:strRef>
          </c:tx>
          <c:invertIfNegative val="0"/>
          <c:dLbls>
            <c:dLbl>
              <c:idx val="0"/>
              <c:layout>
                <c:manualLayout>
                  <c:x val="0"/>
                  <c:y val="0.43518518518518573"/>
                </c:manualLayout>
              </c:layout>
              <c:showLegendKey val="0"/>
              <c:showVal val="1"/>
              <c:showCatName val="0"/>
              <c:showSerName val="0"/>
              <c:showPercent val="0"/>
              <c:showBubbleSize val="0"/>
            </c:dLbl>
            <c:dLbl>
              <c:idx val="1"/>
              <c:layout>
                <c:manualLayout>
                  <c:x val="0"/>
                  <c:y val="0.45833333333333326"/>
                </c:manualLayout>
              </c:layout>
              <c:showLegendKey val="0"/>
              <c:showVal val="1"/>
              <c:showCatName val="0"/>
              <c:showSerName val="0"/>
              <c:showPercent val="0"/>
              <c:showBubbleSize val="0"/>
            </c:dLbl>
            <c:dLbl>
              <c:idx val="2"/>
              <c:layout>
                <c:manualLayout>
                  <c:x val="0"/>
                  <c:y val="0.52777777777777779"/>
                </c:manualLayout>
              </c:layout>
              <c:showLegendKey val="0"/>
              <c:showVal val="1"/>
              <c:showCatName val="0"/>
              <c:showSerName val="0"/>
              <c:showPercent val="0"/>
              <c:showBubbleSize val="0"/>
            </c:dLbl>
            <c:dLbl>
              <c:idx val="3"/>
              <c:layout>
                <c:manualLayout>
                  <c:x val="0"/>
                  <c:y val="0.48148148148148207"/>
                </c:manualLayout>
              </c:layout>
              <c:showLegendKey val="0"/>
              <c:showVal val="1"/>
              <c:showCatName val="0"/>
              <c:showSerName val="0"/>
              <c:showPercent val="0"/>
              <c:showBubbleSize val="0"/>
            </c:dLbl>
            <c:dLbl>
              <c:idx val="4"/>
              <c:layout>
                <c:manualLayout>
                  <c:x val="0"/>
                  <c:y val="0.47685185185185253"/>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Лист12!$B$1:$F$1</c:f>
              <c:strCache>
                <c:ptCount val="5"/>
                <c:pt idx="0">
                  <c:v>2016 г.</c:v>
                </c:pt>
                <c:pt idx="1">
                  <c:v>2017 г.</c:v>
                </c:pt>
                <c:pt idx="2">
                  <c:v>2018 г.</c:v>
                </c:pt>
                <c:pt idx="3">
                  <c:v>2019 г.</c:v>
                </c:pt>
                <c:pt idx="4">
                  <c:v>2020 г.</c:v>
                </c:pt>
              </c:strCache>
            </c:strRef>
          </c:cat>
          <c:val>
            <c:numRef>
              <c:f>Лист12!$B$2:$F$2</c:f>
              <c:numCache>
                <c:formatCode>General</c:formatCode>
                <c:ptCount val="5"/>
                <c:pt idx="0">
                  <c:v>1343.1399999999999</c:v>
                </c:pt>
                <c:pt idx="1">
                  <c:v>1373.22</c:v>
                </c:pt>
                <c:pt idx="2">
                  <c:v>1566.4</c:v>
                </c:pt>
                <c:pt idx="3">
                  <c:v>1443.1</c:v>
                </c:pt>
                <c:pt idx="4">
                  <c:v>1416.6699999999998</c:v>
                </c:pt>
              </c:numCache>
            </c:numRef>
          </c:val>
        </c:ser>
        <c:ser>
          <c:idx val="1"/>
          <c:order val="1"/>
          <c:tx>
            <c:strRef>
              <c:f>Лист12!$A$3</c:f>
              <c:strCache>
                <c:ptCount val="1"/>
                <c:pt idx="0">
                  <c:v>АО АТФБанк</c:v>
                </c:pt>
              </c:strCache>
            </c:strRef>
          </c:tx>
          <c:invertIfNegative val="0"/>
          <c:dLbls>
            <c:dLbl>
              <c:idx val="0"/>
              <c:layout>
                <c:manualLayout>
                  <c:x val="-2.043035004106989E-3"/>
                  <c:y val="0.65740740740740855"/>
                </c:manualLayout>
              </c:layout>
              <c:showLegendKey val="0"/>
              <c:showVal val="1"/>
              <c:showCatName val="0"/>
              <c:showSerName val="0"/>
              <c:showPercent val="0"/>
              <c:showBubbleSize val="0"/>
            </c:dLbl>
            <c:dLbl>
              <c:idx val="1"/>
              <c:layout>
                <c:manualLayout>
                  <c:x val="0"/>
                  <c:y val="0.54166666666666652"/>
                </c:manualLayout>
              </c:layout>
              <c:showLegendKey val="0"/>
              <c:showVal val="1"/>
              <c:showCatName val="0"/>
              <c:showSerName val="0"/>
              <c:showPercent val="0"/>
              <c:showBubbleSize val="0"/>
            </c:dLbl>
            <c:dLbl>
              <c:idx val="2"/>
              <c:layout>
                <c:manualLayout>
                  <c:x val="0"/>
                  <c:y val="0.56481481481481588"/>
                </c:manualLayout>
              </c:layout>
              <c:showLegendKey val="0"/>
              <c:showVal val="1"/>
              <c:showCatName val="0"/>
              <c:showSerName val="0"/>
              <c:showPercent val="0"/>
              <c:showBubbleSize val="0"/>
            </c:dLbl>
            <c:dLbl>
              <c:idx val="3"/>
              <c:layout>
                <c:manualLayout>
                  <c:x val="-2.043035004106989E-3"/>
                  <c:y val="0.58333333333333337"/>
                </c:manualLayout>
              </c:layout>
              <c:showLegendKey val="0"/>
              <c:showVal val="1"/>
              <c:showCatName val="0"/>
              <c:showSerName val="0"/>
              <c:showPercent val="0"/>
              <c:showBubbleSize val="0"/>
            </c:dLbl>
            <c:dLbl>
              <c:idx val="4"/>
              <c:layout>
                <c:manualLayout>
                  <c:x val="0"/>
                  <c:y val="0.6111111111111116"/>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Лист12!$B$1:$F$1</c:f>
              <c:strCache>
                <c:ptCount val="5"/>
                <c:pt idx="0">
                  <c:v>2016 г.</c:v>
                </c:pt>
                <c:pt idx="1">
                  <c:v>2017 г.</c:v>
                </c:pt>
                <c:pt idx="2">
                  <c:v>2018 г.</c:v>
                </c:pt>
                <c:pt idx="3">
                  <c:v>2019 г.</c:v>
                </c:pt>
                <c:pt idx="4">
                  <c:v>2020 г.</c:v>
                </c:pt>
              </c:strCache>
            </c:strRef>
          </c:cat>
          <c:val>
            <c:numRef>
              <c:f>Лист12!$B$3:$F$3</c:f>
              <c:numCache>
                <c:formatCode>General</c:formatCode>
                <c:ptCount val="5"/>
                <c:pt idx="0">
                  <c:v>1967.08</c:v>
                </c:pt>
                <c:pt idx="1">
                  <c:v>1660.52</c:v>
                </c:pt>
                <c:pt idx="2">
                  <c:v>1734</c:v>
                </c:pt>
                <c:pt idx="3">
                  <c:v>1769.57</c:v>
                </c:pt>
                <c:pt idx="4">
                  <c:v>1863.93</c:v>
                </c:pt>
              </c:numCache>
            </c:numRef>
          </c:val>
        </c:ser>
        <c:ser>
          <c:idx val="2"/>
          <c:order val="2"/>
          <c:tx>
            <c:strRef>
              <c:f>Лист12!$A$4</c:f>
              <c:strCache>
                <c:ptCount val="1"/>
                <c:pt idx="0">
                  <c:v>АО Kaspi bank</c:v>
                </c:pt>
              </c:strCache>
            </c:strRef>
          </c:tx>
          <c:invertIfNegative val="0"/>
          <c:dLbls>
            <c:dLbl>
              <c:idx val="0"/>
              <c:layout>
                <c:manualLayout>
                  <c:x val="2.043035004106989E-3"/>
                  <c:y val="0.50925925925925919"/>
                </c:manualLayout>
              </c:layout>
              <c:showLegendKey val="0"/>
              <c:showVal val="1"/>
              <c:showCatName val="0"/>
              <c:showSerName val="0"/>
              <c:showPercent val="0"/>
              <c:showBubbleSize val="0"/>
            </c:dLbl>
            <c:dLbl>
              <c:idx val="1"/>
              <c:layout>
                <c:manualLayout>
                  <c:x val="4.0860700082139389E-3"/>
                  <c:y val="0.45370370370370372"/>
                </c:manualLayout>
              </c:layout>
              <c:showLegendKey val="0"/>
              <c:showVal val="1"/>
              <c:showCatName val="0"/>
              <c:showSerName val="0"/>
              <c:showPercent val="0"/>
              <c:showBubbleSize val="0"/>
            </c:dLbl>
            <c:dLbl>
              <c:idx val="2"/>
              <c:layout>
                <c:manualLayout>
                  <c:x val="0"/>
                  <c:y val="0.4861111111111111"/>
                </c:manualLayout>
              </c:layout>
              <c:showLegendKey val="0"/>
              <c:showVal val="1"/>
              <c:showCatName val="0"/>
              <c:showSerName val="0"/>
              <c:showPercent val="0"/>
              <c:showBubbleSize val="0"/>
            </c:dLbl>
            <c:dLbl>
              <c:idx val="3"/>
              <c:layout>
                <c:manualLayout>
                  <c:x val="2.043035004106989E-3"/>
                  <c:y val="0.47685185185185253"/>
                </c:manualLayout>
              </c:layout>
              <c:showLegendKey val="0"/>
              <c:showVal val="1"/>
              <c:showCatName val="0"/>
              <c:showSerName val="0"/>
              <c:showPercent val="0"/>
              <c:showBubbleSize val="0"/>
            </c:dLbl>
            <c:dLbl>
              <c:idx val="4"/>
              <c:layout>
                <c:manualLayout>
                  <c:x val="4.0860700082139007E-3"/>
                  <c:y val="0.43518518518518595"/>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Лист12!$B$1:$F$1</c:f>
              <c:strCache>
                <c:ptCount val="5"/>
                <c:pt idx="0">
                  <c:v>2016 г.</c:v>
                </c:pt>
                <c:pt idx="1">
                  <c:v>2017 г.</c:v>
                </c:pt>
                <c:pt idx="2">
                  <c:v>2018 г.</c:v>
                </c:pt>
                <c:pt idx="3">
                  <c:v>2019 г.</c:v>
                </c:pt>
                <c:pt idx="4">
                  <c:v>2020 г.</c:v>
                </c:pt>
              </c:strCache>
            </c:strRef>
          </c:cat>
          <c:val>
            <c:numRef>
              <c:f>Лист12!$B$4:$F$4</c:f>
              <c:numCache>
                <c:formatCode>General</c:formatCode>
                <c:ptCount val="5"/>
                <c:pt idx="0">
                  <c:v>1466.1909999999998</c:v>
                </c:pt>
                <c:pt idx="1">
                  <c:v>1430.0419999999999</c:v>
                </c:pt>
                <c:pt idx="2">
                  <c:v>1456.4090000000001</c:v>
                </c:pt>
                <c:pt idx="3">
                  <c:v>1424.566</c:v>
                </c:pt>
                <c:pt idx="4">
                  <c:v>1330.1129999999998</c:v>
                </c:pt>
              </c:numCache>
            </c:numRef>
          </c:val>
        </c:ser>
        <c:dLbls>
          <c:showLegendKey val="0"/>
          <c:showVal val="0"/>
          <c:showCatName val="0"/>
          <c:showSerName val="0"/>
          <c:showPercent val="0"/>
          <c:showBubbleSize val="0"/>
        </c:dLbls>
        <c:gapWidth val="150"/>
        <c:axId val="223640576"/>
        <c:axId val="223671040"/>
      </c:barChart>
      <c:lineChart>
        <c:grouping val="standard"/>
        <c:varyColors val="0"/>
        <c:ser>
          <c:idx val="3"/>
          <c:order val="3"/>
          <c:tx>
            <c:strRef>
              <c:f>Лист12!$A$5</c:f>
              <c:strCache>
                <c:ptCount val="1"/>
                <c:pt idx="0">
                  <c:v>Банковский сектор</c:v>
                </c:pt>
              </c:strCache>
            </c:strRef>
          </c:tx>
          <c:dLbls>
            <c:dLbl>
              <c:idx val="0"/>
              <c:layout>
                <c:manualLayout>
                  <c:x val="-5.1075875102674403E-2"/>
                  <c:y val="-5.0925925925925923E-2"/>
                </c:manualLayout>
              </c:layout>
              <c:showLegendKey val="0"/>
              <c:showVal val="1"/>
              <c:showCatName val="0"/>
              <c:showSerName val="0"/>
              <c:showPercent val="0"/>
              <c:showBubbleSize val="0"/>
            </c:dLbl>
            <c:dLbl>
              <c:idx val="1"/>
              <c:layout>
                <c:manualLayout>
                  <c:x val="-4.9032840098567586E-2"/>
                  <c:y val="-4.1666666666666664E-2"/>
                </c:manualLayout>
              </c:layout>
              <c:showLegendKey val="0"/>
              <c:showVal val="1"/>
              <c:showCatName val="0"/>
              <c:showSerName val="0"/>
              <c:showPercent val="0"/>
              <c:showBubbleSize val="0"/>
            </c:dLbl>
            <c:dLbl>
              <c:idx val="2"/>
              <c:layout>
                <c:manualLayout>
                  <c:x val="-5.1075875102674403E-2"/>
                  <c:y val="-6.0185185185185147E-2"/>
                </c:manualLayout>
              </c:layout>
              <c:showLegendKey val="0"/>
              <c:showVal val="1"/>
              <c:showCatName val="0"/>
              <c:showSerName val="0"/>
              <c:showPercent val="0"/>
              <c:showBubbleSize val="0"/>
            </c:dLbl>
            <c:dLbl>
              <c:idx val="3"/>
              <c:layout>
                <c:manualLayout>
                  <c:x val="-3.8817665078032679E-2"/>
                  <c:y val="-5.0925925925925902E-2"/>
                </c:manualLayout>
              </c:layout>
              <c:showLegendKey val="0"/>
              <c:showVal val="1"/>
              <c:showCatName val="0"/>
              <c:showSerName val="0"/>
              <c:showPercent val="0"/>
              <c:showBubbleSize val="0"/>
            </c:dLbl>
            <c:dLbl>
              <c:idx val="4"/>
              <c:layout>
                <c:manualLayout>
                  <c:x val="-4.4946770090353624E-2"/>
                  <c:y val="-4.1666666666666664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Лист12!$B$1:$F$1</c:f>
              <c:strCache>
                <c:ptCount val="5"/>
                <c:pt idx="0">
                  <c:v>2016 г.</c:v>
                </c:pt>
                <c:pt idx="1">
                  <c:v>2017 г.</c:v>
                </c:pt>
                <c:pt idx="2">
                  <c:v>2018 г.</c:v>
                </c:pt>
                <c:pt idx="3">
                  <c:v>2019 г.</c:v>
                </c:pt>
                <c:pt idx="4">
                  <c:v>2020 г.</c:v>
                </c:pt>
              </c:strCache>
            </c:strRef>
          </c:cat>
          <c:val>
            <c:numRef>
              <c:f>Лист12!$B$5:$F$5</c:f>
              <c:numCache>
                <c:formatCode>General</c:formatCode>
                <c:ptCount val="5"/>
                <c:pt idx="0">
                  <c:v>1564.82</c:v>
                </c:pt>
                <c:pt idx="1">
                  <c:v>1677.5529999999999</c:v>
                </c:pt>
                <c:pt idx="2">
                  <c:v>1590.433</c:v>
                </c:pt>
                <c:pt idx="3">
                  <c:v>1617.96</c:v>
                </c:pt>
                <c:pt idx="4">
                  <c:v>1663.03</c:v>
                </c:pt>
              </c:numCache>
            </c:numRef>
          </c:val>
          <c:smooth val="0"/>
        </c:ser>
        <c:dLbls>
          <c:showLegendKey val="0"/>
          <c:showVal val="0"/>
          <c:showCatName val="0"/>
          <c:showSerName val="0"/>
          <c:showPercent val="0"/>
          <c:showBubbleSize val="0"/>
        </c:dLbls>
        <c:marker val="1"/>
        <c:smooth val="0"/>
        <c:axId val="223752192"/>
        <c:axId val="223672576"/>
      </c:lineChart>
      <c:catAx>
        <c:axId val="223640576"/>
        <c:scaling>
          <c:orientation val="minMax"/>
        </c:scaling>
        <c:delete val="0"/>
        <c:axPos val="b"/>
        <c:majorTickMark val="out"/>
        <c:minorTickMark val="none"/>
        <c:tickLblPos val="nextTo"/>
        <c:crossAx val="223671040"/>
        <c:crosses val="autoZero"/>
        <c:auto val="1"/>
        <c:lblAlgn val="ctr"/>
        <c:lblOffset val="100"/>
        <c:noMultiLvlLbl val="0"/>
      </c:catAx>
      <c:valAx>
        <c:axId val="223671040"/>
        <c:scaling>
          <c:orientation val="minMax"/>
        </c:scaling>
        <c:delete val="0"/>
        <c:axPos val="l"/>
        <c:majorGridlines/>
        <c:numFmt formatCode="General" sourceLinked="1"/>
        <c:majorTickMark val="out"/>
        <c:minorTickMark val="none"/>
        <c:tickLblPos val="nextTo"/>
        <c:crossAx val="223640576"/>
        <c:crosses val="autoZero"/>
        <c:crossBetween val="between"/>
      </c:valAx>
      <c:valAx>
        <c:axId val="223672576"/>
        <c:scaling>
          <c:orientation val="minMax"/>
        </c:scaling>
        <c:delete val="0"/>
        <c:axPos val="r"/>
        <c:numFmt formatCode="General" sourceLinked="1"/>
        <c:majorTickMark val="out"/>
        <c:minorTickMark val="none"/>
        <c:tickLblPos val="nextTo"/>
        <c:crossAx val="223752192"/>
        <c:crosses val="max"/>
        <c:crossBetween val="between"/>
      </c:valAx>
      <c:catAx>
        <c:axId val="223752192"/>
        <c:scaling>
          <c:orientation val="minMax"/>
        </c:scaling>
        <c:delete val="1"/>
        <c:axPos val="b"/>
        <c:majorTickMark val="out"/>
        <c:minorTickMark val="none"/>
        <c:tickLblPos val="none"/>
        <c:crossAx val="223672576"/>
        <c:crosses val="autoZero"/>
        <c:auto val="1"/>
        <c:lblAlgn val="ctr"/>
        <c:lblOffset val="100"/>
        <c:noMultiLvlLbl val="0"/>
      </c:catAx>
    </c:plotArea>
    <c:legend>
      <c:legendPos val="r"/>
      <c:layout>
        <c:manualLayout>
          <c:xMode val="edge"/>
          <c:yMode val="edge"/>
          <c:x val="0.77071651090342674"/>
          <c:y val="0.23071376494604842"/>
          <c:w val="0.22928348909657351"/>
          <c:h val="0.5848687664041996"/>
        </c:manualLayout>
      </c:layout>
      <c:overlay val="0"/>
      <c:txPr>
        <a:bodyPr/>
        <a:lstStyle/>
        <a:p>
          <a:pPr>
            <a:defRPr sz="1000"/>
          </a:pPr>
          <a:endParaRPr lang="ru-RU"/>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197957386475393E-3"/>
          <c:y val="0"/>
          <c:w val="0.67564232508656763"/>
          <c:h val="1"/>
        </c:manualLayout>
      </c:layout>
      <c:doughnutChart>
        <c:varyColors val="1"/>
        <c:ser>
          <c:idx val="0"/>
          <c:order val="0"/>
          <c:tx>
            <c:strRef>
              <c:f>Лист10!$A$2</c:f>
              <c:strCache>
                <c:ptCount val="1"/>
                <c:pt idx="0">
                  <c:v>A1</c:v>
                </c:pt>
              </c:strCache>
            </c:strRef>
          </c:tx>
          <c:explosion val="25"/>
          <c:dLbls>
            <c:dLbl>
              <c:idx val="0"/>
              <c:layout>
                <c:manualLayout>
                  <c:x val="1.2367082267713901E-2"/>
                  <c:y val="4.4920240046217183E-2"/>
                </c:manualLayout>
              </c:layout>
              <c:showLegendKey val="0"/>
              <c:showVal val="1"/>
              <c:showCatName val="0"/>
              <c:showSerName val="0"/>
              <c:showPercent val="0"/>
              <c:showBubbleSize val="0"/>
            </c:dLbl>
            <c:dLbl>
              <c:idx val="3"/>
              <c:layout>
                <c:manualLayout>
                  <c:x val="-8.2447215118092668E-3"/>
                  <c:y val="-5.615030005777150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Лист10!$B$1:$F$1</c:f>
              <c:strCache>
                <c:ptCount val="5"/>
                <c:pt idx="0">
                  <c:v>Т.Байеса</c:v>
                </c:pt>
                <c:pt idx="1">
                  <c:v>А.Вальда</c:v>
                </c:pt>
                <c:pt idx="2">
                  <c:v>Л.Сэвиджа</c:v>
                </c:pt>
                <c:pt idx="3">
                  <c:v>А.Гурвица</c:v>
                </c:pt>
                <c:pt idx="4">
                  <c:v>Брауна-Робинсона</c:v>
                </c:pt>
              </c:strCache>
            </c:strRef>
          </c:cat>
          <c:val>
            <c:numRef>
              <c:f>Лист10!$B$2:$F$2</c:f>
              <c:numCache>
                <c:formatCode>General</c:formatCode>
                <c:ptCount val="5"/>
                <c:pt idx="0">
                  <c:v>3.1749999999999998</c:v>
                </c:pt>
                <c:pt idx="1">
                  <c:v>2.5</c:v>
                </c:pt>
                <c:pt idx="2">
                  <c:v>1.1000000000000001</c:v>
                </c:pt>
                <c:pt idx="3">
                  <c:v>3.1</c:v>
                </c:pt>
                <c:pt idx="4">
                  <c:v>2.5</c:v>
                </c:pt>
              </c:numCache>
            </c:numRef>
          </c:val>
        </c:ser>
        <c:ser>
          <c:idx val="1"/>
          <c:order val="1"/>
          <c:tx>
            <c:strRef>
              <c:f>Лист10!$A$3</c:f>
              <c:strCache>
                <c:ptCount val="1"/>
                <c:pt idx="0">
                  <c:v>A2</c:v>
                </c:pt>
              </c:strCache>
            </c:strRef>
          </c:tx>
          <c:explosion val="25"/>
          <c:dLbls>
            <c:showLegendKey val="0"/>
            <c:showVal val="1"/>
            <c:showCatName val="0"/>
            <c:showSerName val="0"/>
            <c:showPercent val="0"/>
            <c:showBubbleSize val="0"/>
            <c:showLeaderLines val="1"/>
          </c:dLbls>
          <c:cat>
            <c:strRef>
              <c:f>Лист10!$B$1:$F$1</c:f>
              <c:strCache>
                <c:ptCount val="5"/>
                <c:pt idx="0">
                  <c:v>Т.Байеса</c:v>
                </c:pt>
                <c:pt idx="1">
                  <c:v>А.Вальда</c:v>
                </c:pt>
                <c:pt idx="2">
                  <c:v>Л.Сэвиджа</c:v>
                </c:pt>
                <c:pt idx="3">
                  <c:v>А.Гурвица</c:v>
                </c:pt>
                <c:pt idx="4">
                  <c:v>Брауна-Робинсона</c:v>
                </c:pt>
              </c:strCache>
            </c:strRef>
          </c:cat>
          <c:val>
            <c:numRef>
              <c:f>Лист10!$B$3:$F$3</c:f>
              <c:numCache>
                <c:formatCode>General</c:formatCode>
                <c:ptCount val="5"/>
                <c:pt idx="0">
                  <c:v>3.0249999999999999</c:v>
                </c:pt>
                <c:pt idx="1">
                  <c:v>2.1</c:v>
                </c:pt>
                <c:pt idx="2">
                  <c:v>1</c:v>
                </c:pt>
                <c:pt idx="3">
                  <c:v>3.05</c:v>
                </c:pt>
                <c:pt idx="4">
                  <c:v>2.1</c:v>
                </c:pt>
              </c:numCache>
            </c:numRef>
          </c:val>
        </c:ser>
        <c:ser>
          <c:idx val="2"/>
          <c:order val="2"/>
          <c:tx>
            <c:strRef>
              <c:f>Лист10!$A$4</c:f>
              <c:strCache>
                <c:ptCount val="1"/>
                <c:pt idx="0">
                  <c:v>A3</c:v>
                </c:pt>
              </c:strCache>
            </c:strRef>
          </c:tx>
          <c:explosion val="25"/>
          <c:dLbls>
            <c:dLbl>
              <c:idx val="3"/>
              <c:layout>
                <c:manualLayout>
                  <c:x val="1.2367082267713901E-2"/>
                  <c:y val="7.4867066743695455E-3"/>
                </c:manualLayout>
              </c:layout>
              <c:showLegendKey val="0"/>
              <c:showVal val="1"/>
              <c:showCatName val="0"/>
              <c:showSerName val="0"/>
              <c:showPercent val="0"/>
              <c:showBubbleSize val="0"/>
            </c:dLbl>
            <c:txPr>
              <a:bodyPr/>
              <a:lstStyle/>
              <a:p>
                <a:pPr>
                  <a:defRPr b="1" i="1">
                    <a:solidFill>
                      <a:srgbClr val="FFFF00"/>
                    </a:solidFill>
                  </a:defRPr>
                </a:pPr>
                <a:endParaRPr lang="ru-RU"/>
              </a:p>
            </c:txPr>
            <c:showLegendKey val="0"/>
            <c:showVal val="1"/>
            <c:showCatName val="0"/>
            <c:showSerName val="0"/>
            <c:showPercent val="0"/>
            <c:showBubbleSize val="0"/>
            <c:showLeaderLines val="1"/>
          </c:dLbls>
          <c:cat>
            <c:strRef>
              <c:f>Лист10!$B$1:$F$1</c:f>
              <c:strCache>
                <c:ptCount val="5"/>
                <c:pt idx="0">
                  <c:v>Т.Байеса</c:v>
                </c:pt>
                <c:pt idx="1">
                  <c:v>А.Вальда</c:v>
                </c:pt>
                <c:pt idx="2">
                  <c:v>Л.Сэвиджа</c:v>
                </c:pt>
                <c:pt idx="3">
                  <c:v>А.Гурвица</c:v>
                </c:pt>
                <c:pt idx="4">
                  <c:v>Брауна-Робинсона</c:v>
                </c:pt>
              </c:strCache>
            </c:strRef>
          </c:cat>
          <c:val>
            <c:numRef>
              <c:f>Лист10!$B$4:$F$4</c:f>
              <c:numCache>
                <c:formatCode>General</c:formatCode>
                <c:ptCount val="5"/>
                <c:pt idx="0">
                  <c:v>3.5249999999999999</c:v>
                </c:pt>
                <c:pt idx="1">
                  <c:v>3</c:v>
                </c:pt>
                <c:pt idx="2">
                  <c:v>0.8</c:v>
                </c:pt>
                <c:pt idx="3">
                  <c:v>3.55</c:v>
                </c:pt>
                <c:pt idx="4">
                  <c:v>3</c:v>
                </c:pt>
              </c:numCache>
            </c:numRef>
          </c:val>
        </c:ser>
        <c:ser>
          <c:idx val="3"/>
          <c:order val="3"/>
          <c:tx>
            <c:strRef>
              <c:f>Лист10!$A$5</c:f>
              <c:strCache>
                <c:ptCount val="1"/>
                <c:pt idx="0">
                  <c:v>A4</c:v>
                </c:pt>
              </c:strCache>
            </c:strRef>
          </c:tx>
          <c:explosion val="25"/>
          <c:dLbls>
            <c:showLegendKey val="0"/>
            <c:showVal val="1"/>
            <c:showCatName val="0"/>
            <c:showSerName val="0"/>
            <c:showPercent val="0"/>
            <c:showBubbleSize val="0"/>
            <c:showLeaderLines val="1"/>
          </c:dLbls>
          <c:cat>
            <c:strRef>
              <c:f>Лист10!$B$1:$F$1</c:f>
              <c:strCache>
                <c:ptCount val="5"/>
                <c:pt idx="0">
                  <c:v>Т.Байеса</c:v>
                </c:pt>
                <c:pt idx="1">
                  <c:v>А.Вальда</c:v>
                </c:pt>
                <c:pt idx="2">
                  <c:v>Л.Сэвиджа</c:v>
                </c:pt>
                <c:pt idx="3">
                  <c:v>А.Гурвица</c:v>
                </c:pt>
                <c:pt idx="4">
                  <c:v>Брауна-Робинсона</c:v>
                </c:pt>
              </c:strCache>
            </c:strRef>
          </c:cat>
          <c:val>
            <c:numRef>
              <c:f>Лист10!$B$5:$F$5</c:f>
              <c:numCache>
                <c:formatCode>General</c:formatCode>
                <c:ptCount val="5"/>
                <c:pt idx="0">
                  <c:v>3.1749999999999998</c:v>
                </c:pt>
                <c:pt idx="1">
                  <c:v>2.2000000000000002</c:v>
                </c:pt>
                <c:pt idx="2">
                  <c:v>0.8</c:v>
                </c:pt>
                <c:pt idx="3">
                  <c:v>3</c:v>
                </c:pt>
                <c:pt idx="4">
                  <c:v>2.2000000000000002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8622053851015283"/>
          <c:y val="0.2479497309942453"/>
          <c:w val="0.21377946148984744"/>
          <c:h val="0.33798943608003174"/>
        </c:manualLayout>
      </c:layout>
      <c:overlay val="0"/>
      <c:txPr>
        <a:bodyPr/>
        <a:lstStyle/>
        <a:p>
          <a:pPr rtl="0">
            <a:defRPr/>
          </a:pPr>
          <a:endParaRPr lang="ru-RU"/>
        </a:p>
      </c:txPr>
    </c:legend>
    <c:plotVisOnly val="1"/>
    <c:dispBlanksAs val="zero"/>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435134267054677E-2"/>
          <c:y val="5.1400554097404488E-2"/>
          <c:w val="0.92590314344205116"/>
          <c:h val="0.58880551862835362"/>
        </c:manualLayout>
      </c:layout>
      <c:lineChart>
        <c:grouping val="standard"/>
        <c:varyColors val="0"/>
        <c:ser>
          <c:idx val="0"/>
          <c:order val="0"/>
          <c:tx>
            <c:strRef>
              <c:f>Лист3!$A$2</c:f>
              <c:strCache>
                <c:ptCount val="1"/>
                <c:pt idx="0">
                  <c:v>чистая процентная маржа</c:v>
                </c:pt>
              </c:strCache>
            </c:strRef>
          </c:tx>
          <c:dLbls>
            <c:dLbl>
              <c:idx val="0"/>
              <c:layout>
                <c:manualLayout>
                  <c:x val="-3.3208800332088007E-2"/>
                  <c:y val="-1.86219739292365E-2"/>
                </c:manualLayout>
              </c:layout>
              <c:showLegendKey val="0"/>
              <c:showVal val="1"/>
              <c:showCatName val="0"/>
              <c:showSerName val="0"/>
              <c:showPercent val="0"/>
              <c:showBubbleSize val="0"/>
            </c:dLbl>
            <c:dLbl>
              <c:idx val="1"/>
              <c:layout>
                <c:manualLayout>
                  <c:x val="-2.2831050228310609E-2"/>
                  <c:y val="-4.189944134078212E-2"/>
                </c:manualLayout>
              </c:layout>
              <c:showLegendKey val="0"/>
              <c:showVal val="1"/>
              <c:showCatName val="0"/>
              <c:showSerName val="0"/>
              <c:showPercent val="0"/>
              <c:showBubbleSize val="0"/>
            </c:dLbl>
            <c:dLbl>
              <c:idx val="2"/>
              <c:layout>
                <c:manualLayout>
                  <c:x val="-4.5662100456621106E-2"/>
                  <c:y val="-5.1210428305400374E-2"/>
                </c:manualLayout>
              </c:layout>
              <c:showLegendKey val="0"/>
              <c:showVal val="1"/>
              <c:showCatName val="0"/>
              <c:showSerName val="0"/>
              <c:showPercent val="0"/>
              <c:showBubbleSize val="0"/>
            </c:dLbl>
            <c:dLbl>
              <c:idx val="3"/>
              <c:layout>
                <c:manualLayout>
                  <c:x val="-3.3208800332088007E-2"/>
                  <c:y val="2.7932960893854809E-2"/>
                </c:manualLayout>
              </c:layout>
              <c:showLegendKey val="0"/>
              <c:showVal val="1"/>
              <c:showCatName val="0"/>
              <c:showSerName val="0"/>
              <c:showPercent val="0"/>
              <c:showBubbleSize val="0"/>
            </c:dLbl>
            <c:dLbl>
              <c:idx val="4"/>
              <c:layout>
                <c:manualLayout>
                  <c:x val="-4.358655043586554E-2"/>
                  <c:y val="-3.2588454376163874E-2"/>
                </c:manualLayout>
              </c:layout>
              <c:showLegendKey val="0"/>
              <c:showVal val="1"/>
              <c:showCatName val="0"/>
              <c:showSerName val="0"/>
              <c:showPercent val="0"/>
              <c:showBubbleSize val="0"/>
            </c:dLbl>
            <c:dLbl>
              <c:idx val="5"/>
              <c:layout>
                <c:manualLayout>
                  <c:x val="-3.3208800332088007E-2"/>
                  <c:y val="3.2588454376163874E-2"/>
                </c:manualLayout>
              </c:layout>
              <c:showLegendKey val="0"/>
              <c:showVal val="1"/>
              <c:showCatName val="0"/>
              <c:showSerName val="0"/>
              <c:showPercent val="0"/>
              <c:showBubbleSize val="0"/>
            </c:dLbl>
            <c:dLbl>
              <c:idx val="6"/>
              <c:layout>
                <c:manualLayout>
                  <c:x val="-3.735990037359907E-2"/>
                  <c:y val="4.189944134078212E-2"/>
                </c:manualLayout>
              </c:layout>
              <c:showLegendKey val="0"/>
              <c:showVal val="1"/>
              <c:showCatName val="0"/>
              <c:showSerName val="0"/>
              <c:showPercent val="0"/>
              <c:showBubbleSize val="0"/>
            </c:dLbl>
            <c:dLbl>
              <c:idx val="7"/>
              <c:layout>
                <c:manualLayout>
                  <c:x val="-3.1133250311332426E-2"/>
                  <c:y val="-4.189944134078212E-2"/>
                </c:manualLayout>
              </c:layout>
              <c:showLegendKey val="0"/>
              <c:showVal val="1"/>
              <c:showCatName val="0"/>
              <c:showSerName val="0"/>
              <c:showPercent val="0"/>
              <c:showBubbleSize val="0"/>
            </c:dLbl>
            <c:dLbl>
              <c:idx val="8"/>
              <c:layout>
                <c:manualLayout>
                  <c:x val="-3.7359900373598952E-2"/>
                  <c:y val="3.2588454376163874E-2"/>
                </c:manualLayout>
              </c:layout>
              <c:showLegendKey val="0"/>
              <c:showVal val="1"/>
              <c:showCatName val="0"/>
              <c:showSerName val="0"/>
              <c:showPercent val="0"/>
              <c:showBubbleSize val="0"/>
            </c:dLbl>
            <c:dLbl>
              <c:idx val="9"/>
              <c:layout>
                <c:manualLayout>
                  <c:x val="-3.528435035284351E-2"/>
                  <c:y val="4.189944134078212E-2"/>
                </c:manualLayout>
              </c:layout>
              <c:showLegendKey val="0"/>
              <c:showVal val="1"/>
              <c:showCatName val="0"/>
              <c:showSerName val="0"/>
              <c:showPercent val="0"/>
              <c:showBubbleSize val="0"/>
            </c:dLbl>
            <c:dLbl>
              <c:idx val="10"/>
              <c:layout>
                <c:manualLayout>
                  <c:x val="-3.9435450394354504E-2"/>
                  <c:y val="2.3277467411545679E-2"/>
                </c:manualLayout>
              </c:layout>
              <c:showLegendKey val="0"/>
              <c:showVal val="1"/>
              <c:showCatName val="0"/>
              <c:showSerName val="0"/>
              <c:showPercent val="0"/>
              <c:showBubbleSize val="0"/>
            </c:dLbl>
            <c:dLbl>
              <c:idx val="11"/>
              <c:layout>
                <c:manualLayout>
                  <c:x val="-2.6982150269821512E-2"/>
                  <c:y val="2.32774674115456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trendline>
            <c:spPr>
              <a:ln w="25400">
                <a:solidFill>
                  <a:srgbClr val="FFC000"/>
                </a:solidFill>
                <a:prstDash val="dash"/>
                <a:tailEnd type="stealth"/>
              </a:ln>
            </c:spPr>
            <c:trendlineType val="poly"/>
            <c:order val="5"/>
            <c:forward val="1"/>
            <c:dispRSqr val="1"/>
            <c:dispEq val="1"/>
            <c:trendlineLbl>
              <c:layout>
                <c:manualLayout>
                  <c:x val="6.9377629166217397E-2"/>
                  <c:y val="-0.30128484288625995"/>
                </c:manualLayout>
              </c:layout>
              <c:numFmt formatCode="General" sourceLinked="0"/>
              <c:txPr>
                <a:bodyPr/>
                <a:lstStyle/>
                <a:p>
                  <a:pPr>
                    <a:defRPr i="1"/>
                  </a:pPr>
                  <a:endParaRPr lang="ru-RU"/>
                </a:p>
              </c:txPr>
            </c:trendlineLbl>
          </c:trendline>
          <c:cat>
            <c:numRef>
              <c:f>Лист3!$B$1:$M$1</c:f>
              <c:numCache>
                <c:formatCode>m/d/yyyy</c:formatCode>
                <c:ptCount val="12"/>
                <c:pt idx="0">
                  <c:v>40179</c:v>
                </c:pt>
                <c:pt idx="1">
                  <c:v>40544</c:v>
                </c:pt>
                <c:pt idx="2">
                  <c:v>40909</c:v>
                </c:pt>
                <c:pt idx="3">
                  <c:v>41275</c:v>
                </c:pt>
                <c:pt idx="4">
                  <c:v>41640</c:v>
                </c:pt>
                <c:pt idx="5">
                  <c:v>42005</c:v>
                </c:pt>
                <c:pt idx="6">
                  <c:v>42370</c:v>
                </c:pt>
                <c:pt idx="7">
                  <c:v>42736</c:v>
                </c:pt>
                <c:pt idx="8">
                  <c:v>43101</c:v>
                </c:pt>
                <c:pt idx="9">
                  <c:v>43466</c:v>
                </c:pt>
                <c:pt idx="10">
                  <c:v>43831</c:v>
                </c:pt>
                <c:pt idx="11">
                  <c:v>44197</c:v>
                </c:pt>
              </c:numCache>
            </c:numRef>
          </c:cat>
          <c:val>
            <c:numRef>
              <c:f>Лист3!$B$2:$M$2</c:f>
              <c:numCache>
                <c:formatCode>General</c:formatCode>
                <c:ptCount val="12"/>
                <c:pt idx="0">
                  <c:v>4.0999999999999996</c:v>
                </c:pt>
                <c:pt idx="1">
                  <c:v>3</c:v>
                </c:pt>
                <c:pt idx="2">
                  <c:v>3.8</c:v>
                </c:pt>
                <c:pt idx="3">
                  <c:v>4.2</c:v>
                </c:pt>
                <c:pt idx="4" formatCode="0.00">
                  <c:v>5.6</c:v>
                </c:pt>
                <c:pt idx="5">
                  <c:v>5.4</c:v>
                </c:pt>
                <c:pt idx="6">
                  <c:v>5.5</c:v>
                </c:pt>
                <c:pt idx="7">
                  <c:v>4.8</c:v>
                </c:pt>
                <c:pt idx="8">
                  <c:v>5.0999999999999996</c:v>
                </c:pt>
                <c:pt idx="9">
                  <c:v>5.0999999999999996</c:v>
                </c:pt>
                <c:pt idx="10">
                  <c:v>5.17</c:v>
                </c:pt>
                <c:pt idx="11">
                  <c:v>5</c:v>
                </c:pt>
              </c:numCache>
            </c:numRef>
          </c:val>
          <c:smooth val="0"/>
        </c:ser>
        <c:ser>
          <c:idx val="1"/>
          <c:order val="1"/>
          <c:tx>
            <c:strRef>
              <c:f>Лист3!$A$3</c:f>
              <c:strCache>
                <c:ptCount val="1"/>
                <c:pt idx="0">
                  <c:v>чистый процентный спрэд</c:v>
                </c:pt>
              </c:strCache>
            </c:strRef>
          </c:tx>
          <c:dLbls>
            <c:dLbl>
              <c:idx val="0"/>
              <c:layout>
                <c:manualLayout>
                  <c:x val="-3.3208800332088007E-2"/>
                  <c:y val="5.5865921787709494E-2"/>
                </c:manualLayout>
              </c:layout>
              <c:showLegendKey val="0"/>
              <c:showVal val="1"/>
              <c:showCatName val="0"/>
              <c:showSerName val="0"/>
              <c:showPercent val="0"/>
              <c:showBubbleSize val="0"/>
            </c:dLbl>
            <c:dLbl>
              <c:idx val="1"/>
              <c:layout>
                <c:manualLayout>
                  <c:x val="-3.735990037359907E-2"/>
                  <c:y val="4.6554934823091434E-2"/>
                </c:manualLayout>
              </c:layout>
              <c:showLegendKey val="0"/>
              <c:showVal val="1"/>
              <c:showCatName val="0"/>
              <c:showSerName val="0"/>
              <c:showPercent val="0"/>
              <c:showBubbleSize val="0"/>
            </c:dLbl>
            <c:dLbl>
              <c:idx val="2"/>
              <c:layout>
                <c:manualLayout>
                  <c:x val="-3.735990037359907E-2"/>
                  <c:y val="-4.6554934823091441E-2"/>
                </c:manualLayout>
              </c:layout>
              <c:showLegendKey val="0"/>
              <c:showVal val="1"/>
              <c:showCatName val="0"/>
              <c:showSerName val="0"/>
              <c:showPercent val="0"/>
              <c:showBubbleSize val="0"/>
            </c:dLbl>
            <c:dLbl>
              <c:idx val="3"/>
              <c:layout>
                <c:manualLayout>
                  <c:x val="-3.528435035284351E-2"/>
                  <c:y val="-4.189944134078212E-2"/>
                </c:manualLayout>
              </c:layout>
              <c:showLegendKey val="0"/>
              <c:showVal val="1"/>
              <c:showCatName val="0"/>
              <c:showSerName val="0"/>
              <c:showPercent val="0"/>
              <c:showBubbleSize val="0"/>
            </c:dLbl>
            <c:dLbl>
              <c:idx val="4"/>
              <c:layout>
                <c:manualLayout>
                  <c:x val="-4.1511000415110001E-2"/>
                  <c:y val="-5.1210428305400332E-2"/>
                </c:manualLayout>
              </c:layout>
              <c:showLegendKey val="0"/>
              <c:showVal val="1"/>
              <c:showCatName val="0"/>
              <c:showSerName val="0"/>
              <c:showPercent val="0"/>
              <c:showBubbleSize val="0"/>
            </c:dLbl>
            <c:dLbl>
              <c:idx val="5"/>
              <c:layout>
                <c:manualLayout>
                  <c:x val="-3.735990037359907E-2"/>
                  <c:y val="-4.6554934823091434E-2"/>
                </c:manualLayout>
              </c:layout>
              <c:showLegendKey val="0"/>
              <c:showVal val="1"/>
              <c:showCatName val="0"/>
              <c:showSerName val="0"/>
              <c:showPercent val="0"/>
              <c:showBubbleSize val="0"/>
            </c:dLbl>
            <c:dLbl>
              <c:idx val="6"/>
              <c:layout>
                <c:manualLayout>
                  <c:x val="-3.528435035284351E-2"/>
                  <c:y val="5.1210428305400374E-2"/>
                </c:manualLayout>
              </c:layout>
              <c:showLegendKey val="0"/>
              <c:showVal val="1"/>
              <c:showCatName val="0"/>
              <c:showSerName val="0"/>
              <c:showPercent val="0"/>
              <c:showBubbleSize val="0"/>
            </c:dLbl>
            <c:dLbl>
              <c:idx val="7"/>
              <c:layout>
                <c:manualLayout>
                  <c:x val="-3.320880033208793E-2"/>
                  <c:y val="5.1210428305400374E-2"/>
                </c:manualLayout>
              </c:layout>
              <c:showLegendKey val="0"/>
              <c:showVal val="1"/>
              <c:showCatName val="0"/>
              <c:showSerName val="0"/>
              <c:showPercent val="0"/>
              <c:showBubbleSize val="0"/>
            </c:dLbl>
            <c:dLbl>
              <c:idx val="8"/>
              <c:layout>
                <c:manualLayout>
                  <c:x val="-3.7359900373598952E-2"/>
                  <c:y val="5.5865921787709494E-2"/>
                </c:manualLayout>
              </c:layout>
              <c:showLegendKey val="0"/>
              <c:showVal val="1"/>
              <c:showCatName val="0"/>
              <c:showSerName val="0"/>
              <c:showPercent val="0"/>
              <c:showBubbleSize val="0"/>
            </c:dLbl>
            <c:dLbl>
              <c:idx val="9"/>
              <c:layout>
                <c:manualLayout>
                  <c:x val="-3.1133250311332506E-2"/>
                  <c:y val="5.5865921787709494E-2"/>
                </c:manualLayout>
              </c:layout>
              <c:showLegendKey val="0"/>
              <c:showVal val="1"/>
              <c:showCatName val="0"/>
              <c:showSerName val="0"/>
              <c:showPercent val="0"/>
              <c:showBubbleSize val="0"/>
            </c:dLbl>
            <c:dLbl>
              <c:idx val="10"/>
              <c:layout>
                <c:manualLayout>
                  <c:x val="-4.3586550435865505E-2"/>
                  <c:y val="4.6554934823091434E-2"/>
                </c:manualLayout>
              </c:layout>
              <c:showLegendKey val="0"/>
              <c:showVal val="1"/>
              <c:showCatName val="0"/>
              <c:showSerName val="0"/>
              <c:showPercent val="0"/>
              <c:showBubbleSize val="0"/>
            </c:dLbl>
            <c:dLbl>
              <c:idx val="11"/>
              <c:layout>
                <c:manualLayout>
                  <c:x val="-3.3208800332088007E-2"/>
                  <c:y val="6.517690875232776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trendline>
            <c:spPr>
              <a:ln w="25400">
                <a:solidFill>
                  <a:srgbClr val="00B050"/>
                </a:solidFill>
                <a:prstDash val="dash"/>
                <a:tailEnd type="stealth"/>
              </a:ln>
            </c:spPr>
            <c:trendlineType val="poly"/>
            <c:order val="5"/>
            <c:forward val="1"/>
            <c:dispRSqr val="1"/>
            <c:dispEq val="1"/>
            <c:trendlineLbl>
              <c:layout>
                <c:manualLayout>
                  <c:x val="9.1866785643077327E-3"/>
                  <c:y val="0.25642421443129665"/>
                </c:manualLayout>
              </c:layout>
              <c:numFmt formatCode="General" sourceLinked="0"/>
              <c:txPr>
                <a:bodyPr/>
                <a:lstStyle/>
                <a:p>
                  <a:pPr>
                    <a:defRPr i="1"/>
                  </a:pPr>
                  <a:endParaRPr lang="ru-RU"/>
                </a:p>
              </c:txPr>
            </c:trendlineLbl>
          </c:trendline>
          <c:cat>
            <c:numRef>
              <c:f>Лист3!$B$1:$M$1</c:f>
              <c:numCache>
                <c:formatCode>m/d/yyyy</c:formatCode>
                <c:ptCount val="12"/>
                <c:pt idx="0">
                  <c:v>40179</c:v>
                </c:pt>
                <c:pt idx="1">
                  <c:v>40544</c:v>
                </c:pt>
                <c:pt idx="2">
                  <c:v>40909</c:v>
                </c:pt>
                <c:pt idx="3">
                  <c:v>41275</c:v>
                </c:pt>
                <c:pt idx="4">
                  <c:v>41640</c:v>
                </c:pt>
                <c:pt idx="5">
                  <c:v>42005</c:v>
                </c:pt>
                <c:pt idx="6">
                  <c:v>42370</c:v>
                </c:pt>
                <c:pt idx="7">
                  <c:v>42736</c:v>
                </c:pt>
                <c:pt idx="8">
                  <c:v>43101</c:v>
                </c:pt>
                <c:pt idx="9">
                  <c:v>43466</c:v>
                </c:pt>
                <c:pt idx="10">
                  <c:v>43831</c:v>
                </c:pt>
                <c:pt idx="11">
                  <c:v>44197</c:v>
                </c:pt>
              </c:numCache>
            </c:numRef>
          </c:cat>
          <c:val>
            <c:numRef>
              <c:f>Лист3!$B$3:$M$3</c:f>
              <c:numCache>
                <c:formatCode>General</c:formatCode>
                <c:ptCount val="12"/>
                <c:pt idx="0">
                  <c:v>2.5</c:v>
                </c:pt>
                <c:pt idx="1">
                  <c:v>1.2</c:v>
                </c:pt>
                <c:pt idx="2">
                  <c:v>1.6</c:v>
                </c:pt>
                <c:pt idx="3">
                  <c:v>2.1</c:v>
                </c:pt>
                <c:pt idx="4">
                  <c:v>2.8</c:v>
                </c:pt>
                <c:pt idx="5">
                  <c:v>2.7</c:v>
                </c:pt>
                <c:pt idx="6">
                  <c:v>4.4000000000000004</c:v>
                </c:pt>
                <c:pt idx="7">
                  <c:v>4.0999999999999996</c:v>
                </c:pt>
                <c:pt idx="8">
                  <c:v>4.2</c:v>
                </c:pt>
                <c:pt idx="9">
                  <c:v>4</c:v>
                </c:pt>
                <c:pt idx="10">
                  <c:v>3.92</c:v>
                </c:pt>
                <c:pt idx="11">
                  <c:v>3.79</c:v>
                </c:pt>
              </c:numCache>
            </c:numRef>
          </c:val>
          <c:smooth val="0"/>
        </c:ser>
        <c:dLbls>
          <c:showLegendKey val="0"/>
          <c:showVal val="0"/>
          <c:showCatName val="0"/>
          <c:showSerName val="0"/>
          <c:showPercent val="0"/>
          <c:showBubbleSize val="0"/>
        </c:dLbls>
        <c:marker val="1"/>
        <c:smooth val="0"/>
        <c:axId val="221718400"/>
        <c:axId val="221719936"/>
      </c:lineChart>
      <c:dateAx>
        <c:axId val="221718400"/>
        <c:scaling>
          <c:orientation val="minMax"/>
        </c:scaling>
        <c:delete val="0"/>
        <c:axPos val="b"/>
        <c:numFmt formatCode="m/d/yyyy" sourceLinked="1"/>
        <c:majorTickMark val="out"/>
        <c:minorTickMark val="none"/>
        <c:tickLblPos val="nextTo"/>
        <c:crossAx val="221719936"/>
        <c:crosses val="autoZero"/>
        <c:auto val="1"/>
        <c:lblOffset val="100"/>
        <c:baseTimeUnit val="years"/>
      </c:dateAx>
      <c:valAx>
        <c:axId val="221719936"/>
        <c:scaling>
          <c:orientation val="minMax"/>
          <c:max val="7"/>
        </c:scaling>
        <c:delete val="0"/>
        <c:axPos val="l"/>
        <c:majorGridlines/>
        <c:numFmt formatCode="General" sourceLinked="1"/>
        <c:majorTickMark val="out"/>
        <c:minorTickMark val="none"/>
        <c:tickLblPos val="nextTo"/>
        <c:crossAx val="221718400"/>
        <c:crosses val="autoZero"/>
        <c:crossBetween val="between"/>
      </c:valAx>
    </c:plotArea>
    <c:legend>
      <c:legendPos val="b"/>
      <c:layout>
        <c:manualLayout>
          <c:xMode val="edge"/>
          <c:yMode val="edge"/>
          <c:x val="1.0913638885374199E-2"/>
          <c:y val="0.87601206529062559"/>
          <c:w val="0.98435319194494741"/>
          <c:h val="0.1239878883854600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Лист3!$A$2</c:f>
              <c:strCache>
                <c:ptCount val="1"/>
                <c:pt idx="0">
                  <c:v>межбанковские вклады</c:v>
                </c:pt>
              </c:strCache>
            </c:strRef>
          </c:tx>
          <c:spPr>
            <a:solidFill>
              <a:srgbClr val="FFC000"/>
            </a:solidFill>
          </c:spPr>
          <c:invertIfNegative val="0"/>
          <c:dLbls>
            <c:showLegendKey val="0"/>
            <c:showVal val="1"/>
            <c:showCatName val="0"/>
            <c:showSerName val="0"/>
            <c:showPercent val="0"/>
            <c:showBubbleSize val="0"/>
            <c:showLeaderLines val="0"/>
          </c:dLbls>
          <c:cat>
            <c:strRef>
              <c:f>Лист3!$B$1:$G$1</c:f>
              <c:strCache>
                <c:ptCount val="6"/>
                <c:pt idx="0">
                  <c:v>2015 г. </c:v>
                </c:pt>
                <c:pt idx="1">
                  <c:v>2016 г. </c:v>
                </c:pt>
                <c:pt idx="2">
                  <c:v>2017 г. </c:v>
                </c:pt>
                <c:pt idx="3">
                  <c:v>2018 г. </c:v>
                </c:pt>
                <c:pt idx="4">
                  <c:v>2019 г. </c:v>
                </c:pt>
                <c:pt idx="5">
                  <c:v>2020 г. </c:v>
                </c:pt>
              </c:strCache>
            </c:strRef>
          </c:cat>
          <c:val>
            <c:numRef>
              <c:f>Лист3!$B$2:$G$2</c:f>
              <c:numCache>
                <c:formatCode>General</c:formatCode>
                <c:ptCount val="6"/>
                <c:pt idx="0">
                  <c:v>2.4</c:v>
                </c:pt>
                <c:pt idx="1">
                  <c:v>1.8</c:v>
                </c:pt>
                <c:pt idx="2">
                  <c:v>1.5</c:v>
                </c:pt>
                <c:pt idx="3" formatCode="0.00">
                  <c:v>1.1000000000000001</c:v>
                </c:pt>
                <c:pt idx="4">
                  <c:v>0.9</c:v>
                </c:pt>
                <c:pt idx="5">
                  <c:v>0.8</c:v>
                </c:pt>
              </c:numCache>
            </c:numRef>
          </c:val>
        </c:ser>
        <c:ser>
          <c:idx val="4"/>
          <c:order val="4"/>
          <c:tx>
            <c:strRef>
              <c:f>Лист3!$A$6</c:f>
              <c:strCache>
                <c:ptCount val="1"/>
                <c:pt idx="0">
                  <c:v>вклады клиентов</c:v>
                </c:pt>
              </c:strCache>
            </c:strRef>
          </c:tx>
          <c:spPr>
            <a:solidFill>
              <a:srgbClr val="FFFF00"/>
            </a:solidFill>
          </c:spPr>
          <c:invertIfNegative val="0"/>
          <c:dLbls>
            <c:dLbl>
              <c:idx val="0"/>
              <c:layout>
                <c:manualLayout>
                  <c:x val="-2.0755500207555004E-3"/>
                  <c:y val="-0.12128325508607227"/>
                </c:manualLayout>
              </c:layout>
              <c:showLegendKey val="0"/>
              <c:showVal val="1"/>
              <c:showCatName val="0"/>
              <c:showSerName val="0"/>
              <c:showPercent val="0"/>
              <c:showBubbleSize val="0"/>
            </c:dLbl>
            <c:dLbl>
              <c:idx val="1"/>
              <c:layout>
                <c:manualLayout>
                  <c:x val="-2.0755500207555004E-3"/>
                  <c:y val="-0.11737089201877934"/>
                </c:manualLayout>
              </c:layout>
              <c:showLegendKey val="0"/>
              <c:showVal val="1"/>
              <c:showCatName val="0"/>
              <c:showSerName val="0"/>
              <c:showPercent val="0"/>
              <c:showBubbleSize val="0"/>
            </c:dLbl>
            <c:dLbl>
              <c:idx val="2"/>
              <c:layout>
                <c:manualLayout>
                  <c:x val="3.8051310808528392E-17"/>
                  <c:y val="-8.607198748043815E-2"/>
                </c:manualLayout>
              </c:layout>
              <c:showLegendKey val="0"/>
              <c:showVal val="1"/>
              <c:showCatName val="0"/>
              <c:showSerName val="0"/>
              <c:showPercent val="0"/>
              <c:showBubbleSize val="0"/>
            </c:dLbl>
            <c:dLbl>
              <c:idx val="3"/>
              <c:layout>
                <c:manualLayout>
                  <c:x val="-6.2266500622665004E-3"/>
                  <c:y val="-7.82472613458529E-2"/>
                </c:manualLayout>
              </c:layout>
              <c:showLegendKey val="0"/>
              <c:showVal val="1"/>
              <c:showCatName val="0"/>
              <c:showSerName val="0"/>
              <c:showPercent val="0"/>
              <c:showBubbleSize val="0"/>
            </c:dLbl>
            <c:dLbl>
              <c:idx val="4"/>
              <c:layout>
                <c:manualLayout>
                  <c:x val="-6.2266500622665004E-3"/>
                  <c:y val="-5.8685446009389741E-2"/>
                </c:manualLayout>
              </c:layout>
              <c:showLegendKey val="0"/>
              <c:showVal val="1"/>
              <c:showCatName val="0"/>
              <c:showSerName val="0"/>
              <c:showPercent val="0"/>
              <c:showBubbleSize val="0"/>
            </c:dLbl>
            <c:dLbl>
              <c:idx val="5"/>
              <c:layout>
                <c:manualLayout>
                  <c:x val="0"/>
                  <c:y val="-0.2151799687010954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Лист3!$B$1:$G$1</c:f>
              <c:strCache>
                <c:ptCount val="6"/>
                <c:pt idx="0">
                  <c:v>2015 г. </c:v>
                </c:pt>
                <c:pt idx="1">
                  <c:v>2016 г. </c:v>
                </c:pt>
                <c:pt idx="2">
                  <c:v>2017 г. </c:v>
                </c:pt>
                <c:pt idx="3">
                  <c:v>2018 г. </c:v>
                </c:pt>
                <c:pt idx="4">
                  <c:v>2019 г. </c:v>
                </c:pt>
                <c:pt idx="5">
                  <c:v>2020 г. </c:v>
                </c:pt>
              </c:strCache>
            </c:strRef>
          </c:cat>
          <c:val>
            <c:numRef>
              <c:f>Лист3!$B$6:$G$6</c:f>
              <c:numCache>
                <c:formatCode>General</c:formatCode>
                <c:ptCount val="6"/>
                <c:pt idx="0">
                  <c:v>73.3</c:v>
                </c:pt>
                <c:pt idx="1">
                  <c:v>76</c:v>
                </c:pt>
                <c:pt idx="2">
                  <c:v>78.900000000000006</c:v>
                </c:pt>
                <c:pt idx="3">
                  <c:v>76.7</c:v>
                </c:pt>
                <c:pt idx="4">
                  <c:v>77.599999999999994</c:v>
                </c:pt>
                <c:pt idx="5">
                  <c:v>79</c:v>
                </c:pt>
              </c:numCache>
            </c:numRef>
          </c:val>
        </c:ser>
        <c:ser>
          <c:idx val="5"/>
          <c:order val="5"/>
          <c:tx>
            <c:strRef>
              <c:f>Лист3!$A$7</c:f>
              <c:strCache>
                <c:ptCount val="1"/>
                <c:pt idx="0">
                  <c:v>выпущенные ценные бумаги</c:v>
                </c:pt>
              </c:strCache>
            </c:strRef>
          </c:tx>
          <c:invertIfNegative val="0"/>
          <c:dLbls>
            <c:showLegendKey val="0"/>
            <c:showVal val="1"/>
            <c:showCatName val="0"/>
            <c:showSerName val="0"/>
            <c:showPercent val="0"/>
            <c:showBubbleSize val="0"/>
            <c:showLeaderLines val="0"/>
          </c:dLbls>
          <c:cat>
            <c:strRef>
              <c:f>Лист3!$B$1:$G$1</c:f>
              <c:strCache>
                <c:ptCount val="6"/>
                <c:pt idx="0">
                  <c:v>2015 г. </c:v>
                </c:pt>
                <c:pt idx="1">
                  <c:v>2016 г. </c:v>
                </c:pt>
                <c:pt idx="2">
                  <c:v>2017 г. </c:v>
                </c:pt>
                <c:pt idx="3">
                  <c:v>2018 г. </c:v>
                </c:pt>
                <c:pt idx="4">
                  <c:v>2019 г. </c:v>
                </c:pt>
                <c:pt idx="5">
                  <c:v>2020 г. </c:v>
                </c:pt>
              </c:strCache>
            </c:strRef>
          </c:cat>
          <c:val>
            <c:numRef>
              <c:f>Лист3!$B$7:$G$7</c:f>
              <c:numCache>
                <c:formatCode>General</c:formatCode>
                <c:ptCount val="6"/>
                <c:pt idx="0">
                  <c:v>9.9</c:v>
                </c:pt>
                <c:pt idx="1">
                  <c:v>7.8</c:v>
                </c:pt>
                <c:pt idx="2">
                  <c:v>6.3</c:v>
                </c:pt>
                <c:pt idx="3">
                  <c:v>7.5</c:v>
                </c:pt>
                <c:pt idx="4">
                  <c:v>7.8</c:v>
                </c:pt>
                <c:pt idx="5">
                  <c:v>7</c:v>
                </c:pt>
              </c:numCache>
            </c:numRef>
          </c:val>
        </c:ser>
        <c:ser>
          <c:idx val="7"/>
          <c:order val="7"/>
          <c:tx>
            <c:strRef>
              <c:f>Лист3!$A$9</c:f>
              <c:strCache>
                <c:ptCount val="1"/>
                <c:pt idx="0">
                  <c:v>уставный капитал</c:v>
                </c:pt>
              </c:strCache>
            </c:strRef>
          </c:tx>
          <c:spPr>
            <a:ln w="25400">
              <a:noFill/>
            </a:ln>
          </c:spPr>
          <c:invertIfNegative val="0"/>
          <c:dLbls>
            <c:showLegendKey val="0"/>
            <c:showVal val="1"/>
            <c:showCatName val="0"/>
            <c:showSerName val="0"/>
            <c:showPercent val="0"/>
            <c:showBubbleSize val="0"/>
            <c:showLeaderLines val="0"/>
          </c:dLbls>
          <c:cat>
            <c:strRef>
              <c:f>Лист3!$B$1:$G$1</c:f>
              <c:strCache>
                <c:ptCount val="6"/>
                <c:pt idx="0">
                  <c:v>2015 г. </c:v>
                </c:pt>
                <c:pt idx="1">
                  <c:v>2016 г. </c:v>
                </c:pt>
                <c:pt idx="2">
                  <c:v>2017 г. </c:v>
                </c:pt>
                <c:pt idx="3">
                  <c:v>2018 г. </c:v>
                </c:pt>
                <c:pt idx="4">
                  <c:v>2019 г. </c:v>
                </c:pt>
                <c:pt idx="5">
                  <c:v>2020 г. </c:v>
                </c:pt>
              </c:strCache>
            </c:strRef>
          </c:cat>
          <c:val>
            <c:numRef>
              <c:f>Лист3!$B$9:$G$9</c:f>
              <c:numCache>
                <c:formatCode>General</c:formatCode>
                <c:ptCount val="6"/>
                <c:pt idx="0">
                  <c:v>6.2</c:v>
                </c:pt>
                <c:pt idx="1">
                  <c:v>5.7</c:v>
                </c:pt>
                <c:pt idx="2">
                  <c:v>8.2000000000000011</c:v>
                </c:pt>
                <c:pt idx="3">
                  <c:v>6.1</c:v>
                </c:pt>
                <c:pt idx="4">
                  <c:v>5.7</c:v>
                </c:pt>
                <c:pt idx="5">
                  <c:v>6.4</c:v>
                </c:pt>
              </c:numCache>
            </c:numRef>
          </c:val>
        </c:ser>
        <c:ser>
          <c:idx val="8"/>
          <c:order val="8"/>
          <c:tx>
            <c:strRef>
              <c:f>Лист3!$A$10</c:f>
              <c:strCache>
                <c:ptCount val="1"/>
                <c:pt idx="0">
                  <c:v>нераспределенная прибыль</c:v>
                </c:pt>
              </c:strCache>
            </c:strRef>
          </c:tx>
          <c:spPr>
            <a:ln w="25400">
              <a:noFill/>
            </a:ln>
          </c:spPr>
          <c:invertIfNegative val="0"/>
          <c:dLbls>
            <c:dLbl>
              <c:idx val="2"/>
              <c:delete val="1"/>
            </c:dLbl>
            <c:showLegendKey val="0"/>
            <c:showVal val="1"/>
            <c:showCatName val="0"/>
            <c:showSerName val="0"/>
            <c:showPercent val="0"/>
            <c:showBubbleSize val="0"/>
            <c:showLeaderLines val="0"/>
          </c:dLbls>
          <c:cat>
            <c:strRef>
              <c:f>Лист3!$B$1:$G$1</c:f>
              <c:strCache>
                <c:ptCount val="6"/>
                <c:pt idx="0">
                  <c:v>2015 г. </c:v>
                </c:pt>
                <c:pt idx="1">
                  <c:v>2016 г. </c:v>
                </c:pt>
                <c:pt idx="2">
                  <c:v>2017 г. </c:v>
                </c:pt>
                <c:pt idx="3">
                  <c:v>2018 г. </c:v>
                </c:pt>
                <c:pt idx="4">
                  <c:v>2019 г. </c:v>
                </c:pt>
                <c:pt idx="5">
                  <c:v>2020 г. </c:v>
                </c:pt>
              </c:strCache>
            </c:strRef>
          </c:cat>
          <c:val>
            <c:numRef>
              <c:f>Лист3!$B$10:$G$10</c:f>
              <c:numCache>
                <c:formatCode>General</c:formatCode>
                <c:ptCount val="6"/>
                <c:pt idx="0">
                  <c:v>2.4</c:v>
                </c:pt>
                <c:pt idx="1">
                  <c:v>1.4</c:v>
                </c:pt>
                <c:pt idx="2">
                  <c:v>0</c:v>
                </c:pt>
                <c:pt idx="3">
                  <c:v>3</c:v>
                </c:pt>
                <c:pt idx="4">
                  <c:v>2.6</c:v>
                </c:pt>
                <c:pt idx="5">
                  <c:v>2.2999999999999998</c:v>
                </c:pt>
              </c:numCache>
            </c:numRef>
          </c:val>
        </c:ser>
        <c:dLbls>
          <c:showLegendKey val="0"/>
          <c:showVal val="0"/>
          <c:showCatName val="0"/>
          <c:showSerName val="0"/>
          <c:showPercent val="0"/>
          <c:showBubbleSize val="0"/>
        </c:dLbls>
        <c:gapWidth val="150"/>
        <c:overlap val="100"/>
        <c:axId val="221904896"/>
        <c:axId val="221906432"/>
      </c:barChart>
      <c:lineChart>
        <c:grouping val="standard"/>
        <c:varyColors val="0"/>
        <c:ser>
          <c:idx val="1"/>
          <c:order val="1"/>
          <c:tx>
            <c:strRef>
              <c:f>Лист3!$A$3</c:f>
              <c:strCache>
                <c:ptCount val="1"/>
                <c:pt idx="0">
                  <c:v>полученные займы от банков и др. небанковских организаций</c:v>
                </c:pt>
              </c:strCache>
            </c:strRef>
          </c:tx>
          <c:marker>
            <c:spPr>
              <a:solidFill>
                <a:srgbClr val="00B0F0"/>
              </a:solidFill>
            </c:spPr>
          </c:marker>
          <c:dPt>
            <c:idx val="1"/>
            <c:bubble3D val="0"/>
            <c:spPr>
              <a:ln>
                <a:solidFill>
                  <a:srgbClr val="00B0F0"/>
                </a:solidFill>
              </a:ln>
            </c:spPr>
          </c:dPt>
          <c:dPt>
            <c:idx val="2"/>
            <c:bubble3D val="0"/>
            <c:spPr>
              <a:ln>
                <a:solidFill>
                  <a:srgbClr val="00B0F0"/>
                </a:solidFill>
              </a:ln>
            </c:spPr>
          </c:dPt>
          <c:dPt>
            <c:idx val="3"/>
            <c:bubble3D val="0"/>
            <c:spPr>
              <a:ln>
                <a:solidFill>
                  <a:srgbClr val="00B0F0"/>
                </a:solidFill>
              </a:ln>
            </c:spPr>
          </c:dPt>
          <c:dPt>
            <c:idx val="4"/>
            <c:bubble3D val="0"/>
            <c:spPr>
              <a:ln>
                <a:solidFill>
                  <a:srgbClr val="00B0F0"/>
                </a:solidFill>
              </a:ln>
            </c:spPr>
          </c:dPt>
          <c:dPt>
            <c:idx val="5"/>
            <c:bubble3D val="0"/>
            <c:spPr>
              <a:ln>
                <a:solidFill>
                  <a:srgbClr val="00B0F0"/>
                </a:solidFill>
              </a:ln>
            </c:spPr>
          </c:dPt>
          <c:dLbls>
            <c:dLbl>
              <c:idx val="0"/>
              <c:layout>
                <c:manualLayout>
                  <c:x val="-3.3208800332088007E-2"/>
                  <c:y val="3.5211267605633881E-2"/>
                </c:manualLayout>
              </c:layout>
              <c:showLegendKey val="0"/>
              <c:showVal val="1"/>
              <c:showCatName val="0"/>
              <c:showSerName val="0"/>
              <c:showPercent val="0"/>
              <c:showBubbleSize val="0"/>
            </c:dLbl>
            <c:dLbl>
              <c:idx val="5"/>
              <c:layout>
                <c:manualLayout>
                  <c:x val="-6.2266500622665004E-3"/>
                  <c:y val="0"/>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Лист3!$B$1:$G$1</c:f>
              <c:strCache>
                <c:ptCount val="6"/>
                <c:pt idx="0">
                  <c:v>2015 г. </c:v>
                </c:pt>
                <c:pt idx="1">
                  <c:v>2016 г. </c:v>
                </c:pt>
                <c:pt idx="2">
                  <c:v>2017 г. </c:v>
                </c:pt>
                <c:pt idx="3">
                  <c:v>2018 г. </c:v>
                </c:pt>
                <c:pt idx="4">
                  <c:v>2019 г. </c:v>
                </c:pt>
                <c:pt idx="5">
                  <c:v>2020 г. </c:v>
                </c:pt>
              </c:strCache>
            </c:strRef>
          </c:cat>
          <c:val>
            <c:numRef>
              <c:f>Лист3!$B$3:$G$3</c:f>
              <c:numCache>
                <c:formatCode>General</c:formatCode>
                <c:ptCount val="6"/>
                <c:pt idx="0">
                  <c:v>3.8</c:v>
                </c:pt>
                <c:pt idx="1">
                  <c:v>4.2</c:v>
                </c:pt>
                <c:pt idx="2">
                  <c:v>2.9</c:v>
                </c:pt>
                <c:pt idx="3">
                  <c:v>3.7</c:v>
                </c:pt>
                <c:pt idx="4">
                  <c:v>2.9</c:v>
                </c:pt>
                <c:pt idx="5">
                  <c:v>2.1</c:v>
                </c:pt>
              </c:numCache>
            </c:numRef>
          </c:val>
          <c:smooth val="0"/>
        </c:ser>
        <c:ser>
          <c:idx val="2"/>
          <c:order val="2"/>
          <c:tx>
            <c:strRef>
              <c:f>Лист3!$A$4</c:f>
              <c:strCache>
                <c:ptCount val="1"/>
                <c:pt idx="0">
                  <c:v>займы, полученные от Правительства РК</c:v>
                </c:pt>
              </c:strCache>
            </c:strRef>
          </c:tx>
          <c:dLbls>
            <c:dLbl>
              <c:idx val="5"/>
              <c:layout>
                <c:manualLayout>
                  <c:x val="-1.2453300124532999E-2"/>
                  <c:y val="1.1737089201877967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Лист3!$B$1:$G$1</c:f>
              <c:strCache>
                <c:ptCount val="6"/>
                <c:pt idx="0">
                  <c:v>2015 г. </c:v>
                </c:pt>
                <c:pt idx="1">
                  <c:v>2016 г. </c:v>
                </c:pt>
                <c:pt idx="2">
                  <c:v>2017 г. </c:v>
                </c:pt>
                <c:pt idx="3">
                  <c:v>2018 г. </c:v>
                </c:pt>
                <c:pt idx="4">
                  <c:v>2019 г. </c:v>
                </c:pt>
                <c:pt idx="5">
                  <c:v>2020 г. </c:v>
                </c:pt>
              </c:strCache>
            </c:strRef>
          </c:cat>
          <c:val>
            <c:numRef>
              <c:f>Лист3!$B$4:$G$4</c:f>
              <c:numCache>
                <c:formatCode>General</c:formatCode>
                <c:ptCount val="6"/>
                <c:pt idx="0">
                  <c:v>0.8</c:v>
                </c:pt>
                <c:pt idx="1">
                  <c:v>1</c:v>
                </c:pt>
                <c:pt idx="2">
                  <c:v>0.2</c:v>
                </c:pt>
                <c:pt idx="3">
                  <c:v>0.1</c:v>
                </c:pt>
                <c:pt idx="4">
                  <c:v>0.8</c:v>
                </c:pt>
                <c:pt idx="5">
                  <c:v>1</c:v>
                </c:pt>
              </c:numCache>
            </c:numRef>
          </c:val>
          <c:smooth val="0"/>
        </c:ser>
        <c:ser>
          <c:idx val="3"/>
          <c:order val="3"/>
          <c:tx>
            <c:strRef>
              <c:f>Лист3!$A$5</c:f>
              <c:strCache>
                <c:ptCount val="1"/>
                <c:pt idx="0">
                  <c:v>займы, полученные от МФО</c:v>
                </c:pt>
              </c:strCache>
            </c:strRef>
          </c:tx>
          <c:cat>
            <c:strRef>
              <c:f>Лист3!$B$1:$G$1</c:f>
              <c:strCache>
                <c:ptCount val="6"/>
                <c:pt idx="0">
                  <c:v>2015 г. </c:v>
                </c:pt>
                <c:pt idx="1">
                  <c:v>2016 г. </c:v>
                </c:pt>
                <c:pt idx="2">
                  <c:v>2017 г. </c:v>
                </c:pt>
                <c:pt idx="3">
                  <c:v>2018 г. </c:v>
                </c:pt>
                <c:pt idx="4">
                  <c:v>2019 г. </c:v>
                </c:pt>
                <c:pt idx="5">
                  <c:v>2020 г. </c:v>
                </c:pt>
              </c:strCache>
            </c:strRef>
          </c:cat>
          <c:val>
            <c:numRef>
              <c:f>Лист3!$B$5:$G$5</c:f>
              <c:numCache>
                <c:formatCode>General</c:formatCode>
                <c:ptCount val="6"/>
                <c:pt idx="0">
                  <c:v>0.2</c:v>
                </c:pt>
                <c:pt idx="1">
                  <c:v>0.2</c:v>
                </c:pt>
                <c:pt idx="2">
                  <c:v>0.1</c:v>
                </c:pt>
                <c:pt idx="3">
                  <c:v>0.30000000000000032</c:v>
                </c:pt>
                <c:pt idx="4">
                  <c:v>0.1</c:v>
                </c:pt>
                <c:pt idx="5">
                  <c:v>0.2</c:v>
                </c:pt>
              </c:numCache>
            </c:numRef>
          </c:val>
          <c:smooth val="0"/>
        </c:ser>
        <c:ser>
          <c:idx val="6"/>
          <c:order val="6"/>
          <c:tx>
            <c:strRef>
              <c:f>Лист3!$A$8</c:f>
              <c:strCache>
                <c:ptCount val="1"/>
                <c:pt idx="0">
                  <c:v>операции РЕПО</c:v>
                </c:pt>
              </c:strCache>
            </c:strRef>
          </c:tx>
          <c:spPr>
            <a:ln>
              <a:prstDash val="dash"/>
            </a:ln>
          </c:spPr>
          <c:dLbls>
            <c:dLbl>
              <c:idx val="5"/>
              <c:layout>
                <c:manualLayout>
                  <c:x val="-1.4528850145288527E-2"/>
                  <c:y val="-1.1737089201877967E-2"/>
                </c:manualLayout>
              </c:layout>
              <c:showLegendKey val="0"/>
              <c:showVal val="1"/>
              <c:showCatName val="0"/>
              <c:showSerName val="0"/>
              <c:showPercent val="0"/>
              <c:showBubbleSize val="0"/>
            </c:dLbl>
            <c:txPr>
              <a:bodyPr/>
              <a:lstStyle/>
              <a:p>
                <a:pPr>
                  <a:defRPr b="1" i="1"/>
                </a:pPr>
                <a:endParaRPr lang="ru-RU"/>
              </a:p>
            </c:txPr>
            <c:showLegendKey val="0"/>
            <c:showVal val="1"/>
            <c:showCatName val="0"/>
            <c:showSerName val="0"/>
            <c:showPercent val="0"/>
            <c:showBubbleSize val="0"/>
            <c:showLeaderLines val="0"/>
          </c:dLbls>
          <c:cat>
            <c:strRef>
              <c:f>Лист3!$B$1:$G$1</c:f>
              <c:strCache>
                <c:ptCount val="6"/>
                <c:pt idx="0">
                  <c:v>2015 г. </c:v>
                </c:pt>
                <c:pt idx="1">
                  <c:v>2016 г. </c:v>
                </c:pt>
                <c:pt idx="2">
                  <c:v>2017 г. </c:v>
                </c:pt>
                <c:pt idx="3">
                  <c:v>2018 г. </c:v>
                </c:pt>
                <c:pt idx="4">
                  <c:v>2019 г. </c:v>
                </c:pt>
                <c:pt idx="5">
                  <c:v>2020 г. </c:v>
                </c:pt>
              </c:strCache>
            </c:strRef>
          </c:cat>
          <c:val>
            <c:numRef>
              <c:f>Лист3!$B$8:$G$8</c:f>
              <c:numCache>
                <c:formatCode>General</c:formatCode>
                <c:ptCount val="6"/>
                <c:pt idx="0">
                  <c:v>1</c:v>
                </c:pt>
                <c:pt idx="1">
                  <c:v>1.9000000000000001</c:v>
                </c:pt>
                <c:pt idx="2">
                  <c:v>1.9000000000000001</c:v>
                </c:pt>
                <c:pt idx="3" formatCode="0.00">
                  <c:v>1.5</c:v>
                </c:pt>
                <c:pt idx="4">
                  <c:v>1.6</c:v>
                </c:pt>
                <c:pt idx="5">
                  <c:v>1.2</c:v>
                </c:pt>
              </c:numCache>
            </c:numRef>
          </c:val>
          <c:smooth val="0"/>
        </c:ser>
        <c:dLbls>
          <c:showLegendKey val="0"/>
          <c:showVal val="0"/>
          <c:showCatName val="0"/>
          <c:showSerName val="0"/>
          <c:showPercent val="0"/>
          <c:showBubbleSize val="0"/>
        </c:dLbls>
        <c:marker val="1"/>
        <c:smooth val="0"/>
        <c:axId val="221917952"/>
        <c:axId val="221907968"/>
      </c:lineChart>
      <c:catAx>
        <c:axId val="221904896"/>
        <c:scaling>
          <c:orientation val="minMax"/>
        </c:scaling>
        <c:delete val="0"/>
        <c:axPos val="b"/>
        <c:majorTickMark val="out"/>
        <c:minorTickMark val="none"/>
        <c:tickLblPos val="nextTo"/>
        <c:crossAx val="221906432"/>
        <c:crosses val="autoZero"/>
        <c:auto val="1"/>
        <c:lblAlgn val="ctr"/>
        <c:lblOffset val="100"/>
        <c:noMultiLvlLbl val="0"/>
      </c:catAx>
      <c:valAx>
        <c:axId val="221906432"/>
        <c:scaling>
          <c:orientation val="minMax"/>
        </c:scaling>
        <c:delete val="0"/>
        <c:axPos val="l"/>
        <c:majorGridlines/>
        <c:numFmt formatCode="0%" sourceLinked="1"/>
        <c:majorTickMark val="out"/>
        <c:minorTickMark val="none"/>
        <c:tickLblPos val="nextTo"/>
        <c:crossAx val="221904896"/>
        <c:crosses val="autoZero"/>
        <c:crossBetween val="between"/>
      </c:valAx>
      <c:valAx>
        <c:axId val="221907968"/>
        <c:scaling>
          <c:orientation val="minMax"/>
        </c:scaling>
        <c:delete val="0"/>
        <c:axPos val="r"/>
        <c:numFmt formatCode="General" sourceLinked="1"/>
        <c:majorTickMark val="out"/>
        <c:minorTickMark val="none"/>
        <c:tickLblPos val="nextTo"/>
        <c:crossAx val="221917952"/>
        <c:crosses val="max"/>
        <c:crossBetween val="between"/>
      </c:valAx>
      <c:catAx>
        <c:axId val="221917952"/>
        <c:scaling>
          <c:orientation val="minMax"/>
        </c:scaling>
        <c:delete val="1"/>
        <c:axPos val="b"/>
        <c:majorTickMark val="out"/>
        <c:minorTickMark val="none"/>
        <c:tickLblPos val="none"/>
        <c:crossAx val="221907968"/>
        <c:crosses val="autoZero"/>
        <c:auto val="1"/>
        <c:lblAlgn val="ctr"/>
        <c:lblOffset val="100"/>
        <c:noMultiLvlLbl val="0"/>
      </c:catAx>
    </c:plotArea>
    <c:legend>
      <c:legendPos val="r"/>
      <c:layout>
        <c:manualLayout>
          <c:xMode val="edge"/>
          <c:yMode val="edge"/>
          <c:x val="0.65209909658728804"/>
          <c:y val="3.4564341429152391E-4"/>
          <c:w val="0.34575373591121622"/>
          <c:h val="0.98400490431653787"/>
        </c:manualLayout>
      </c:layout>
      <c:overlay val="0"/>
      <c:txPr>
        <a:bodyPr/>
        <a:lstStyle/>
        <a:p>
          <a:pPr defTabSz="648000">
            <a:lnSpc>
              <a:spcPct val="80000"/>
            </a:lnSpc>
            <a:defRPr sz="1000"/>
          </a:pPr>
          <a:endParaRPr lang="ru-RU"/>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9088715211713822E-2"/>
          <c:y val="5.0925762873889946E-2"/>
          <c:w val="0.76720526105240561"/>
          <c:h val="0.77933678817304386"/>
        </c:manualLayout>
      </c:layout>
      <c:bar3DChart>
        <c:barDir val="col"/>
        <c:grouping val="percentStacked"/>
        <c:varyColors val="0"/>
        <c:ser>
          <c:idx val="0"/>
          <c:order val="0"/>
          <c:tx>
            <c:strRef>
              <c:f>'[Сведения о структуре вкладов5.xlsx]Лист2'!$A$2</c:f>
              <c:strCache>
                <c:ptCount val="1"/>
                <c:pt idx="0">
                  <c:v>в тенге</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dLbls>
            <c:showLegendKey val="0"/>
            <c:showVal val="1"/>
            <c:showCatName val="0"/>
            <c:showSerName val="0"/>
            <c:showPercent val="0"/>
            <c:showBubbleSize val="0"/>
            <c:showLeaderLines val="0"/>
          </c:dLbls>
          <c:cat>
            <c:strRef>
              <c:f>'[Сведения о структуре вкладов5.xlsx]Лист2'!$B$1:$F$1</c:f>
              <c:strCache>
                <c:ptCount val="5"/>
                <c:pt idx="0">
                  <c:v>2017 г.</c:v>
                </c:pt>
                <c:pt idx="1">
                  <c:v>2018 г.</c:v>
                </c:pt>
                <c:pt idx="2">
                  <c:v>2019 г.</c:v>
                </c:pt>
                <c:pt idx="3">
                  <c:v>2020 г.</c:v>
                </c:pt>
                <c:pt idx="4">
                  <c:v>01.02.2021 г.</c:v>
                </c:pt>
              </c:strCache>
            </c:strRef>
          </c:cat>
          <c:val>
            <c:numRef>
              <c:f>'[Сведения о структуре вкладов5.xlsx]Лист2'!$B$2:$F$2</c:f>
              <c:numCache>
                <c:formatCode>General</c:formatCode>
                <c:ptCount val="5"/>
                <c:pt idx="0">
                  <c:v>52.4</c:v>
                </c:pt>
                <c:pt idx="1">
                  <c:v>50.46</c:v>
                </c:pt>
                <c:pt idx="2">
                  <c:v>57</c:v>
                </c:pt>
                <c:pt idx="3">
                  <c:v>61.4</c:v>
                </c:pt>
                <c:pt idx="4">
                  <c:v>61.44</c:v>
                </c:pt>
              </c:numCache>
            </c:numRef>
          </c:val>
        </c:ser>
        <c:ser>
          <c:idx val="1"/>
          <c:order val="1"/>
          <c:tx>
            <c:strRef>
              <c:f>'[Сведения о структуре вкладов5.xlsx]Лист2'!$A$3</c:f>
              <c:strCache>
                <c:ptCount val="1"/>
                <c:pt idx="0">
                  <c:v>в ин валюте</c:v>
                </c:pt>
              </c:strCache>
            </c:strRef>
          </c:t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invertIfNegative val="0"/>
          <c:dLbls>
            <c:showLegendKey val="0"/>
            <c:showVal val="1"/>
            <c:showCatName val="0"/>
            <c:showSerName val="0"/>
            <c:showPercent val="0"/>
            <c:showBubbleSize val="0"/>
            <c:showLeaderLines val="0"/>
          </c:dLbls>
          <c:cat>
            <c:strRef>
              <c:f>'[Сведения о структуре вкладов5.xlsx]Лист2'!$B$1:$F$1</c:f>
              <c:strCache>
                <c:ptCount val="5"/>
                <c:pt idx="0">
                  <c:v>2017 г.</c:v>
                </c:pt>
                <c:pt idx="1">
                  <c:v>2018 г.</c:v>
                </c:pt>
                <c:pt idx="2">
                  <c:v>2019 г.</c:v>
                </c:pt>
                <c:pt idx="3">
                  <c:v>2020 г.</c:v>
                </c:pt>
                <c:pt idx="4">
                  <c:v>01.02.2021 г.</c:v>
                </c:pt>
              </c:strCache>
            </c:strRef>
          </c:cat>
          <c:val>
            <c:numRef>
              <c:f>'[Сведения о структуре вкладов5.xlsx]Лист2'!$B$3:$F$3</c:f>
              <c:numCache>
                <c:formatCode>General</c:formatCode>
                <c:ptCount val="5"/>
                <c:pt idx="0">
                  <c:v>47.6</c:v>
                </c:pt>
                <c:pt idx="1">
                  <c:v>49.54</c:v>
                </c:pt>
                <c:pt idx="2">
                  <c:v>43</c:v>
                </c:pt>
                <c:pt idx="3">
                  <c:v>38.6</c:v>
                </c:pt>
                <c:pt idx="4">
                  <c:v>38.56</c:v>
                </c:pt>
              </c:numCache>
            </c:numRef>
          </c:val>
        </c:ser>
        <c:dLbls>
          <c:showLegendKey val="0"/>
          <c:showVal val="0"/>
          <c:showCatName val="0"/>
          <c:showSerName val="0"/>
          <c:showPercent val="0"/>
          <c:showBubbleSize val="0"/>
        </c:dLbls>
        <c:gapWidth val="150"/>
        <c:shape val="cylinder"/>
        <c:axId val="221931776"/>
        <c:axId val="221945856"/>
        <c:axId val="0"/>
      </c:bar3DChart>
      <c:catAx>
        <c:axId val="221931776"/>
        <c:scaling>
          <c:orientation val="minMax"/>
        </c:scaling>
        <c:delete val="0"/>
        <c:axPos val="b"/>
        <c:majorTickMark val="out"/>
        <c:minorTickMark val="none"/>
        <c:tickLblPos val="nextTo"/>
        <c:txPr>
          <a:bodyPr/>
          <a:lstStyle/>
          <a:p>
            <a:pPr>
              <a:defRPr sz="1050"/>
            </a:pPr>
            <a:endParaRPr lang="ru-RU"/>
          </a:p>
        </c:txPr>
        <c:crossAx val="221945856"/>
        <c:crosses val="autoZero"/>
        <c:auto val="1"/>
        <c:lblAlgn val="ctr"/>
        <c:lblOffset val="100"/>
        <c:noMultiLvlLbl val="0"/>
      </c:catAx>
      <c:valAx>
        <c:axId val="221945856"/>
        <c:scaling>
          <c:orientation val="minMax"/>
        </c:scaling>
        <c:delete val="0"/>
        <c:axPos val="l"/>
        <c:majorGridlines/>
        <c:numFmt formatCode="0%" sourceLinked="1"/>
        <c:majorTickMark val="out"/>
        <c:minorTickMark val="none"/>
        <c:tickLblPos val="nextTo"/>
        <c:crossAx val="221931776"/>
        <c:crosses val="autoZero"/>
        <c:crossBetween val="between"/>
      </c:valAx>
    </c:plotArea>
    <c:legend>
      <c:legendPos val="r"/>
      <c:layout>
        <c:manualLayout>
          <c:xMode val="edge"/>
          <c:yMode val="edge"/>
          <c:x val="0.84359204046123448"/>
          <c:y val="0.4214621609798791"/>
          <c:w val="0.15640795953876599"/>
          <c:h val="0.1570756780402449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2209213548680948"/>
          <c:y val="1.3473260322155163E-2"/>
          <c:w val="0.47481281600099673"/>
          <c:h val="0.94736633491879507"/>
        </c:manualLayout>
      </c:layout>
      <c:bar3DChart>
        <c:barDir val="bar"/>
        <c:grouping val="clustered"/>
        <c:varyColors val="0"/>
        <c:ser>
          <c:idx val="0"/>
          <c:order val="0"/>
          <c:tx>
            <c:strRef>
              <c:f>'01.02.2019'!$C$3</c:f>
              <c:strCache>
                <c:ptCount val="1"/>
                <c:pt idx="0">
                  <c:v>01.02.2019 г.</c:v>
                </c:pt>
              </c:strCache>
            </c:strRef>
          </c:tx>
          <c:spPr>
            <a:solidFill>
              <a:schemeClr val="tx2">
                <a:lumMod val="40000"/>
                <a:lumOff val="60000"/>
              </a:schemeClr>
            </a:solidFill>
          </c:spPr>
          <c:invertIfNegative val="0"/>
          <c:dLbls>
            <c:dLbl>
              <c:idx val="15"/>
              <c:layout>
                <c:manualLayout>
                  <c:x val="-7.698709945900957E-2"/>
                  <c:y val="0"/>
                </c:manualLayout>
              </c:layout>
              <c:showLegendKey val="0"/>
              <c:showVal val="1"/>
              <c:showCatName val="0"/>
              <c:showSerName val="0"/>
              <c:showPercent val="0"/>
              <c:showBubbleSize val="0"/>
            </c:dLbl>
            <c:dLbl>
              <c:idx val="16"/>
              <c:layout>
                <c:manualLayout>
                  <c:x val="-5.6179775280898771E-2"/>
                  <c:y val="-4.2301184433164128E-3"/>
                </c:manualLayout>
              </c:layout>
              <c:showLegendKey val="0"/>
              <c:showVal val="1"/>
              <c:showCatName val="0"/>
              <c:showSerName val="0"/>
              <c:showPercent val="0"/>
              <c:showBubbleSize val="0"/>
            </c:dLbl>
            <c:dLbl>
              <c:idx val="17"/>
              <c:layout>
                <c:manualLayout>
                  <c:x val="-4.1614648356221489E-3"/>
                  <c:y val="0"/>
                </c:manualLayout>
              </c:layout>
              <c:showLegendKey val="0"/>
              <c:showVal val="1"/>
              <c:showCatName val="0"/>
              <c:showSerName val="0"/>
              <c:showPercent val="0"/>
              <c:showBubbleSize val="0"/>
            </c:dLbl>
            <c:dLbl>
              <c:idx val="18"/>
              <c:layout>
                <c:manualLayout>
                  <c:x val="-8.3229296712443116E-3"/>
                  <c:y val="4.230118443316412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'01.02.2019'!$B$4:$B$23</c:f>
              <c:strCache>
                <c:ptCount val="20"/>
                <c:pt idx="0">
                  <c:v>АО "Народный Банк Казахстана"</c:v>
                </c:pt>
                <c:pt idx="1">
                  <c:v>ДБ АО "Сбербанк"</c:v>
                </c:pt>
                <c:pt idx="2">
                  <c:v>АО "ForteBank"</c:v>
                </c:pt>
                <c:pt idx="3">
                  <c:v>АО "KASPI BANK"</c:v>
                </c:pt>
                <c:pt idx="4">
                  <c:v>АО  "Банк ЦентрКредит"</c:v>
                </c:pt>
                <c:pt idx="5">
                  <c:v>АО "Отбасы банк"</c:v>
                </c:pt>
                <c:pt idx="6">
                  <c:v>АО "Jysan Bank"</c:v>
                </c:pt>
                <c:pt idx="7">
                  <c:v>АО "АТФБанк"</c:v>
                </c:pt>
                <c:pt idx="8">
                  <c:v>АО "Евразийский Банк"</c:v>
                </c:pt>
                <c:pt idx="9">
                  <c:v>АО "Ситибанк Казахстан"</c:v>
                </c:pt>
                <c:pt idx="10">
                  <c:v>АО "Банк "Bank RBK"</c:v>
                </c:pt>
                <c:pt idx="11">
                  <c:v>АО "ДБ "АЛЬФА-БАНК"</c:v>
                </c:pt>
                <c:pt idx="12">
                  <c:v>АО "Altyn Bank" (ДБ China Citic Bank Corporation Ltd)</c:v>
                </c:pt>
                <c:pt idx="13">
                  <c:v>АО "Нурбанк"</c:v>
                </c:pt>
                <c:pt idx="14">
                  <c:v>ДБ АО "Банк Хоум Кредит"</c:v>
                </c:pt>
                <c:pt idx="15">
                  <c:v>АО ДБ "БАНК КИТАЯ В КАЗАХСТАНЕ"</c:v>
                </c:pt>
                <c:pt idx="16">
                  <c:v>ДО АО Банк ВТБ (Казахстан)</c:v>
                </c:pt>
                <c:pt idx="17">
                  <c:v>АО "Capital Bank Kazakhstan"</c:v>
                </c:pt>
                <c:pt idx="18">
                  <c:v>АО "ТПБ Китая в г.Алматы"</c:v>
                </c:pt>
                <c:pt idx="19">
                  <c:v>АО ДБ "НБ Пакистана" в Казахстане</c:v>
                </c:pt>
              </c:strCache>
            </c:strRef>
          </c:cat>
          <c:val>
            <c:numRef>
              <c:f>'01.02.2019'!$C$4:$C$23</c:f>
              <c:numCache>
                <c:formatCode>#,##0.000_ ;\-#,##0.000\ </c:formatCode>
                <c:ptCount val="20"/>
                <c:pt idx="0">
                  <c:v>1.472</c:v>
                </c:pt>
                <c:pt idx="1">
                  <c:v>1.256</c:v>
                </c:pt>
                <c:pt idx="2">
                  <c:v>1.097</c:v>
                </c:pt>
                <c:pt idx="3">
                  <c:v>1.587</c:v>
                </c:pt>
                <c:pt idx="4">
                  <c:v>1.1299999999999975</c:v>
                </c:pt>
                <c:pt idx="5">
                  <c:v>1.5149999999999975</c:v>
                </c:pt>
                <c:pt idx="6">
                  <c:v>1.038</c:v>
                </c:pt>
                <c:pt idx="7">
                  <c:v>1.131</c:v>
                </c:pt>
                <c:pt idx="8">
                  <c:v>1.268</c:v>
                </c:pt>
                <c:pt idx="9">
                  <c:v>4.181</c:v>
                </c:pt>
                <c:pt idx="10">
                  <c:v>1.3939999999999975</c:v>
                </c:pt>
                <c:pt idx="11">
                  <c:v>1.1259999999999974</c:v>
                </c:pt>
                <c:pt idx="12">
                  <c:v>1.347</c:v>
                </c:pt>
                <c:pt idx="13">
                  <c:v>1.0680000000000001</c:v>
                </c:pt>
                <c:pt idx="14">
                  <c:v>1.026</c:v>
                </c:pt>
                <c:pt idx="15">
                  <c:v>1.371</c:v>
                </c:pt>
                <c:pt idx="16">
                  <c:v>1.0429999999999977</c:v>
                </c:pt>
                <c:pt idx="17">
                  <c:v>0.84100000000000064</c:v>
                </c:pt>
                <c:pt idx="18">
                  <c:v>1.8260000000000001</c:v>
                </c:pt>
                <c:pt idx="19">
                  <c:v>4.8259999999999899</c:v>
                </c:pt>
              </c:numCache>
            </c:numRef>
          </c:val>
        </c:ser>
        <c:ser>
          <c:idx val="1"/>
          <c:order val="1"/>
          <c:tx>
            <c:strRef>
              <c:f>'01.02.2019'!$D$3</c:f>
              <c:strCache>
                <c:ptCount val="1"/>
                <c:pt idx="0">
                  <c:v>01.02.2020 г.</c:v>
                </c:pt>
              </c:strCache>
            </c:strRef>
          </c:tx>
          <c:spPr>
            <a:solidFill>
              <a:srgbClr val="FFC000"/>
            </a:solidFill>
          </c:spPr>
          <c:invertIfNegative val="0"/>
          <c:dLbls>
            <c:dLbl>
              <c:idx val="0"/>
              <c:layout>
                <c:manualLayout>
                  <c:x val="-0.1061173533083644"/>
                  <c:y val="0"/>
                </c:manualLayout>
              </c:layout>
              <c:showLegendKey val="0"/>
              <c:showVal val="1"/>
              <c:showCatName val="0"/>
              <c:showSerName val="0"/>
              <c:showPercent val="0"/>
              <c:showBubbleSize val="0"/>
            </c:dLbl>
            <c:dLbl>
              <c:idx val="1"/>
              <c:layout>
                <c:manualLayout>
                  <c:x val="-7.698709945900957E-2"/>
                  <c:y val="0"/>
                </c:manualLayout>
              </c:layout>
              <c:showLegendKey val="0"/>
              <c:showVal val="1"/>
              <c:showCatName val="0"/>
              <c:showSerName val="0"/>
              <c:showPercent val="0"/>
              <c:showBubbleSize val="0"/>
            </c:dLbl>
            <c:dLbl>
              <c:idx val="2"/>
              <c:layout>
                <c:manualLayout>
                  <c:x val="-8.5310029130253845E-2"/>
                  <c:y val="0"/>
                </c:manualLayout>
              </c:layout>
              <c:showLegendKey val="0"/>
              <c:showVal val="1"/>
              <c:showCatName val="0"/>
              <c:showSerName val="0"/>
              <c:showPercent val="0"/>
              <c:showBubbleSize val="0"/>
            </c:dLbl>
            <c:dLbl>
              <c:idx val="3"/>
              <c:layout>
                <c:manualLayout>
                  <c:x val="-8.9471493965876267E-2"/>
                  <c:y val="0"/>
                </c:manualLayout>
              </c:layout>
              <c:showLegendKey val="0"/>
              <c:showVal val="1"/>
              <c:showCatName val="0"/>
              <c:showSerName val="0"/>
              <c:showPercent val="0"/>
              <c:showBubbleSize val="0"/>
            </c:dLbl>
            <c:dLbl>
              <c:idx val="4"/>
              <c:layout>
                <c:manualLayout>
                  <c:x val="-8.3229296712443043E-2"/>
                  <c:y val="-2.1150592216582064E-3"/>
                </c:manualLayout>
              </c:layout>
              <c:showLegendKey val="0"/>
              <c:showVal val="1"/>
              <c:showCatName val="0"/>
              <c:showSerName val="0"/>
              <c:showPercent val="0"/>
              <c:showBubbleSize val="0"/>
            </c:dLbl>
            <c:dLbl>
              <c:idx val="5"/>
              <c:layout>
                <c:manualLayout>
                  <c:x val="-8.7390761548064924E-2"/>
                  <c:y val="0"/>
                </c:manualLayout>
              </c:layout>
              <c:showLegendKey val="0"/>
              <c:showVal val="1"/>
              <c:showCatName val="0"/>
              <c:showSerName val="0"/>
              <c:showPercent val="0"/>
              <c:showBubbleSize val="0"/>
            </c:dLbl>
            <c:dLbl>
              <c:idx val="8"/>
              <c:layout>
                <c:manualLayout>
                  <c:x val="-8.1148564294631714E-2"/>
                  <c:y val="0"/>
                </c:manualLayout>
              </c:layout>
              <c:showLegendKey val="0"/>
              <c:showVal val="1"/>
              <c:showCatName val="0"/>
              <c:showSerName val="0"/>
              <c:showPercent val="0"/>
              <c:showBubbleSize val="0"/>
            </c:dLbl>
            <c:dLbl>
              <c:idx val="9"/>
              <c:layout>
                <c:manualLayout>
                  <c:x val="-0.12484394506866422"/>
                  <c:y val="2.1150592216582064E-3"/>
                </c:manualLayout>
              </c:layout>
              <c:showLegendKey val="0"/>
              <c:showVal val="1"/>
              <c:showCatName val="0"/>
              <c:showSerName val="0"/>
              <c:showPercent val="0"/>
              <c:showBubbleSize val="0"/>
            </c:dLbl>
            <c:dLbl>
              <c:idx val="10"/>
              <c:layout>
                <c:manualLayout>
                  <c:x val="-8.3229296712443043E-2"/>
                  <c:y val="0"/>
                </c:manualLayout>
              </c:layout>
              <c:showLegendKey val="0"/>
              <c:showVal val="1"/>
              <c:showCatName val="0"/>
              <c:showSerName val="0"/>
              <c:showPercent val="0"/>
              <c:showBubbleSize val="0"/>
            </c:dLbl>
            <c:dLbl>
              <c:idx val="11"/>
              <c:layout>
                <c:manualLayout>
                  <c:x val="-8.1148564294631714E-2"/>
                  <c:y val="0"/>
                </c:manualLayout>
              </c:layout>
              <c:showLegendKey val="0"/>
              <c:showVal val="1"/>
              <c:showCatName val="0"/>
              <c:showSerName val="0"/>
              <c:showPercent val="0"/>
              <c:showBubbleSize val="0"/>
            </c:dLbl>
            <c:dLbl>
              <c:idx val="12"/>
              <c:layout>
                <c:manualLayout>
                  <c:x val="-7.0744902205576318E-2"/>
                  <c:y val="-4.2301184433164128E-3"/>
                </c:manualLayout>
              </c:layout>
              <c:showLegendKey val="0"/>
              <c:showVal val="1"/>
              <c:showCatName val="0"/>
              <c:showSerName val="0"/>
              <c:showPercent val="0"/>
              <c:showBubbleSize val="0"/>
            </c:dLbl>
            <c:dLbl>
              <c:idx val="13"/>
              <c:layout>
                <c:manualLayout>
                  <c:x val="-7.9067831876820899E-2"/>
                  <c:y val="-2.1150592216582064E-3"/>
                </c:manualLayout>
              </c:layout>
              <c:showLegendKey val="0"/>
              <c:showVal val="1"/>
              <c:showCatName val="0"/>
              <c:showSerName val="0"/>
              <c:showPercent val="0"/>
              <c:showBubbleSize val="0"/>
            </c:dLbl>
            <c:dLbl>
              <c:idx val="14"/>
              <c:layout>
                <c:manualLayout>
                  <c:x val="-6.6583437369954229E-2"/>
                  <c:y val="0"/>
                </c:manualLayout>
              </c:layout>
              <c:showLegendKey val="0"/>
              <c:showVal val="1"/>
              <c:showCatName val="0"/>
              <c:showSerName val="0"/>
              <c:showPercent val="0"/>
              <c:showBubbleSize val="0"/>
            </c:dLbl>
            <c:dLbl>
              <c:idx val="17"/>
              <c:layout>
                <c:manualLayout>
                  <c:x val="-3.1210986267166042E-2"/>
                  <c:y val="0"/>
                </c:manualLayout>
              </c:layout>
              <c:showLegendKey val="0"/>
              <c:showVal val="1"/>
              <c:showCatName val="0"/>
              <c:showSerName val="0"/>
              <c:showPercent val="0"/>
              <c:showBubbleSize val="0"/>
            </c:dLbl>
            <c:dLbl>
              <c:idx val="18"/>
              <c:layout>
                <c:manualLayout>
                  <c:x val="-9.3632958801498245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'01.02.2019'!$B$4:$B$23</c:f>
              <c:strCache>
                <c:ptCount val="20"/>
                <c:pt idx="0">
                  <c:v>АО "Народный Банк Казахстана"</c:v>
                </c:pt>
                <c:pt idx="1">
                  <c:v>ДБ АО "Сбербанк"</c:v>
                </c:pt>
                <c:pt idx="2">
                  <c:v>АО "ForteBank"</c:v>
                </c:pt>
                <c:pt idx="3">
                  <c:v>АО "KASPI BANK"</c:v>
                </c:pt>
                <c:pt idx="4">
                  <c:v>АО  "Банк ЦентрКредит"</c:v>
                </c:pt>
                <c:pt idx="5">
                  <c:v>АО "Отбасы банк"</c:v>
                </c:pt>
                <c:pt idx="6">
                  <c:v>АО "Jysan Bank"</c:v>
                </c:pt>
                <c:pt idx="7">
                  <c:v>АО "АТФБанк"</c:v>
                </c:pt>
                <c:pt idx="8">
                  <c:v>АО "Евразийский Банк"</c:v>
                </c:pt>
                <c:pt idx="9">
                  <c:v>АО "Ситибанк Казахстан"</c:v>
                </c:pt>
                <c:pt idx="10">
                  <c:v>АО "Банк "Bank RBK"</c:v>
                </c:pt>
                <c:pt idx="11">
                  <c:v>АО "ДБ "АЛЬФА-БАНК"</c:v>
                </c:pt>
                <c:pt idx="12">
                  <c:v>АО "Altyn Bank" (ДБ China Citic Bank Corporation Ltd)</c:v>
                </c:pt>
                <c:pt idx="13">
                  <c:v>АО "Нурбанк"</c:v>
                </c:pt>
                <c:pt idx="14">
                  <c:v>ДБ АО "Банк Хоум Кредит"</c:v>
                </c:pt>
                <c:pt idx="15">
                  <c:v>АО ДБ "БАНК КИТАЯ В КАЗАХСТАНЕ"</c:v>
                </c:pt>
                <c:pt idx="16">
                  <c:v>ДО АО Банк ВТБ (Казахстан)</c:v>
                </c:pt>
                <c:pt idx="17">
                  <c:v>АО "Capital Bank Kazakhstan"</c:v>
                </c:pt>
                <c:pt idx="18">
                  <c:v>АО "ТПБ Китая в г.Алматы"</c:v>
                </c:pt>
                <c:pt idx="19">
                  <c:v>АО ДБ "НБ Пакистана" в Казахстане</c:v>
                </c:pt>
              </c:strCache>
            </c:strRef>
          </c:cat>
          <c:val>
            <c:numRef>
              <c:f>'01.02.2019'!$D$4:$D$23</c:f>
              <c:numCache>
                <c:formatCode>#,##0.000_ ;\-#,##0.000\ </c:formatCode>
                <c:ptCount val="20"/>
                <c:pt idx="0">
                  <c:v>1.7849999999999975</c:v>
                </c:pt>
                <c:pt idx="1">
                  <c:v>1.2969999999999977</c:v>
                </c:pt>
                <c:pt idx="2">
                  <c:v>1.143</c:v>
                </c:pt>
                <c:pt idx="3">
                  <c:v>1.6220000000000001</c:v>
                </c:pt>
                <c:pt idx="4">
                  <c:v>1.3009999999999977</c:v>
                </c:pt>
                <c:pt idx="5">
                  <c:v>1.3979999999999975</c:v>
                </c:pt>
                <c:pt idx="6">
                  <c:v>2.8489999999999998</c:v>
                </c:pt>
                <c:pt idx="7">
                  <c:v>1.2129999999999974</c:v>
                </c:pt>
                <c:pt idx="8">
                  <c:v>1.3080000000000001</c:v>
                </c:pt>
                <c:pt idx="9">
                  <c:v>4.3090000000000002</c:v>
                </c:pt>
                <c:pt idx="10">
                  <c:v>1.2049999999999974</c:v>
                </c:pt>
                <c:pt idx="11">
                  <c:v>1.1910000000000001</c:v>
                </c:pt>
                <c:pt idx="12">
                  <c:v>1.022</c:v>
                </c:pt>
                <c:pt idx="13">
                  <c:v>1.2029999999999974</c:v>
                </c:pt>
                <c:pt idx="14">
                  <c:v>1.161</c:v>
                </c:pt>
                <c:pt idx="15">
                  <c:v>2.3449999999999998</c:v>
                </c:pt>
                <c:pt idx="16">
                  <c:v>1.327</c:v>
                </c:pt>
                <c:pt idx="17">
                  <c:v>0.56000000000000005</c:v>
                </c:pt>
                <c:pt idx="18">
                  <c:v>1.4369999999999972</c:v>
                </c:pt>
                <c:pt idx="19">
                  <c:v>5.8010000000000002</c:v>
                </c:pt>
              </c:numCache>
            </c:numRef>
          </c:val>
        </c:ser>
        <c:ser>
          <c:idx val="2"/>
          <c:order val="2"/>
          <c:tx>
            <c:strRef>
              <c:f>'01.02.2019'!$E$3</c:f>
              <c:strCache>
                <c:ptCount val="1"/>
                <c:pt idx="0">
                  <c:v>01.02.2021 г.</c:v>
                </c:pt>
              </c:strCache>
            </c:strRef>
          </c:tx>
          <c:spPr>
            <a:solidFill>
              <a:srgbClr val="92D050"/>
            </a:solidFill>
          </c:spPr>
          <c:invertIfNegative val="0"/>
          <c:dLbls>
            <c:dLbl>
              <c:idx val="0"/>
              <c:layout>
                <c:manualLayout>
                  <c:x val="-1.6383719825284081E-7"/>
                  <c:y val="-2.1150592216582064E-3"/>
                </c:manualLayout>
              </c:layout>
              <c:showLegendKey val="0"/>
              <c:showVal val="1"/>
              <c:showCatName val="0"/>
              <c:showSerName val="0"/>
              <c:showPercent val="0"/>
              <c:showBubbleSize val="0"/>
            </c:dLbl>
            <c:dLbl>
              <c:idx val="6"/>
              <c:layout>
                <c:manualLayout>
                  <c:x val="-1.248439450686642E-2"/>
                  <c:y val="-4.23011844331649E-3"/>
                </c:manualLayout>
              </c:layout>
              <c:showLegendKey val="0"/>
              <c:showVal val="1"/>
              <c:showCatName val="0"/>
              <c:showSerName val="0"/>
              <c:showPercent val="0"/>
              <c:showBubbleSize val="0"/>
            </c:dLbl>
            <c:dLbl>
              <c:idx val="9"/>
              <c:layout>
                <c:manualLayout>
                  <c:x val="-4.3695380774032386E-2"/>
                  <c:y val="-1.0575296108290994E-2"/>
                </c:manualLayout>
              </c:layout>
              <c:showLegendKey val="0"/>
              <c:showVal val="1"/>
              <c:showCatName val="0"/>
              <c:showSerName val="0"/>
              <c:showPercent val="0"/>
              <c:showBubbleSize val="0"/>
            </c:dLbl>
            <c:dLbl>
              <c:idx val="15"/>
              <c:layout>
                <c:manualLayout>
                  <c:x val="-3.1210986267166042E-2"/>
                  <c:y val="-6.345177664974634E-3"/>
                </c:manualLayout>
              </c:layout>
              <c:showLegendKey val="0"/>
              <c:showVal val="1"/>
              <c:showCatName val="0"/>
              <c:showSerName val="0"/>
              <c:showPercent val="0"/>
              <c:showBubbleSize val="0"/>
            </c:dLbl>
            <c:dLbl>
              <c:idx val="16"/>
              <c:layout>
                <c:manualLayout>
                  <c:x val="-3.5372451102788173E-2"/>
                  <c:y val="-4.2301184433164319E-3"/>
                </c:manualLayout>
              </c:layout>
              <c:showLegendKey val="0"/>
              <c:showVal val="1"/>
              <c:showCatName val="0"/>
              <c:showSerName val="0"/>
              <c:showPercent val="0"/>
              <c:showBubbleSize val="0"/>
            </c:dLbl>
            <c:dLbl>
              <c:idx val="17"/>
              <c:layout>
                <c:manualLayout>
                  <c:x val="-4.3695380774032386E-2"/>
                  <c:y val="-6.345177664974634E-3"/>
                </c:manualLayout>
              </c:layout>
              <c:showLegendKey val="0"/>
              <c:showVal val="1"/>
              <c:showCatName val="0"/>
              <c:showSerName val="0"/>
              <c:showPercent val="0"/>
              <c:showBubbleSize val="0"/>
            </c:dLbl>
            <c:dLbl>
              <c:idx val="18"/>
              <c:layout>
                <c:manualLayout>
                  <c:x val="-3.3291718684977226E-2"/>
                  <c:y val="-8.4602368866328378E-3"/>
                </c:manualLayout>
              </c:layout>
              <c:showLegendKey val="0"/>
              <c:showVal val="1"/>
              <c:showCatName val="0"/>
              <c:showSerName val="0"/>
              <c:showPercent val="0"/>
              <c:showBubbleSize val="0"/>
            </c:dLbl>
            <c:dLbl>
              <c:idx val="19"/>
              <c:layout>
                <c:manualLayout>
                  <c:x val="-3.9533915938410415E-2"/>
                  <c:y val="-1.48054145516074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'01.02.2019'!$B$4:$B$23</c:f>
              <c:strCache>
                <c:ptCount val="20"/>
                <c:pt idx="0">
                  <c:v>АО "Народный Банк Казахстана"</c:v>
                </c:pt>
                <c:pt idx="1">
                  <c:v>ДБ АО "Сбербанк"</c:v>
                </c:pt>
                <c:pt idx="2">
                  <c:v>АО "ForteBank"</c:v>
                </c:pt>
                <c:pt idx="3">
                  <c:v>АО "KASPI BANK"</c:v>
                </c:pt>
                <c:pt idx="4">
                  <c:v>АО  "Банк ЦентрКредит"</c:v>
                </c:pt>
                <c:pt idx="5">
                  <c:v>АО "Отбасы банк"</c:v>
                </c:pt>
                <c:pt idx="6">
                  <c:v>АО "Jysan Bank"</c:v>
                </c:pt>
                <c:pt idx="7">
                  <c:v>АО "АТФБанк"</c:v>
                </c:pt>
                <c:pt idx="8">
                  <c:v>АО "Евразийский Банк"</c:v>
                </c:pt>
                <c:pt idx="9">
                  <c:v>АО "Ситибанк Казахстан"</c:v>
                </c:pt>
                <c:pt idx="10">
                  <c:v>АО "Банк "Bank RBK"</c:v>
                </c:pt>
                <c:pt idx="11">
                  <c:v>АО "ДБ "АЛЬФА-БАНК"</c:v>
                </c:pt>
                <c:pt idx="12">
                  <c:v>АО "Altyn Bank" (ДБ China Citic Bank Corporation Ltd)</c:v>
                </c:pt>
                <c:pt idx="13">
                  <c:v>АО "Нурбанк"</c:v>
                </c:pt>
                <c:pt idx="14">
                  <c:v>ДБ АО "Банк Хоум Кредит"</c:v>
                </c:pt>
                <c:pt idx="15">
                  <c:v>АО ДБ "БАНК КИТАЯ В КАЗАХСТАНЕ"</c:v>
                </c:pt>
                <c:pt idx="16">
                  <c:v>ДО АО Банк ВТБ (Казахстан)</c:v>
                </c:pt>
                <c:pt idx="17">
                  <c:v>АО "Capital Bank Kazakhstan"</c:v>
                </c:pt>
                <c:pt idx="18">
                  <c:v>АО "ТПБ Китая в г.Алматы"</c:v>
                </c:pt>
                <c:pt idx="19">
                  <c:v>АО ДБ "НБ Пакистана" в Казахстане</c:v>
                </c:pt>
              </c:strCache>
            </c:strRef>
          </c:cat>
          <c:val>
            <c:numRef>
              <c:f>'01.02.2019'!$E$4:$E$23</c:f>
              <c:numCache>
                <c:formatCode>#,##0.000_ ;\-#,##0.000\ </c:formatCode>
                <c:ptCount val="20"/>
                <c:pt idx="0">
                  <c:v>1.7769999999999975</c:v>
                </c:pt>
                <c:pt idx="1">
                  <c:v>1.379</c:v>
                </c:pt>
                <c:pt idx="2">
                  <c:v>1.1559999999999975</c:v>
                </c:pt>
                <c:pt idx="3">
                  <c:v>1.806</c:v>
                </c:pt>
                <c:pt idx="4">
                  <c:v>1.446</c:v>
                </c:pt>
                <c:pt idx="5">
                  <c:v>1.381</c:v>
                </c:pt>
                <c:pt idx="6">
                  <c:v>2.0409999999999999</c:v>
                </c:pt>
                <c:pt idx="7">
                  <c:v>2.0709999999999997</c:v>
                </c:pt>
                <c:pt idx="8">
                  <c:v>1.389</c:v>
                </c:pt>
                <c:pt idx="9">
                  <c:v>4.298</c:v>
                </c:pt>
                <c:pt idx="10">
                  <c:v>1.3759999999999974</c:v>
                </c:pt>
                <c:pt idx="11">
                  <c:v>1.31</c:v>
                </c:pt>
                <c:pt idx="12">
                  <c:v>1.216</c:v>
                </c:pt>
                <c:pt idx="13">
                  <c:v>1.1980000000000022</c:v>
                </c:pt>
                <c:pt idx="14">
                  <c:v>1.1910000000000001</c:v>
                </c:pt>
                <c:pt idx="15">
                  <c:v>1.6900000000000022</c:v>
                </c:pt>
                <c:pt idx="16">
                  <c:v>1.212</c:v>
                </c:pt>
                <c:pt idx="17">
                  <c:v>0.52500000000000002</c:v>
                </c:pt>
                <c:pt idx="18">
                  <c:v>1.548</c:v>
                </c:pt>
                <c:pt idx="19">
                  <c:v>5.83</c:v>
                </c:pt>
              </c:numCache>
            </c:numRef>
          </c:val>
        </c:ser>
        <c:dLbls>
          <c:showLegendKey val="0"/>
          <c:showVal val="0"/>
          <c:showCatName val="0"/>
          <c:showSerName val="0"/>
          <c:showPercent val="0"/>
          <c:showBubbleSize val="0"/>
        </c:dLbls>
        <c:gapWidth val="150"/>
        <c:shape val="box"/>
        <c:axId val="221964928"/>
        <c:axId val="221815168"/>
        <c:axId val="0"/>
      </c:bar3DChart>
      <c:catAx>
        <c:axId val="221964928"/>
        <c:scaling>
          <c:orientation val="minMax"/>
        </c:scaling>
        <c:delete val="0"/>
        <c:axPos val="l"/>
        <c:majorTickMark val="out"/>
        <c:minorTickMark val="none"/>
        <c:tickLblPos val="nextTo"/>
        <c:crossAx val="221815168"/>
        <c:crosses val="autoZero"/>
        <c:auto val="1"/>
        <c:lblAlgn val="ctr"/>
        <c:lblOffset val="100"/>
        <c:noMultiLvlLbl val="0"/>
      </c:catAx>
      <c:valAx>
        <c:axId val="221815168"/>
        <c:scaling>
          <c:orientation val="minMax"/>
        </c:scaling>
        <c:delete val="0"/>
        <c:axPos val="b"/>
        <c:majorGridlines/>
        <c:numFmt formatCode="#,##0.000_ ;\-#,##0.000\ " sourceLinked="1"/>
        <c:majorTickMark val="out"/>
        <c:minorTickMark val="none"/>
        <c:tickLblPos val="nextTo"/>
        <c:crossAx val="221964928"/>
        <c:crosses val="autoZero"/>
        <c:crossBetween val="between"/>
      </c:valAx>
    </c:plotArea>
    <c:legend>
      <c:legendPos val="r"/>
      <c:layout>
        <c:manualLayout>
          <c:xMode val="edge"/>
          <c:yMode val="edge"/>
          <c:x val="0.85212758985651138"/>
          <c:y val="0.44194945175000333"/>
          <c:w val="0.14579167772567755"/>
          <c:h val="0.10975575229492267"/>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dLbl>
              <c:idx val="0"/>
              <c:layout>
                <c:manualLayout>
                  <c:x val="-4.3617998163452708E-2"/>
                  <c:y val="-4.1666666666666664E-2"/>
                </c:manualLayout>
              </c:layout>
              <c:showLegendKey val="0"/>
              <c:showVal val="1"/>
              <c:showCatName val="0"/>
              <c:showSerName val="0"/>
              <c:showPercent val="0"/>
              <c:showBubbleSize val="0"/>
            </c:dLbl>
            <c:dLbl>
              <c:idx val="1"/>
              <c:layout>
                <c:manualLayout>
                  <c:x val="-5.3507457117922104E-2"/>
                  <c:y val="8.39241637348528E-2"/>
                </c:manualLayout>
              </c:layout>
              <c:showLegendKey val="0"/>
              <c:showVal val="1"/>
              <c:showCatName val="0"/>
              <c:showSerName val="0"/>
              <c:showPercent val="0"/>
              <c:showBubbleSize val="0"/>
            </c:dLbl>
            <c:dLbl>
              <c:idx val="2"/>
              <c:layout>
                <c:manualLayout>
                  <c:x val="-5.0505050505050456E-2"/>
                  <c:y val="-5.0925925925925923E-2"/>
                </c:manualLayout>
              </c:layout>
              <c:showLegendKey val="0"/>
              <c:showVal val="1"/>
              <c:showCatName val="0"/>
              <c:showSerName val="0"/>
              <c:showPercent val="0"/>
              <c:showBubbleSize val="0"/>
            </c:dLbl>
            <c:dLbl>
              <c:idx val="3"/>
              <c:layout>
                <c:manualLayout>
                  <c:x val="-4.4736056633217613E-2"/>
                  <c:y val="9.6237225665940701E-2"/>
                </c:manualLayout>
              </c:layout>
              <c:showLegendKey val="0"/>
              <c:showVal val="1"/>
              <c:showCatName val="0"/>
              <c:showSerName val="0"/>
              <c:showPercent val="0"/>
              <c:showBubbleSize val="0"/>
            </c:dLbl>
            <c:dLbl>
              <c:idx val="4"/>
              <c:layout>
                <c:manualLayout>
                  <c:x val="-5.3564070869386103E-2"/>
                  <c:y val="-7.0921985815602773E-2"/>
                </c:manualLayout>
              </c:layout>
              <c:showLegendKey val="0"/>
              <c:showVal val="1"/>
              <c:showCatName val="0"/>
              <c:showSerName val="0"/>
              <c:showPercent val="0"/>
              <c:showBubbleSize val="0"/>
            </c:dLbl>
            <c:dLbl>
              <c:idx val="5"/>
              <c:layout>
                <c:manualLayout>
                  <c:x val="-3.5022661722290897E-2"/>
                  <c:y val="7.8014184397163122E-2"/>
                </c:manualLayout>
              </c:layout>
              <c:showLegendKey val="0"/>
              <c:showVal val="1"/>
              <c:showCatName val="0"/>
              <c:showSerName val="0"/>
              <c:showPercent val="0"/>
              <c:showBubbleSize val="0"/>
            </c:dLbl>
            <c:dLbl>
              <c:idx val="6"/>
              <c:layout>
                <c:manualLayout>
                  <c:x val="-5.5096373151131348E-2"/>
                  <c:y val="-7.496062992126E-2"/>
                </c:manualLayout>
              </c:layout>
              <c:showLegendKey val="0"/>
              <c:showVal val="1"/>
              <c:showCatName val="0"/>
              <c:showSerName val="0"/>
              <c:showPercent val="0"/>
              <c:showBubbleSize val="0"/>
            </c:dLbl>
            <c:dLbl>
              <c:idx val="7"/>
              <c:layout>
                <c:manualLayout>
                  <c:x val="-5.068098718809716E-2"/>
                  <c:y val="6.7573016138940123E-2"/>
                </c:manualLayout>
              </c:layout>
              <c:showLegendKey val="0"/>
              <c:showVal val="1"/>
              <c:showCatName val="0"/>
              <c:showSerName val="0"/>
              <c:showPercent val="0"/>
              <c:showBubbleSize val="0"/>
            </c:dLbl>
            <c:dLbl>
              <c:idx val="8"/>
              <c:layout>
                <c:manualLayout>
                  <c:x val="-4.3618056704592928E-2"/>
                  <c:y val="-6.7573016138940123E-2"/>
                </c:manualLayout>
              </c:layout>
              <c:showLegendKey val="0"/>
              <c:showVal val="1"/>
              <c:showCatName val="0"/>
              <c:showSerName val="0"/>
              <c:showPercent val="0"/>
              <c:showBubbleSize val="0"/>
            </c:dLbl>
            <c:dLbl>
              <c:idx val="9"/>
              <c:layout>
                <c:manualLayout>
                  <c:x val="-4.3618056704592928E-2"/>
                  <c:y val="6.0775674317306204E-2"/>
                </c:manualLayout>
              </c:layout>
              <c:showLegendKey val="0"/>
              <c:showVal val="1"/>
              <c:showCatName val="0"/>
              <c:showSerName val="0"/>
              <c:showPercent val="0"/>
              <c:showBubbleSize val="0"/>
            </c:dLbl>
            <c:dLbl>
              <c:idx val="10"/>
              <c:layout>
                <c:manualLayout>
                  <c:x val="-2.8254804058021801E-2"/>
                  <c:y val="4.47205003629865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trendline>
            <c:spPr>
              <a:ln w="25400">
                <a:solidFill>
                  <a:srgbClr val="C00000"/>
                </a:solidFill>
                <a:prstDash val="dash"/>
                <a:tailEnd type="stealth"/>
              </a:ln>
            </c:spPr>
            <c:trendlineType val="poly"/>
            <c:order val="4"/>
            <c:forward val="2"/>
            <c:dispRSqr val="1"/>
            <c:dispEq val="1"/>
            <c:trendlineLbl>
              <c:numFmt formatCode="General" sourceLinked="0"/>
            </c:trendlineLbl>
          </c:trendline>
          <c:cat>
            <c:strRef>
              <c:f>Лист1!$A$1:$K$1</c:f>
              <c:strCache>
                <c:ptCount val="11"/>
                <c:pt idx="0">
                  <c:v>2010 г. </c:v>
                </c:pt>
                <c:pt idx="1">
                  <c:v>2011 г. </c:v>
                </c:pt>
                <c:pt idx="2">
                  <c:v>2012 г. </c:v>
                </c:pt>
                <c:pt idx="3">
                  <c:v>2013 г. </c:v>
                </c:pt>
                <c:pt idx="4">
                  <c:v>2014 г. </c:v>
                </c:pt>
                <c:pt idx="5">
                  <c:v>2015 г. </c:v>
                </c:pt>
                <c:pt idx="6">
                  <c:v>2016 г. </c:v>
                </c:pt>
                <c:pt idx="7">
                  <c:v>2017 г. </c:v>
                </c:pt>
                <c:pt idx="8">
                  <c:v>2018 г. </c:v>
                </c:pt>
                <c:pt idx="9">
                  <c:v>2019 г. </c:v>
                </c:pt>
                <c:pt idx="10">
                  <c:v>2020 г. </c:v>
                </c:pt>
              </c:strCache>
            </c:strRef>
          </c:cat>
          <c:val>
            <c:numRef>
              <c:f>Лист1!$A$2:$K$2</c:f>
              <c:numCache>
                <c:formatCode>General</c:formatCode>
                <c:ptCount val="11"/>
                <c:pt idx="0">
                  <c:v>6825.3</c:v>
                </c:pt>
                <c:pt idx="1">
                  <c:v>7797.6</c:v>
                </c:pt>
                <c:pt idx="2">
                  <c:v>8532.9</c:v>
                </c:pt>
                <c:pt idx="3">
                  <c:v>9844.9</c:v>
                </c:pt>
                <c:pt idx="4">
                  <c:v>11351</c:v>
                </c:pt>
                <c:pt idx="5">
                  <c:v>13605.1</c:v>
                </c:pt>
                <c:pt idx="6">
                  <c:v>17268.599999999959</c:v>
                </c:pt>
                <c:pt idx="7">
                  <c:v>16680.5</c:v>
                </c:pt>
                <c:pt idx="8">
                  <c:v>17043</c:v>
                </c:pt>
                <c:pt idx="9" formatCode="_-* #,##0.0\ _₽_-;\-* #,##0.0\ _₽_-;_-* &quot;-&quot;??\ _₽_-;_-@_-">
                  <c:v>17977.019631999941</c:v>
                </c:pt>
                <c:pt idx="10" formatCode="_-* #,##0.0\ _₽_-;\-* #,##0.0\ _₽_-;_-* &quot;-&quot;??\ _₽_-;_-@_-">
                  <c:v>21559.200000000001</c:v>
                </c:pt>
              </c:numCache>
            </c:numRef>
          </c:val>
          <c:smooth val="0"/>
        </c:ser>
        <c:dLbls>
          <c:showLegendKey val="0"/>
          <c:showVal val="0"/>
          <c:showCatName val="0"/>
          <c:showSerName val="0"/>
          <c:showPercent val="0"/>
          <c:showBubbleSize val="0"/>
        </c:dLbls>
        <c:marker val="1"/>
        <c:smooth val="0"/>
        <c:axId val="222041216"/>
        <c:axId val="222042752"/>
      </c:lineChart>
      <c:catAx>
        <c:axId val="222041216"/>
        <c:scaling>
          <c:orientation val="minMax"/>
        </c:scaling>
        <c:delete val="0"/>
        <c:axPos val="b"/>
        <c:majorTickMark val="out"/>
        <c:minorTickMark val="none"/>
        <c:tickLblPos val="nextTo"/>
        <c:crossAx val="222042752"/>
        <c:crosses val="autoZero"/>
        <c:auto val="1"/>
        <c:lblAlgn val="ctr"/>
        <c:lblOffset val="100"/>
        <c:noMultiLvlLbl val="0"/>
      </c:catAx>
      <c:valAx>
        <c:axId val="222042752"/>
        <c:scaling>
          <c:orientation val="minMax"/>
        </c:scaling>
        <c:delete val="0"/>
        <c:axPos val="l"/>
        <c:majorGridlines/>
        <c:numFmt formatCode="General" sourceLinked="1"/>
        <c:majorTickMark val="out"/>
        <c:minorTickMark val="none"/>
        <c:tickLblPos val="nextTo"/>
        <c:crossAx val="222041216"/>
        <c:crosses val="autoZero"/>
        <c:crossBetween val="between"/>
      </c:valAx>
    </c:plotArea>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dLbl>
              <c:idx val="0"/>
              <c:layout>
                <c:manualLayout>
                  <c:x val="0"/>
                  <c:y val="-8.1699346405228773E-2"/>
                </c:manualLayout>
              </c:layout>
              <c:showLegendKey val="0"/>
              <c:showVal val="1"/>
              <c:showCatName val="0"/>
              <c:showSerName val="0"/>
              <c:showPercent val="0"/>
              <c:showBubbleSize val="0"/>
            </c:dLbl>
            <c:dLbl>
              <c:idx val="1"/>
              <c:layout>
                <c:manualLayout>
                  <c:x val="0"/>
                  <c:y val="-7.3529411764705843E-2"/>
                </c:manualLayout>
              </c:layout>
              <c:showLegendKey val="0"/>
              <c:showVal val="1"/>
              <c:showCatName val="0"/>
              <c:showSerName val="0"/>
              <c:showPercent val="0"/>
              <c:showBubbleSize val="0"/>
            </c:dLbl>
            <c:dLbl>
              <c:idx val="2"/>
              <c:layout>
                <c:manualLayout>
                  <c:x val="-2.0729684908789387E-3"/>
                  <c:y val="-5.7189542483659997E-2"/>
                </c:manualLayout>
              </c:layout>
              <c:showLegendKey val="0"/>
              <c:showVal val="1"/>
              <c:showCatName val="0"/>
              <c:showSerName val="0"/>
              <c:showPercent val="0"/>
              <c:showBubbleSize val="0"/>
            </c:dLbl>
            <c:dLbl>
              <c:idx val="4"/>
              <c:layout>
                <c:manualLayout>
                  <c:x val="-3.109452736318408E-2"/>
                  <c:y val="-5.7189542483659997E-2"/>
                </c:manualLayout>
              </c:layout>
              <c:showLegendKey val="0"/>
              <c:showVal val="1"/>
              <c:showCatName val="0"/>
              <c:showSerName val="0"/>
              <c:showPercent val="0"/>
              <c:showBubbleSize val="0"/>
            </c:dLbl>
            <c:dLbl>
              <c:idx val="5"/>
              <c:layout>
                <c:manualLayout>
                  <c:x val="-3.5240464344941949E-2"/>
                  <c:y val="6.5359477124183024E-2"/>
                </c:manualLayout>
              </c:layout>
              <c:showLegendKey val="0"/>
              <c:showVal val="1"/>
              <c:showCatName val="0"/>
              <c:showSerName val="0"/>
              <c:showPercent val="0"/>
              <c:showBubbleSize val="0"/>
            </c:dLbl>
            <c:dLbl>
              <c:idx val="6"/>
              <c:layout>
                <c:manualLayout>
                  <c:x val="-2.6948590381426201E-2"/>
                  <c:y val="4.9019607843137504E-2"/>
                </c:manualLayout>
              </c:layout>
              <c:showLegendKey val="0"/>
              <c:showVal val="1"/>
              <c:showCatName val="0"/>
              <c:showSerName val="0"/>
              <c:showPercent val="0"/>
              <c:showBubbleSize val="0"/>
            </c:dLbl>
            <c:dLbl>
              <c:idx val="7"/>
              <c:layout>
                <c:manualLayout>
                  <c:x val="-3.9386401326699835E-2"/>
                  <c:y val="-9.3137898203901046E-2"/>
                </c:manualLayout>
              </c:layout>
              <c:showLegendKey val="0"/>
              <c:showVal val="1"/>
              <c:showCatName val="0"/>
              <c:showSerName val="0"/>
              <c:showPercent val="0"/>
              <c:showBubbleSize val="0"/>
            </c:dLbl>
            <c:dLbl>
              <c:idx val="8"/>
              <c:layout>
                <c:manualLayout>
                  <c:x val="-3.316749585406302E-2"/>
                  <c:y val="7.3529411764705885E-2"/>
                </c:manualLayout>
              </c:layout>
              <c:showLegendKey val="0"/>
              <c:showVal val="1"/>
              <c:showCatName val="0"/>
              <c:showSerName val="0"/>
              <c:showPercent val="0"/>
              <c:showBubbleSize val="0"/>
            </c:dLbl>
            <c:dLbl>
              <c:idx val="9"/>
              <c:layout>
                <c:manualLayout>
                  <c:x val="0"/>
                  <c:y val="-6.53594771241830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trendline>
            <c:spPr>
              <a:ln w="25400">
                <a:solidFill>
                  <a:srgbClr val="C00000"/>
                </a:solidFill>
                <a:prstDash val="dash"/>
                <a:tailEnd type="stealth"/>
              </a:ln>
            </c:spPr>
            <c:trendlineType val="poly"/>
            <c:order val="6"/>
            <c:forward val="2"/>
            <c:dispRSqr val="1"/>
            <c:dispEq val="1"/>
            <c:trendlineLbl>
              <c:layout>
                <c:manualLayout>
                  <c:x val="7.152296261474779E-2"/>
                  <c:y val="-3.5272245381092167E-3"/>
                </c:manualLayout>
              </c:layout>
              <c:numFmt formatCode="General" sourceLinked="0"/>
              <c:txPr>
                <a:bodyPr/>
                <a:lstStyle/>
                <a:p>
                  <a:pPr>
                    <a:defRPr i="1"/>
                  </a:pPr>
                  <a:endParaRPr lang="ru-RU"/>
                </a:p>
              </c:txPr>
            </c:trendlineLbl>
          </c:trendline>
          <c:cat>
            <c:strRef>
              <c:f>Лист6!$A$1:$J$1</c:f>
              <c:strCache>
                <c:ptCount val="10"/>
                <c:pt idx="0">
                  <c:v>2011 г.</c:v>
                </c:pt>
                <c:pt idx="1">
                  <c:v>2012 г.</c:v>
                </c:pt>
                <c:pt idx="2">
                  <c:v>2013 г.</c:v>
                </c:pt>
                <c:pt idx="3">
                  <c:v>2014 г.</c:v>
                </c:pt>
                <c:pt idx="4">
                  <c:v>2015 г.</c:v>
                </c:pt>
                <c:pt idx="5">
                  <c:v>2016 г.</c:v>
                </c:pt>
                <c:pt idx="6">
                  <c:v>2017 г.</c:v>
                </c:pt>
                <c:pt idx="7">
                  <c:v>2018 г.</c:v>
                </c:pt>
                <c:pt idx="8">
                  <c:v>2019 г.</c:v>
                </c:pt>
                <c:pt idx="9">
                  <c:v>2020 г.</c:v>
                </c:pt>
              </c:strCache>
            </c:strRef>
          </c:cat>
          <c:val>
            <c:numRef>
              <c:f>Лист6!$A$2:$J$2</c:f>
              <c:numCache>
                <c:formatCode>General</c:formatCode>
                <c:ptCount val="10"/>
                <c:pt idx="0">
                  <c:v>62.2</c:v>
                </c:pt>
                <c:pt idx="1">
                  <c:v>57.5</c:v>
                </c:pt>
                <c:pt idx="2">
                  <c:v>54.4</c:v>
                </c:pt>
                <c:pt idx="3">
                  <c:v>51</c:v>
                </c:pt>
                <c:pt idx="4">
                  <c:v>60.6</c:v>
                </c:pt>
                <c:pt idx="5">
                  <c:v>58.2</c:v>
                </c:pt>
                <c:pt idx="6">
                  <c:v>60.5</c:v>
                </c:pt>
                <c:pt idx="7">
                  <c:v>64.099999999999994</c:v>
                </c:pt>
                <c:pt idx="8">
                  <c:v>64.099999999999994</c:v>
                </c:pt>
                <c:pt idx="9">
                  <c:v>66.5</c:v>
                </c:pt>
              </c:numCache>
            </c:numRef>
          </c:val>
          <c:smooth val="0"/>
        </c:ser>
        <c:dLbls>
          <c:showLegendKey val="0"/>
          <c:showVal val="0"/>
          <c:showCatName val="0"/>
          <c:showSerName val="0"/>
          <c:showPercent val="0"/>
          <c:showBubbleSize val="0"/>
        </c:dLbls>
        <c:marker val="1"/>
        <c:smooth val="0"/>
        <c:axId val="222088192"/>
        <c:axId val="222089984"/>
      </c:lineChart>
      <c:catAx>
        <c:axId val="222088192"/>
        <c:scaling>
          <c:orientation val="minMax"/>
        </c:scaling>
        <c:delete val="0"/>
        <c:axPos val="b"/>
        <c:majorTickMark val="out"/>
        <c:minorTickMark val="none"/>
        <c:tickLblPos val="nextTo"/>
        <c:crossAx val="222089984"/>
        <c:crosses val="autoZero"/>
        <c:auto val="1"/>
        <c:lblAlgn val="ctr"/>
        <c:lblOffset val="100"/>
        <c:noMultiLvlLbl val="0"/>
      </c:catAx>
      <c:valAx>
        <c:axId val="222089984"/>
        <c:scaling>
          <c:orientation val="minMax"/>
          <c:min val="40"/>
        </c:scaling>
        <c:delete val="0"/>
        <c:axPos val="l"/>
        <c:majorGridlines/>
        <c:numFmt formatCode="General" sourceLinked="1"/>
        <c:majorTickMark val="out"/>
        <c:minorTickMark val="none"/>
        <c:tickLblPos val="nextTo"/>
        <c:crossAx val="222088192"/>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897637795275766E-2"/>
          <c:y val="2.6909813356663828E-2"/>
          <c:w val="0.91358152887138999"/>
          <c:h val="0.68097724343596833"/>
        </c:manualLayout>
      </c:layout>
      <c:lineChart>
        <c:grouping val="standard"/>
        <c:varyColors val="0"/>
        <c:ser>
          <c:idx val="0"/>
          <c:order val="0"/>
          <c:tx>
            <c:strRef>
              <c:f>Лист5!$A$2</c:f>
              <c:strCache>
                <c:ptCount val="1"/>
                <c:pt idx="0">
                  <c:v>юридических лиц</c:v>
                </c:pt>
              </c:strCache>
            </c:strRef>
          </c:tx>
          <c:dLbls>
            <c:dLbl>
              <c:idx val="0"/>
              <c:layout>
                <c:manualLayout>
                  <c:x val="-6.4583333333333534E-2"/>
                  <c:y val="-9.2592592592593004E-3"/>
                </c:manualLayout>
              </c:layout>
              <c:showLegendKey val="0"/>
              <c:showVal val="1"/>
              <c:showCatName val="0"/>
              <c:showSerName val="0"/>
              <c:showPercent val="0"/>
              <c:showBubbleSize val="0"/>
            </c:dLbl>
            <c:dLbl>
              <c:idx val="1"/>
              <c:layout>
                <c:manualLayout>
                  <c:x val="-6.8750000000000019E-2"/>
                  <c:y val="-4.1666666666666664E-2"/>
                </c:manualLayout>
              </c:layout>
              <c:showLegendKey val="0"/>
              <c:showVal val="1"/>
              <c:showCatName val="0"/>
              <c:showSerName val="0"/>
              <c:showPercent val="0"/>
              <c:showBubbleSize val="0"/>
            </c:dLbl>
            <c:dLbl>
              <c:idx val="2"/>
              <c:layout>
                <c:manualLayout>
                  <c:x val="-5.6250000000000036E-2"/>
                  <c:y val="-3.2407407407407489E-2"/>
                </c:manualLayout>
              </c:layout>
              <c:showLegendKey val="0"/>
              <c:showVal val="1"/>
              <c:showCatName val="0"/>
              <c:showSerName val="0"/>
              <c:showPercent val="0"/>
              <c:showBubbleSize val="0"/>
            </c:dLbl>
            <c:dLbl>
              <c:idx val="3"/>
              <c:layout>
                <c:manualLayout>
                  <c:x val="-4.5833333333333511E-2"/>
                  <c:y val="-2.7777777777777891E-2"/>
                </c:manualLayout>
              </c:layout>
              <c:showLegendKey val="0"/>
              <c:showVal val="1"/>
              <c:showCatName val="0"/>
              <c:showSerName val="0"/>
              <c:showPercent val="0"/>
              <c:showBubbleSize val="0"/>
            </c:dLbl>
            <c:dLbl>
              <c:idx val="4"/>
              <c:layout>
                <c:manualLayout>
                  <c:x val="-3.9583333333333408E-2"/>
                  <c:y val="-4.6296296296296412E-2"/>
                </c:manualLayout>
              </c:layout>
              <c:showLegendKey val="0"/>
              <c:showVal val="1"/>
              <c:showCatName val="0"/>
              <c:showSerName val="0"/>
              <c:showPercent val="0"/>
              <c:showBubbleSize val="0"/>
            </c:dLbl>
            <c:dLbl>
              <c:idx val="5"/>
              <c:layout>
                <c:manualLayout>
                  <c:x val="-5.2083333333333516E-2"/>
                  <c:y val="-6.48148148148149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trendline>
            <c:spPr>
              <a:ln w="25400">
                <a:solidFill>
                  <a:srgbClr val="00B050"/>
                </a:solidFill>
                <a:prstDash val="dash"/>
                <a:tailEnd type="stealth"/>
              </a:ln>
            </c:spPr>
            <c:trendlineType val="poly"/>
            <c:order val="4"/>
            <c:forward val="2"/>
            <c:dispRSqr val="1"/>
            <c:dispEq val="1"/>
            <c:trendlineLbl>
              <c:layout>
                <c:manualLayout>
                  <c:x val="-0.30381824146981756"/>
                  <c:y val="-6.1549497173068415E-2"/>
                </c:manualLayout>
              </c:layout>
              <c:numFmt formatCode="General" sourceLinked="0"/>
              <c:txPr>
                <a:bodyPr/>
                <a:lstStyle/>
                <a:p>
                  <a:pPr>
                    <a:defRPr i="1"/>
                  </a:pPr>
                  <a:endParaRPr lang="ru-RU"/>
                </a:p>
              </c:txPr>
            </c:trendlineLbl>
          </c:trendline>
          <c:cat>
            <c:strRef>
              <c:f>Лист5!$B$1:$H$1</c:f>
              <c:strCache>
                <c:ptCount val="7"/>
                <c:pt idx="0">
                  <c:v>2014 г.</c:v>
                </c:pt>
                <c:pt idx="1">
                  <c:v>2015 г.</c:v>
                </c:pt>
                <c:pt idx="2">
                  <c:v>2016 г.</c:v>
                </c:pt>
                <c:pt idx="3">
                  <c:v>2017 г.</c:v>
                </c:pt>
                <c:pt idx="4">
                  <c:v>2018 г.</c:v>
                </c:pt>
                <c:pt idx="5">
                  <c:v>2019 г.</c:v>
                </c:pt>
                <c:pt idx="6">
                  <c:v>2020 г.</c:v>
                </c:pt>
              </c:strCache>
            </c:strRef>
          </c:cat>
          <c:val>
            <c:numRef>
              <c:f>Лист5!$B$2:$H$2</c:f>
              <c:numCache>
                <c:formatCode>General</c:formatCode>
                <c:ptCount val="7"/>
                <c:pt idx="0">
                  <c:v>2572.8000000000002</c:v>
                </c:pt>
                <c:pt idx="1">
                  <c:v>3275.7</c:v>
                </c:pt>
                <c:pt idx="2">
                  <c:v>3894.4</c:v>
                </c:pt>
                <c:pt idx="3">
                  <c:v>3708.6</c:v>
                </c:pt>
                <c:pt idx="4">
                  <c:v>4260.6000000000004</c:v>
                </c:pt>
                <c:pt idx="5" formatCode="#,##0.00">
                  <c:v>4390.2</c:v>
                </c:pt>
                <c:pt idx="6" formatCode="#,##0.00">
                  <c:v>4878.1000000000004</c:v>
                </c:pt>
              </c:numCache>
            </c:numRef>
          </c:val>
          <c:smooth val="0"/>
        </c:ser>
        <c:ser>
          <c:idx val="1"/>
          <c:order val="1"/>
          <c:tx>
            <c:strRef>
              <c:f>Лист5!$A$3</c:f>
              <c:strCache>
                <c:ptCount val="1"/>
                <c:pt idx="0">
                  <c:v>физических лиц</c:v>
                </c:pt>
              </c:strCache>
            </c:strRef>
          </c:tx>
          <c:dLbls>
            <c:showLegendKey val="0"/>
            <c:showVal val="1"/>
            <c:showCatName val="0"/>
            <c:showSerName val="0"/>
            <c:showPercent val="0"/>
            <c:showBubbleSize val="0"/>
            <c:showLeaderLines val="0"/>
          </c:dLbls>
          <c:trendline>
            <c:spPr>
              <a:ln w="25400">
                <a:solidFill>
                  <a:srgbClr val="FFC000"/>
                </a:solidFill>
                <a:prstDash val="dash"/>
                <a:tailEnd type="stealth"/>
              </a:ln>
            </c:spPr>
            <c:trendlineType val="poly"/>
            <c:order val="3"/>
            <c:forward val="2"/>
            <c:dispRSqr val="1"/>
            <c:dispEq val="1"/>
            <c:trendlineLbl>
              <c:layout>
                <c:manualLayout>
                  <c:x val="-0.11395374015748047"/>
                  <c:y val="3.6696958579102414E-2"/>
                </c:manualLayout>
              </c:layout>
              <c:numFmt formatCode="General" sourceLinked="0"/>
              <c:txPr>
                <a:bodyPr/>
                <a:lstStyle/>
                <a:p>
                  <a:pPr>
                    <a:defRPr i="1"/>
                  </a:pPr>
                  <a:endParaRPr lang="ru-RU"/>
                </a:p>
              </c:txPr>
            </c:trendlineLbl>
          </c:trendline>
          <c:cat>
            <c:strRef>
              <c:f>Лист5!$B$1:$H$1</c:f>
              <c:strCache>
                <c:ptCount val="7"/>
                <c:pt idx="0">
                  <c:v>2014 г.</c:v>
                </c:pt>
                <c:pt idx="1">
                  <c:v>2015 г.</c:v>
                </c:pt>
                <c:pt idx="2">
                  <c:v>2016 г.</c:v>
                </c:pt>
                <c:pt idx="3">
                  <c:v>2017 г.</c:v>
                </c:pt>
                <c:pt idx="4">
                  <c:v>2018 г.</c:v>
                </c:pt>
                <c:pt idx="5">
                  <c:v>2019 г.</c:v>
                </c:pt>
                <c:pt idx="6">
                  <c:v>2020 г.</c:v>
                </c:pt>
              </c:strCache>
            </c:strRef>
          </c:cat>
          <c:val>
            <c:numRef>
              <c:f>Лист5!$B$3:$H$3</c:f>
              <c:numCache>
                <c:formatCode>General</c:formatCode>
                <c:ptCount val="7"/>
                <c:pt idx="0">
                  <c:v>459.69999999999965</c:v>
                </c:pt>
                <c:pt idx="1">
                  <c:v>570.90000000000009</c:v>
                </c:pt>
                <c:pt idx="2">
                  <c:v>772.79999999999973</c:v>
                </c:pt>
                <c:pt idx="3">
                  <c:v>843.29999999999973</c:v>
                </c:pt>
                <c:pt idx="4">
                  <c:v>1059.6999999999998</c:v>
                </c:pt>
                <c:pt idx="5" formatCode="#,##0.00">
                  <c:v>1264.2</c:v>
                </c:pt>
                <c:pt idx="6" formatCode="#,##0.00">
                  <c:v>1667.4</c:v>
                </c:pt>
              </c:numCache>
            </c:numRef>
          </c:val>
          <c:smooth val="0"/>
        </c:ser>
        <c:dLbls>
          <c:showLegendKey val="0"/>
          <c:showVal val="0"/>
          <c:showCatName val="0"/>
          <c:showSerName val="0"/>
          <c:showPercent val="0"/>
          <c:showBubbleSize val="0"/>
        </c:dLbls>
        <c:marker val="1"/>
        <c:smooth val="0"/>
        <c:axId val="222120960"/>
        <c:axId val="222143232"/>
      </c:lineChart>
      <c:catAx>
        <c:axId val="222120960"/>
        <c:scaling>
          <c:orientation val="minMax"/>
        </c:scaling>
        <c:delete val="0"/>
        <c:axPos val="b"/>
        <c:majorTickMark val="out"/>
        <c:minorTickMark val="none"/>
        <c:tickLblPos val="nextTo"/>
        <c:crossAx val="222143232"/>
        <c:crosses val="autoZero"/>
        <c:auto val="1"/>
        <c:lblAlgn val="ctr"/>
        <c:lblOffset val="100"/>
        <c:noMultiLvlLbl val="0"/>
      </c:catAx>
      <c:valAx>
        <c:axId val="222143232"/>
        <c:scaling>
          <c:orientation val="minMax"/>
        </c:scaling>
        <c:delete val="0"/>
        <c:axPos val="l"/>
        <c:majorGridlines/>
        <c:numFmt formatCode="General" sourceLinked="1"/>
        <c:majorTickMark val="out"/>
        <c:minorTickMark val="none"/>
        <c:tickLblPos val="nextTo"/>
        <c:crossAx val="222120960"/>
        <c:crosses val="autoZero"/>
        <c:crossBetween val="between"/>
      </c:valAx>
    </c:plotArea>
    <c:legend>
      <c:legendPos val="b"/>
      <c:layout>
        <c:manualLayout>
          <c:xMode val="edge"/>
          <c:yMode val="edge"/>
          <c:x val="6.24999999999996E-4"/>
          <c:y val="0.84986876640420062"/>
          <c:w val="0.99875000000000003"/>
          <c:h val="0.15013123359580102"/>
        </c:manualLayout>
      </c:layout>
      <c:overlay val="0"/>
      <c:txPr>
        <a:bodyPr/>
        <a:lstStyle/>
        <a:p>
          <a:pPr>
            <a:defRPr sz="1000"/>
          </a:pPr>
          <a:endParaRPr lang="ru-RU"/>
        </a:p>
      </c:txPr>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A593F1-23B7-400D-B25F-8B99AD7328FB}" type="doc">
      <dgm:prSet loTypeId="urn:microsoft.com/office/officeart/2005/8/layout/lProcess2" loCatId="list" qsTypeId="urn:microsoft.com/office/officeart/2005/8/quickstyle/simple3" qsCatId="simple" csTypeId="urn:microsoft.com/office/officeart/2005/8/colors/accent1_2" csCatId="accent1" phldr="1"/>
      <dgm:spPr/>
      <dgm:t>
        <a:bodyPr/>
        <a:lstStyle/>
        <a:p>
          <a:endParaRPr lang="ru-RU"/>
        </a:p>
      </dgm:t>
    </dgm:pt>
    <dgm:pt modelId="{7BFDCEFD-FC7F-437C-8DC4-27C324E17001}">
      <dgm:prSet phldrT="[Текст]" custT="1"/>
      <dgm:spPr/>
      <dgm:t>
        <a:bodyPr/>
        <a:lstStyle/>
        <a:p>
          <a:r>
            <a:rPr lang="ru-RU" sz="1400" b="1">
              <a:latin typeface="Times New Roman" panose="02020603050405020304" pitchFamily="18" charset="0"/>
              <a:cs typeface="Times New Roman" panose="02020603050405020304" pitchFamily="18" charset="0"/>
            </a:rPr>
            <a:t>Фондирование</a:t>
          </a:r>
        </a:p>
      </dgm:t>
    </dgm:pt>
    <dgm:pt modelId="{41B78BB4-B389-411B-B557-D4F745B77767}" type="parTrans" cxnId="{8614E910-24EE-4FAE-80F0-6F71839834F7}">
      <dgm:prSet/>
      <dgm:spPr/>
      <dgm:t>
        <a:bodyPr/>
        <a:lstStyle/>
        <a:p>
          <a:endParaRPr lang="ru-RU" sz="1200">
            <a:latin typeface="Times New Roman" panose="02020603050405020304" pitchFamily="18" charset="0"/>
            <a:cs typeface="Times New Roman" panose="02020603050405020304" pitchFamily="18" charset="0"/>
          </a:endParaRPr>
        </a:p>
      </dgm:t>
    </dgm:pt>
    <dgm:pt modelId="{3DA83C3D-B898-4B6B-AC2B-66EC7A47264B}" type="sibTrans" cxnId="{8614E910-24EE-4FAE-80F0-6F71839834F7}">
      <dgm:prSet/>
      <dgm:spPr/>
      <dgm:t>
        <a:bodyPr/>
        <a:lstStyle/>
        <a:p>
          <a:endParaRPr lang="ru-RU" sz="1200">
            <a:latin typeface="Times New Roman" panose="02020603050405020304" pitchFamily="18" charset="0"/>
            <a:cs typeface="Times New Roman" panose="02020603050405020304" pitchFamily="18" charset="0"/>
          </a:endParaRPr>
        </a:p>
      </dgm:t>
    </dgm:pt>
    <dgm:pt modelId="{D6436D76-FD17-4545-AC39-4A862CFFD3E3}">
      <dgm:prSet phldrT="[Текст]" custT="1"/>
      <dgm:spPr/>
      <dgm:t>
        <a:bodyPr/>
        <a:lstStyle/>
        <a:p>
          <a:r>
            <a:rPr lang="ru-RU" sz="1200" i="1">
              <a:latin typeface="Times New Roman" panose="02020603050405020304" pitchFamily="18" charset="0"/>
              <a:cs typeface="Times New Roman" panose="02020603050405020304" pitchFamily="18" charset="0"/>
            </a:rPr>
            <a:t>формирование </a:t>
          </a:r>
          <a:r>
            <a:rPr lang="ru-RU" sz="1200">
              <a:latin typeface="Times New Roman" panose="02020603050405020304" pitchFamily="18" charset="0"/>
              <a:cs typeface="Times New Roman" panose="02020603050405020304" pitchFamily="18" charset="0"/>
            </a:rPr>
            <a:t>денежных ресурсов</a:t>
          </a:r>
        </a:p>
      </dgm:t>
    </dgm:pt>
    <dgm:pt modelId="{AB4A510B-CB9B-4F90-883B-4730D8DB2D54}" type="parTrans" cxnId="{00298A1E-C8F1-46A2-96C8-9C721C26FB6C}">
      <dgm:prSet/>
      <dgm:spPr/>
      <dgm:t>
        <a:bodyPr/>
        <a:lstStyle/>
        <a:p>
          <a:endParaRPr lang="ru-RU" sz="1200">
            <a:latin typeface="Times New Roman" panose="02020603050405020304" pitchFamily="18" charset="0"/>
            <a:cs typeface="Times New Roman" panose="02020603050405020304" pitchFamily="18" charset="0"/>
          </a:endParaRPr>
        </a:p>
      </dgm:t>
    </dgm:pt>
    <dgm:pt modelId="{3C1A6163-FFCF-46C7-9C92-CBDA3876BBB2}" type="sibTrans" cxnId="{00298A1E-C8F1-46A2-96C8-9C721C26FB6C}">
      <dgm:prSet/>
      <dgm:spPr/>
      <dgm:t>
        <a:bodyPr/>
        <a:lstStyle/>
        <a:p>
          <a:endParaRPr lang="ru-RU" sz="1200">
            <a:latin typeface="Times New Roman" panose="02020603050405020304" pitchFamily="18" charset="0"/>
            <a:cs typeface="Times New Roman" panose="02020603050405020304" pitchFamily="18" charset="0"/>
          </a:endParaRPr>
        </a:p>
      </dgm:t>
    </dgm:pt>
    <dgm:pt modelId="{E86C0DFD-35F1-48B9-9DFA-C9D62643D800}">
      <dgm:prSet phldrT="[Текст]" custT="1"/>
      <dgm:spPr/>
      <dgm:t>
        <a:bodyPr/>
        <a:lstStyle/>
        <a:p>
          <a:r>
            <a:rPr lang="ru-RU" sz="1200" i="1">
              <a:latin typeface="Times New Roman" panose="02020603050405020304" pitchFamily="18" charset="0"/>
              <a:cs typeface="Times New Roman" panose="02020603050405020304" pitchFamily="18" charset="0"/>
            </a:rPr>
            <a:t>источники</a:t>
          </a:r>
          <a:r>
            <a:rPr lang="ru-RU" sz="1200">
              <a:latin typeface="Times New Roman" panose="02020603050405020304" pitchFamily="18" charset="0"/>
              <a:cs typeface="Times New Roman" panose="02020603050405020304" pitchFamily="18" charset="0"/>
            </a:rPr>
            <a:t> формирования ресурсов  </a:t>
          </a:r>
        </a:p>
      </dgm:t>
    </dgm:pt>
    <dgm:pt modelId="{DFADB3BC-5851-4B71-8536-43490A9119DF}" type="parTrans" cxnId="{2A51E423-0995-43AE-A9E5-43B3FD1F3B95}">
      <dgm:prSet/>
      <dgm:spPr/>
      <dgm:t>
        <a:bodyPr/>
        <a:lstStyle/>
        <a:p>
          <a:endParaRPr lang="ru-RU" sz="1200">
            <a:latin typeface="Times New Roman" panose="02020603050405020304" pitchFamily="18" charset="0"/>
            <a:cs typeface="Times New Roman" panose="02020603050405020304" pitchFamily="18" charset="0"/>
          </a:endParaRPr>
        </a:p>
      </dgm:t>
    </dgm:pt>
    <dgm:pt modelId="{DBF4704D-ECAF-4E4F-AF56-28156C1B30F3}" type="sibTrans" cxnId="{2A51E423-0995-43AE-A9E5-43B3FD1F3B95}">
      <dgm:prSet/>
      <dgm:spPr/>
      <dgm:t>
        <a:bodyPr/>
        <a:lstStyle/>
        <a:p>
          <a:endParaRPr lang="ru-RU" sz="1200">
            <a:latin typeface="Times New Roman" panose="02020603050405020304" pitchFamily="18" charset="0"/>
            <a:cs typeface="Times New Roman" panose="02020603050405020304" pitchFamily="18" charset="0"/>
          </a:endParaRPr>
        </a:p>
      </dgm:t>
    </dgm:pt>
    <dgm:pt modelId="{FFEDFE08-DF0B-4C31-88F2-DA361C2B599A}">
      <dgm:prSet phldrT="[Текст]" custT="1"/>
      <dgm:spPr/>
      <dgm:t>
        <a:bodyPr/>
        <a:lstStyle/>
        <a:p>
          <a:r>
            <a:rPr lang="ru-RU" sz="1400" b="1">
              <a:latin typeface="Times New Roman" panose="02020603050405020304" pitchFamily="18" charset="0"/>
              <a:cs typeface="Times New Roman" panose="02020603050405020304" pitchFamily="18" charset="0"/>
            </a:rPr>
            <a:t>Финансирование </a:t>
          </a:r>
        </a:p>
      </dgm:t>
    </dgm:pt>
    <dgm:pt modelId="{308CD7AC-546B-419F-94AE-F8D3CBE4B3D3}" type="parTrans" cxnId="{607DA94C-10BF-40BA-9F9B-7FCDEBB47690}">
      <dgm:prSet/>
      <dgm:spPr/>
      <dgm:t>
        <a:bodyPr/>
        <a:lstStyle/>
        <a:p>
          <a:endParaRPr lang="ru-RU" sz="1200">
            <a:latin typeface="Times New Roman" panose="02020603050405020304" pitchFamily="18" charset="0"/>
            <a:cs typeface="Times New Roman" panose="02020603050405020304" pitchFamily="18" charset="0"/>
          </a:endParaRPr>
        </a:p>
      </dgm:t>
    </dgm:pt>
    <dgm:pt modelId="{673F3687-7124-486F-B7F0-4A649A6B3EE4}" type="sibTrans" cxnId="{607DA94C-10BF-40BA-9F9B-7FCDEBB47690}">
      <dgm:prSet/>
      <dgm:spPr/>
      <dgm:t>
        <a:bodyPr/>
        <a:lstStyle/>
        <a:p>
          <a:endParaRPr lang="ru-RU" sz="1200">
            <a:latin typeface="Times New Roman" panose="02020603050405020304" pitchFamily="18" charset="0"/>
            <a:cs typeface="Times New Roman" panose="02020603050405020304" pitchFamily="18" charset="0"/>
          </a:endParaRPr>
        </a:p>
      </dgm:t>
    </dgm:pt>
    <dgm:pt modelId="{F6038E38-7DFB-40EE-A626-FA8729B0123E}">
      <dgm:prSet phldrT="[Текст]" custT="1"/>
      <dgm:spPr/>
      <dgm:t>
        <a:bodyPr/>
        <a:lstStyle/>
        <a:p>
          <a:r>
            <a:rPr lang="ru-RU" sz="1200" i="1">
              <a:latin typeface="Times New Roman" panose="02020603050405020304" pitchFamily="18" charset="0"/>
              <a:cs typeface="Times New Roman" panose="02020603050405020304" pitchFamily="18" charset="0"/>
            </a:rPr>
            <a:t>размещение</a:t>
          </a:r>
          <a:r>
            <a:rPr lang="ru-RU" sz="1200">
              <a:latin typeface="Times New Roman" panose="02020603050405020304" pitchFamily="18" charset="0"/>
              <a:cs typeface="Times New Roman" panose="02020603050405020304" pitchFamily="18" charset="0"/>
            </a:rPr>
            <a:t> денежных ресурсов</a:t>
          </a:r>
        </a:p>
      </dgm:t>
    </dgm:pt>
    <dgm:pt modelId="{4654D163-1F36-46A3-A4E6-F810289D3140}" type="parTrans" cxnId="{53921767-FFD6-4CD0-BF45-3365C29C0335}">
      <dgm:prSet/>
      <dgm:spPr/>
      <dgm:t>
        <a:bodyPr/>
        <a:lstStyle/>
        <a:p>
          <a:endParaRPr lang="ru-RU" sz="1200">
            <a:latin typeface="Times New Roman" panose="02020603050405020304" pitchFamily="18" charset="0"/>
            <a:cs typeface="Times New Roman" panose="02020603050405020304" pitchFamily="18" charset="0"/>
          </a:endParaRPr>
        </a:p>
      </dgm:t>
    </dgm:pt>
    <dgm:pt modelId="{13538111-0C3A-4B55-878E-85871317AD68}" type="sibTrans" cxnId="{53921767-FFD6-4CD0-BF45-3365C29C0335}">
      <dgm:prSet/>
      <dgm:spPr/>
      <dgm:t>
        <a:bodyPr/>
        <a:lstStyle/>
        <a:p>
          <a:endParaRPr lang="ru-RU" sz="1200">
            <a:latin typeface="Times New Roman" panose="02020603050405020304" pitchFamily="18" charset="0"/>
            <a:cs typeface="Times New Roman" panose="02020603050405020304" pitchFamily="18" charset="0"/>
          </a:endParaRPr>
        </a:p>
      </dgm:t>
    </dgm:pt>
    <dgm:pt modelId="{397E1BE4-B015-41EC-8F05-663D44B3E6A6}">
      <dgm:prSet phldrT="[Текст]" custT="1"/>
      <dgm:spPr/>
      <dgm:t>
        <a:bodyPr/>
        <a:lstStyle/>
        <a:p>
          <a:r>
            <a:rPr lang="ru-RU" sz="1200" i="1">
              <a:latin typeface="Times New Roman" panose="02020603050405020304" pitchFamily="18" charset="0"/>
              <a:cs typeface="Times New Roman" panose="02020603050405020304" pitchFamily="18" charset="0"/>
            </a:rPr>
            <a:t>инструменты </a:t>
          </a:r>
          <a:r>
            <a:rPr lang="ru-RU" sz="1200">
              <a:latin typeface="Times New Roman" panose="02020603050405020304" pitchFamily="18" charset="0"/>
              <a:cs typeface="Times New Roman" panose="02020603050405020304" pitchFamily="18" charset="0"/>
            </a:rPr>
            <a:t>распределения ресурсов</a:t>
          </a:r>
        </a:p>
      </dgm:t>
    </dgm:pt>
    <dgm:pt modelId="{97D44C4E-7E5C-4348-A6E8-BB4150524CE4}" type="parTrans" cxnId="{0F5EFA80-FC40-4447-854C-82B117D83668}">
      <dgm:prSet/>
      <dgm:spPr/>
      <dgm:t>
        <a:bodyPr/>
        <a:lstStyle/>
        <a:p>
          <a:endParaRPr lang="ru-RU" sz="1200">
            <a:latin typeface="Times New Roman" panose="02020603050405020304" pitchFamily="18" charset="0"/>
            <a:cs typeface="Times New Roman" panose="02020603050405020304" pitchFamily="18" charset="0"/>
          </a:endParaRPr>
        </a:p>
      </dgm:t>
    </dgm:pt>
    <dgm:pt modelId="{99660349-653D-4803-8D74-2D2E8F5554D5}" type="sibTrans" cxnId="{0F5EFA80-FC40-4447-854C-82B117D83668}">
      <dgm:prSet/>
      <dgm:spPr/>
      <dgm:t>
        <a:bodyPr/>
        <a:lstStyle/>
        <a:p>
          <a:endParaRPr lang="ru-RU" sz="1200">
            <a:latin typeface="Times New Roman" panose="02020603050405020304" pitchFamily="18" charset="0"/>
            <a:cs typeface="Times New Roman" panose="02020603050405020304" pitchFamily="18" charset="0"/>
          </a:endParaRPr>
        </a:p>
      </dgm:t>
    </dgm:pt>
    <dgm:pt modelId="{1F2C9186-D44C-4F46-AD91-4B544D66D61B}">
      <dgm:prSet custT="1"/>
      <dgm:spPr/>
      <dgm:t>
        <a:bodyPr/>
        <a:lstStyle/>
        <a:p>
          <a:r>
            <a:rPr lang="ru-RU" sz="1200" i="1">
              <a:latin typeface="Times New Roman" panose="02020603050405020304" pitchFamily="18" charset="0"/>
              <a:cs typeface="Times New Roman" panose="02020603050405020304" pitchFamily="18" charset="0"/>
            </a:rPr>
            <a:t>образование</a:t>
          </a:r>
          <a:r>
            <a:rPr lang="ru-RU" sz="1200">
              <a:latin typeface="Times New Roman" panose="02020603050405020304" pitchFamily="18" charset="0"/>
              <a:cs typeface="Times New Roman" panose="02020603050405020304" pitchFamily="18" charset="0"/>
            </a:rPr>
            <a:t> фонда, накоплений на основе сбережений</a:t>
          </a:r>
        </a:p>
      </dgm:t>
    </dgm:pt>
    <dgm:pt modelId="{5A62BF31-2383-4B3E-BD63-0DF36D5B8C35}" type="parTrans" cxnId="{32A1D001-308A-4D6F-AA43-7131AA40EB65}">
      <dgm:prSet/>
      <dgm:spPr/>
      <dgm:t>
        <a:bodyPr/>
        <a:lstStyle/>
        <a:p>
          <a:endParaRPr lang="ru-RU" sz="1200">
            <a:latin typeface="Times New Roman" panose="02020603050405020304" pitchFamily="18" charset="0"/>
            <a:cs typeface="Times New Roman" panose="02020603050405020304" pitchFamily="18" charset="0"/>
          </a:endParaRPr>
        </a:p>
      </dgm:t>
    </dgm:pt>
    <dgm:pt modelId="{C8381AE7-F19A-4CCF-BE7D-9BE83C23FC8A}" type="sibTrans" cxnId="{32A1D001-308A-4D6F-AA43-7131AA40EB65}">
      <dgm:prSet/>
      <dgm:spPr/>
      <dgm:t>
        <a:bodyPr/>
        <a:lstStyle/>
        <a:p>
          <a:endParaRPr lang="ru-RU" sz="1200">
            <a:latin typeface="Times New Roman" panose="02020603050405020304" pitchFamily="18" charset="0"/>
            <a:cs typeface="Times New Roman" panose="02020603050405020304" pitchFamily="18" charset="0"/>
          </a:endParaRPr>
        </a:p>
      </dgm:t>
    </dgm:pt>
    <dgm:pt modelId="{389DA363-F87B-4DE1-BB18-8B623AC78D90}">
      <dgm:prSet custT="1"/>
      <dgm:spPr/>
      <dgm:t>
        <a:bodyPr/>
        <a:lstStyle/>
        <a:p>
          <a:r>
            <a:rPr lang="ru-RU" sz="1200" i="1">
              <a:latin typeface="Times New Roman" panose="02020603050405020304" pitchFamily="18" charset="0"/>
              <a:cs typeface="Times New Roman" panose="02020603050405020304" pitchFamily="18" charset="0"/>
            </a:rPr>
            <a:t>выделение</a:t>
          </a:r>
          <a:r>
            <a:rPr lang="ru-RU" sz="1200">
              <a:latin typeface="Times New Roman" panose="02020603050405020304" pitchFamily="18" charset="0"/>
              <a:cs typeface="Times New Roman" panose="02020603050405020304" pitchFamily="18" charset="0"/>
            </a:rPr>
            <a:t> ресурсов для достижения намеченных целей</a:t>
          </a:r>
        </a:p>
      </dgm:t>
    </dgm:pt>
    <dgm:pt modelId="{901CD4C8-EBDB-435E-9808-45E9AA23C674}" type="parTrans" cxnId="{F466D30F-C600-48D6-95DA-8F28DAC00F9A}">
      <dgm:prSet/>
      <dgm:spPr/>
      <dgm:t>
        <a:bodyPr/>
        <a:lstStyle/>
        <a:p>
          <a:endParaRPr lang="ru-RU" sz="1200">
            <a:latin typeface="Times New Roman" panose="02020603050405020304" pitchFamily="18" charset="0"/>
            <a:cs typeface="Times New Roman" panose="02020603050405020304" pitchFamily="18" charset="0"/>
          </a:endParaRPr>
        </a:p>
      </dgm:t>
    </dgm:pt>
    <dgm:pt modelId="{A66DDC3D-2B53-4DE6-984A-7CDCC5CC3FA8}" type="sibTrans" cxnId="{F466D30F-C600-48D6-95DA-8F28DAC00F9A}">
      <dgm:prSet/>
      <dgm:spPr/>
      <dgm:t>
        <a:bodyPr/>
        <a:lstStyle/>
        <a:p>
          <a:endParaRPr lang="ru-RU" sz="1200">
            <a:latin typeface="Times New Roman" panose="02020603050405020304" pitchFamily="18" charset="0"/>
            <a:cs typeface="Times New Roman" panose="02020603050405020304" pitchFamily="18" charset="0"/>
          </a:endParaRPr>
        </a:p>
      </dgm:t>
    </dgm:pt>
    <dgm:pt modelId="{65FA070D-4927-4D6D-A185-D780A9A5EAE1}">
      <dgm:prSet custT="1"/>
      <dgm:spPr/>
      <dgm:t>
        <a:bodyPr/>
        <a:lstStyle/>
        <a:p>
          <a:r>
            <a:rPr lang="ru-RU" sz="1200" i="1">
              <a:latin typeface="Times New Roman" panose="02020603050405020304" pitchFamily="18" charset="0"/>
              <a:cs typeface="Times New Roman" panose="02020603050405020304" pitchFamily="18" charset="0"/>
            </a:rPr>
            <a:t>процесс обеспечения</a:t>
          </a:r>
          <a:r>
            <a:rPr lang="ru-RU" sz="1200">
              <a:latin typeface="Times New Roman" panose="02020603050405020304" pitchFamily="18" charset="0"/>
              <a:cs typeface="Times New Roman" panose="02020603050405020304" pitchFamily="18" charset="0"/>
            </a:rPr>
            <a:t> денежными средствами</a:t>
          </a:r>
        </a:p>
      </dgm:t>
    </dgm:pt>
    <dgm:pt modelId="{55337336-E976-4109-BD6F-6E15A2CCD82F}" type="parTrans" cxnId="{7711907F-0C1D-44CC-BE11-7CD5E56D5508}">
      <dgm:prSet/>
      <dgm:spPr/>
      <dgm:t>
        <a:bodyPr/>
        <a:lstStyle/>
        <a:p>
          <a:endParaRPr lang="ru-RU" sz="1200">
            <a:latin typeface="Times New Roman" panose="02020603050405020304" pitchFamily="18" charset="0"/>
            <a:cs typeface="Times New Roman" panose="02020603050405020304" pitchFamily="18" charset="0"/>
          </a:endParaRPr>
        </a:p>
      </dgm:t>
    </dgm:pt>
    <dgm:pt modelId="{260E4CBE-8C3C-4105-843B-2644D16E888B}" type="sibTrans" cxnId="{7711907F-0C1D-44CC-BE11-7CD5E56D5508}">
      <dgm:prSet/>
      <dgm:spPr/>
      <dgm:t>
        <a:bodyPr/>
        <a:lstStyle/>
        <a:p>
          <a:endParaRPr lang="ru-RU" sz="1200">
            <a:latin typeface="Times New Roman" panose="02020603050405020304" pitchFamily="18" charset="0"/>
            <a:cs typeface="Times New Roman" panose="02020603050405020304" pitchFamily="18" charset="0"/>
          </a:endParaRPr>
        </a:p>
      </dgm:t>
    </dgm:pt>
    <dgm:pt modelId="{7F877720-99F9-4E12-85AF-0C54447828B5}">
      <dgm:prSet custT="1"/>
      <dgm:spPr/>
      <dgm:t>
        <a:bodyPr/>
        <a:lstStyle/>
        <a:p>
          <a:r>
            <a:rPr lang="ru-RU" sz="1200" i="1">
              <a:latin typeface="Times New Roman" panose="02020603050405020304" pitchFamily="18" charset="0"/>
              <a:cs typeface="Times New Roman" panose="02020603050405020304" pitchFamily="18" charset="0"/>
            </a:rPr>
            <a:t>процесс предоставления</a:t>
          </a:r>
          <a:r>
            <a:rPr lang="ru-RU" sz="1200">
              <a:latin typeface="Times New Roman" panose="02020603050405020304" pitchFamily="18" charset="0"/>
              <a:cs typeface="Times New Roman" panose="02020603050405020304" pitchFamily="18" charset="0"/>
            </a:rPr>
            <a:t> денежных средств</a:t>
          </a:r>
        </a:p>
      </dgm:t>
    </dgm:pt>
    <dgm:pt modelId="{155217AB-38E6-48CB-9826-DCCF3BC11F8E}" type="parTrans" cxnId="{543C51B1-DDEF-4EAD-B151-859AB848952A}">
      <dgm:prSet/>
      <dgm:spPr/>
      <dgm:t>
        <a:bodyPr/>
        <a:lstStyle/>
        <a:p>
          <a:endParaRPr lang="ru-RU" sz="1200">
            <a:latin typeface="Times New Roman" panose="02020603050405020304" pitchFamily="18" charset="0"/>
            <a:cs typeface="Times New Roman" panose="02020603050405020304" pitchFamily="18" charset="0"/>
          </a:endParaRPr>
        </a:p>
      </dgm:t>
    </dgm:pt>
    <dgm:pt modelId="{28FBAC16-E2BB-46C3-B800-64A24E5D6E9D}" type="sibTrans" cxnId="{543C51B1-DDEF-4EAD-B151-859AB848952A}">
      <dgm:prSet/>
      <dgm:spPr/>
      <dgm:t>
        <a:bodyPr/>
        <a:lstStyle/>
        <a:p>
          <a:endParaRPr lang="ru-RU" sz="1200">
            <a:latin typeface="Times New Roman" panose="02020603050405020304" pitchFamily="18" charset="0"/>
            <a:cs typeface="Times New Roman" panose="02020603050405020304" pitchFamily="18" charset="0"/>
          </a:endParaRPr>
        </a:p>
      </dgm:t>
    </dgm:pt>
    <dgm:pt modelId="{3DFF5134-EAD6-4EE4-8EA4-74C02AA19AC7}" type="pres">
      <dgm:prSet presAssocID="{79A593F1-23B7-400D-B25F-8B99AD7328FB}" presName="theList" presStyleCnt="0">
        <dgm:presLayoutVars>
          <dgm:dir/>
          <dgm:animLvl val="lvl"/>
          <dgm:resizeHandles val="exact"/>
        </dgm:presLayoutVars>
      </dgm:prSet>
      <dgm:spPr/>
      <dgm:t>
        <a:bodyPr/>
        <a:lstStyle/>
        <a:p>
          <a:endParaRPr lang="ru-RU"/>
        </a:p>
      </dgm:t>
    </dgm:pt>
    <dgm:pt modelId="{E72C056F-8D60-4E0F-B786-2F0BFC968276}" type="pres">
      <dgm:prSet presAssocID="{7BFDCEFD-FC7F-437C-8DC4-27C324E17001}" presName="compNode" presStyleCnt="0"/>
      <dgm:spPr/>
    </dgm:pt>
    <dgm:pt modelId="{802B7F12-28F3-4A57-803C-FF22FF70A4AD}" type="pres">
      <dgm:prSet presAssocID="{7BFDCEFD-FC7F-437C-8DC4-27C324E17001}" presName="aNode" presStyleLbl="bgShp" presStyleIdx="0" presStyleCnt="2"/>
      <dgm:spPr/>
      <dgm:t>
        <a:bodyPr/>
        <a:lstStyle/>
        <a:p>
          <a:endParaRPr lang="ru-RU"/>
        </a:p>
      </dgm:t>
    </dgm:pt>
    <dgm:pt modelId="{9CB7EC87-0300-47A0-AEC0-98D5AD7EB92B}" type="pres">
      <dgm:prSet presAssocID="{7BFDCEFD-FC7F-437C-8DC4-27C324E17001}" presName="textNode" presStyleLbl="bgShp" presStyleIdx="0" presStyleCnt="2"/>
      <dgm:spPr/>
      <dgm:t>
        <a:bodyPr/>
        <a:lstStyle/>
        <a:p>
          <a:endParaRPr lang="ru-RU"/>
        </a:p>
      </dgm:t>
    </dgm:pt>
    <dgm:pt modelId="{9E934A87-1442-4CFF-8CD2-B1C692EDFC07}" type="pres">
      <dgm:prSet presAssocID="{7BFDCEFD-FC7F-437C-8DC4-27C324E17001}" presName="compChildNode" presStyleCnt="0"/>
      <dgm:spPr/>
    </dgm:pt>
    <dgm:pt modelId="{1D512720-1EA6-41A7-85AB-2057E223E2ED}" type="pres">
      <dgm:prSet presAssocID="{7BFDCEFD-FC7F-437C-8DC4-27C324E17001}" presName="theInnerList" presStyleCnt="0"/>
      <dgm:spPr/>
    </dgm:pt>
    <dgm:pt modelId="{6B7EADF5-D7C0-4DDF-BE35-4E7D8C58662E}" type="pres">
      <dgm:prSet presAssocID="{D6436D76-FD17-4545-AC39-4A862CFFD3E3}" presName="childNode" presStyleLbl="node1" presStyleIdx="0" presStyleCnt="8">
        <dgm:presLayoutVars>
          <dgm:bulletEnabled val="1"/>
        </dgm:presLayoutVars>
      </dgm:prSet>
      <dgm:spPr/>
      <dgm:t>
        <a:bodyPr/>
        <a:lstStyle/>
        <a:p>
          <a:endParaRPr lang="ru-RU"/>
        </a:p>
      </dgm:t>
    </dgm:pt>
    <dgm:pt modelId="{920EEF36-2B1E-4349-B171-38074E920151}" type="pres">
      <dgm:prSet presAssocID="{D6436D76-FD17-4545-AC39-4A862CFFD3E3}" presName="aSpace2" presStyleCnt="0"/>
      <dgm:spPr/>
    </dgm:pt>
    <dgm:pt modelId="{D9C1060D-4FB9-40D8-BD5A-75D116C6AB24}" type="pres">
      <dgm:prSet presAssocID="{1F2C9186-D44C-4F46-AD91-4B544D66D61B}" presName="childNode" presStyleLbl="node1" presStyleIdx="1" presStyleCnt="8">
        <dgm:presLayoutVars>
          <dgm:bulletEnabled val="1"/>
        </dgm:presLayoutVars>
      </dgm:prSet>
      <dgm:spPr/>
      <dgm:t>
        <a:bodyPr/>
        <a:lstStyle/>
        <a:p>
          <a:endParaRPr lang="ru-RU"/>
        </a:p>
      </dgm:t>
    </dgm:pt>
    <dgm:pt modelId="{95B245E4-E758-461A-9873-7825C0682A77}" type="pres">
      <dgm:prSet presAssocID="{1F2C9186-D44C-4F46-AD91-4B544D66D61B}" presName="aSpace2" presStyleCnt="0"/>
      <dgm:spPr/>
    </dgm:pt>
    <dgm:pt modelId="{CB3CCB27-786F-47B9-B59D-A84A5B7C3D98}" type="pres">
      <dgm:prSet presAssocID="{E86C0DFD-35F1-48B9-9DFA-C9D62643D800}" presName="childNode" presStyleLbl="node1" presStyleIdx="2" presStyleCnt="8">
        <dgm:presLayoutVars>
          <dgm:bulletEnabled val="1"/>
        </dgm:presLayoutVars>
      </dgm:prSet>
      <dgm:spPr/>
      <dgm:t>
        <a:bodyPr/>
        <a:lstStyle/>
        <a:p>
          <a:endParaRPr lang="ru-RU"/>
        </a:p>
      </dgm:t>
    </dgm:pt>
    <dgm:pt modelId="{7D197CD8-5C64-47D3-B037-27BD9F041D65}" type="pres">
      <dgm:prSet presAssocID="{E86C0DFD-35F1-48B9-9DFA-C9D62643D800}" presName="aSpace2" presStyleCnt="0"/>
      <dgm:spPr/>
    </dgm:pt>
    <dgm:pt modelId="{1A1C510D-A412-4691-B78F-D1C5F962C0B5}" type="pres">
      <dgm:prSet presAssocID="{65FA070D-4927-4D6D-A185-D780A9A5EAE1}" presName="childNode" presStyleLbl="node1" presStyleIdx="3" presStyleCnt="8">
        <dgm:presLayoutVars>
          <dgm:bulletEnabled val="1"/>
        </dgm:presLayoutVars>
      </dgm:prSet>
      <dgm:spPr/>
      <dgm:t>
        <a:bodyPr/>
        <a:lstStyle/>
        <a:p>
          <a:endParaRPr lang="ru-RU"/>
        </a:p>
      </dgm:t>
    </dgm:pt>
    <dgm:pt modelId="{7D700CE8-BEB6-483C-A21F-8B9000DB1360}" type="pres">
      <dgm:prSet presAssocID="{7BFDCEFD-FC7F-437C-8DC4-27C324E17001}" presName="aSpace" presStyleCnt="0"/>
      <dgm:spPr/>
    </dgm:pt>
    <dgm:pt modelId="{18E5B8B8-DCEA-439A-92D2-B2B07C418FC2}" type="pres">
      <dgm:prSet presAssocID="{FFEDFE08-DF0B-4C31-88F2-DA361C2B599A}" presName="compNode" presStyleCnt="0"/>
      <dgm:spPr/>
    </dgm:pt>
    <dgm:pt modelId="{7EAC4703-8971-4CCD-8A1F-562843AC3E94}" type="pres">
      <dgm:prSet presAssocID="{FFEDFE08-DF0B-4C31-88F2-DA361C2B599A}" presName="aNode" presStyleLbl="bgShp" presStyleIdx="1" presStyleCnt="2"/>
      <dgm:spPr/>
      <dgm:t>
        <a:bodyPr/>
        <a:lstStyle/>
        <a:p>
          <a:endParaRPr lang="ru-RU"/>
        </a:p>
      </dgm:t>
    </dgm:pt>
    <dgm:pt modelId="{0BDFAD31-2CE2-403C-B997-985D5E37989A}" type="pres">
      <dgm:prSet presAssocID="{FFEDFE08-DF0B-4C31-88F2-DA361C2B599A}" presName="textNode" presStyleLbl="bgShp" presStyleIdx="1" presStyleCnt="2"/>
      <dgm:spPr/>
      <dgm:t>
        <a:bodyPr/>
        <a:lstStyle/>
        <a:p>
          <a:endParaRPr lang="ru-RU"/>
        </a:p>
      </dgm:t>
    </dgm:pt>
    <dgm:pt modelId="{3DFE19BF-1504-47D3-9628-E1AEF7EAAA82}" type="pres">
      <dgm:prSet presAssocID="{FFEDFE08-DF0B-4C31-88F2-DA361C2B599A}" presName="compChildNode" presStyleCnt="0"/>
      <dgm:spPr/>
    </dgm:pt>
    <dgm:pt modelId="{D402966C-A7B1-46C0-9D6F-720D4FF945C5}" type="pres">
      <dgm:prSet presAssocID="{FFEDFE08-DF0B-4C31-88F2-DA361C2B599A}" presName="theInnerList" presStyleCnt="0"/>
      <dgm:spPr/>
    </dgm:pt>
    <dgm:pt modelId="{584AC66D-D56A-4DA5-88E4-48761B7B7F03}" type="pres">
      <dgm:prSet presAssocID="{F6038E38-7DFB-40EE-A626-FA8729B0123E}" presName="childNode" presStyleLbl="node1" presStyleIdx="4" presStyleCnt="8">
        <dgm:presLayoutVars>
          <dgm:bulletEnabled val="1"/>
        </dgm:presLayoutVars>
      </dgm:prSet>
      <dgm:spPr/>
      <dgm:t>
        <a:bodyPr/>
        <a:lstStyle/>
        <a:p>
          <a:endParaRPr lang="ru-RU"/>
        </a:p>
      </dgm:t>
    </dgm:pt>
    <dgm:pt modelId="{595EE58F-1122-424A-8AD8-EE85692DABA5}" type="pres">
      <dgm:prSet presAssocID="{F6038E38-7DFB-40EE-A626-FA8729B0123E}" presName="aSpace2" presStyleCnt="0"/>
      <dgm:spPr/>
    </dgm:pt>
    <dgm:pt modelId="{0170DC21-E9A8-4B78-A7C8-C10677EDFBC9}" type="pres">
      <dgm:prSet presAssocID="{389DA363-F87B-4DE1-BB18-8B623AC78D90}" presName="childNode" presStyleLbl="node1" presStyleIdx="5" presStyleCnt="8">
        <dgm:presLayoutVars>
          <dgm:bulletEnabled val="1"/>
        </dgm:presLayoutVars>
      </dgm:prSet>
      <dgm:spPr/>
      <dgm:t>
        <a:bodyPr/>
        <a:lstStyle/>
        <a:p>
          <a:endParaRPr lang="ru-RU"/>
        </a:p>
      </dgm:t>
    </dgm:pt>
    <dgm:pt modelId="{9D473480-E188-4FB4-B895-E74174F4670F}" type="pres">
      <dgm:prSet presAssocID="{389DA363-F87B-4DE1-BB18-8B623AC78D90}" presName="aSpace2" presStyleCnt="0"/>
      <dgm:spPr/>
    </dgm:pt>
    <dgm:pt modelId="{C0E7528E-0760-4AEA-85D3-3BC511C1CCC4}" type="pres">
      <dgm:prSet presAssocID="{397E1BE4-B015-41EC-8F05-663D44B3E6A6}" presName="childNode" presStyleLbl="node1" presStyleIdx="6" presStyleCnt="8">
        <dgm:presLayoutVars>
          <dgm:bulletEnabled val="1"/>
        </dgm:presLayoutVars>
      </dgm:prSet>
      <dgm:spPr/>
      <dgm:t>
        <a:bodyPr/>
        <a:lstStyle/>
        <a:p>
          <a:endParaRPr lang="ru-RU"/>
        </a:p>
      </dgm:t>
    </dgm:pt>
    <dgm:pt modelId="{1F3DCEC4-A0B1-493A-8501-465B4FA54AE9}" type="pres">
      <dgm:prSet presAssocID="{397E1BE4-B015-41EC-8F05-663D44B3E6A6}" presName="aSpace2" presStyleCnt="0"/>
      <dgm:spPr/>
    </dgm:pt>
    <dgm:pt modelId="{0CBC0659-6AE2-4A76-93D6-06D84FA7BD10}" type="pres">
      <dgm:prSet presAssocID="{7F877720-99F9-4E12-85AF-0C54447828B5}" presName="childNode" presStyleLbl="node1" presStyleIdx="7" presStyleCnt="8">
        <dgm:presLayoutVars>
          <dgm:bulletEnabled val="1"/>
        </dgm:presLayoutVars>
      </dgm:prSet>
      <dgm:spPr/>
      <dgm:t>
        <a:bodyPr/>
        <a:lstStyle/>
        <a:p>
          <a:endParaRPr lang="ru-RU"/>
        </a:p>
      </dgm:t>
    </dgm:pt>
  </dgm:ptLst>
  <dgm:cxnLst>
    <dgm:cxn modelId="{543C51B1-DDEF-4EAD-B151-859AB848952A}" srcId="{FFEDFE08-DF0B-4C31-88F2-DA361C2B599A}" destId="{7F877720-99F9-4E12-85AF-0C54447828B5}" srcOrd="3" destOrd="0" parTransId="{155217AB-38E6-48CB-9826-DCCF3BC11F8E}" sibTransId="{28FBAC16-E2BB-46C3-B800-64A24E5D6E9D}"/>
    <dgm:cxn modelId="{5BAB11D2-4667-45F8-ADB1-46FAD8B4DBA0}" type="presOf" srcId="{F6038E38-7DFB-40EE-A626-FA8729B0123E}" destId="{584AC66D-D56A-4DA5-88E4-48761B7B7F03}" srcOrd="0" destOrd="0" presId="urn:microsoft.com/office/officeart/2005/8/layout/lProcess2"/>
    <dgm:cxn modelId="{D26749F3-7BC6-4CBA-A911-9295B69C5179}" type="presOf" srcId="{7BFDCEFD-FC7F-437C-8DC4-27C324E17001}" destId="{802B7F12-28F3-4A57-803C-FF22FF70A4AD}" srcOrd="0" destOrd="0" presId="urn:microsoft.com/office/officeart/2005/8/layout/lProcess2"/>
    <dgm:cxn modelId="{BC3501A8-3E4F-4981-86EB-97A0844BBFA5}" type="presOf" srcId="{1F2C9186-D44C-4F46-AD91-4B544D66D61B}" destId="{D9C1060D-4FB9-40D8-BD5A-75D116C6AB24}" srcOrd="0" destOrd="0" presId="urn:microsoft.com/office/officeart/2005/8/layout/lProcess2"/>
    <dgm:cxn modelId="{EA0097BF-4362-438A-A261-399E7F4DCDCB}" type="presOf" srcId="{FFEDFE08-DF0B-4C31-88F2-DA361C2B599A}" destId="{0BDFAD31-2CE2-403C-B997-985D5E37989A}" srcOrd="1" destOrd="0" presId="urn:microsoft.com/office/officeart/2005/8/layout/lProcess2"/>
    <dgm:cxn modelId="{53921767-FFD6-4CD0-BF45-3365C29C0335}" srcId="{FFEDFE08-DF0B-4C31-88F2-DA361C2B599A}" destId="{F6038E38-7DFB-40EE-A626-FA8729B0123E}" srcOrd="0" destOrd="0" parTransId="{4654D163-1F36-46A3-A4E6-F810289D3140}" sibTransId="{13538111-0C3A-4B55-878E-85871317AD68}"/>
    <dgm:cxn modelId="{9C8075E6-7B9A-478F-BC03-88EB2C48865A}" type="presOf" srcId="{389DA363-F87B-4DE1-BB18-8B623AC78D90}" destId="{0170DC21-E9A8-4B78-A7C8-C10677EDFBC9}" srcOrd="0" destOrd="0" presId="urn:microsoft.com/office/officeart/2005/8/layout/lProcess2"/>
    <dgm:cxn modelId="{5B8E6D20-098E-427F-9591-9F6354BF85AE}" type="presOf" srcId="{79A593F1-23B7-400D-B25F-8B99AD7328FB}" destId="{3DFF5134-EAD6-4EE4-8EA4-74C02AA19AC7}" srcOrd="0" destOrd="0" presId="urn:microsoft.com/office/officeart/2005/8/layout/lProcess2"/>
    <dgm:cxn modelId="{F6F3020C-89DB-4285-AB99-ECCA95699C81}" type="presOf" srcId="{D6436D76-FD17-4545-AC39-4A862CFFD3E3}" destId="{6B7EADF5-D7C0-4DDF-BE35-4E7D8C58662E}" srcOrd="0" destOrd="0" presId="urn:microsoft.com/office/officeart/2005/8/layout/lProcess2"/>
    <dgm:cxn modelId="{FCA1787B-D55B-42A4-9453-CD4DB76AF892}" type="presOf" srcId="{65FA070D-4927-4D6D-A185-D780A9A5EAE1}" destId="{1A1C510D-A412-4691-B78F-D1C5F962C0B5}" srcOrd="0" destOrd="0" presId="urn:microsoft.com/office/officeart/2005/8/layout/lProcess2"/>
    <dgm:cxn modelId="{028B3013-8424-4741-A5B5-515BF5568CA0}" type="presOf" srcId="{7BFDCEFD-FC7F-437C-8DC4-27C324E17001}" destId="{9CB7EC87-0300-47A0-AEC0-98D5AD7EB92B}" srcOrd="1" destOrd="0" presId="urn:microsoft.com/office/officeart/2005/8/layout/lProcess2"/>
    <dgm:cxn modelId="{0F5EFA80-FC40-4447-854C-82B117D83668}" srcId="{FFEDFE08-DF0B-4C31-88F2-DA361C2B599A}" destId="{397E1BE4-B015-41EC-8F05-663D44B3E6A6}" srcOrd="2" destOrd="0" parTransId="{97D44C4E-7E5C-4348-A6E8-BB4150524CE4}" sibTransId="{99660349-653D-4803-8D74-2D2E8F5554D5}"/>
    <dgm:cxn modelId="{50F90857-8AE6-457A-9252-BA9686C3952A}" type="presOf" srcId="{7F877720-99F9-4E12-85AF-0C54447828B5}" destId="{0CBC0659-6AE2-4A76-93D6-06D84FA7BD10}" srcOrd="0" destOrd="0" presId="urn:microsoft.com/office/officeart/2005/8/layout/lProcess2"/>
    <dgm:cxn modelId="{B8C2E53F-72BD-4F58-935E-0978F5D55E9D}" type="presOf" srcId="{FFEDFE08-DF0B-4C31-88F2-DA361C2B599A}" destId="{7EAC4703-8971-4CCD-8A1F-562843AC3E94}" srcOrd="0" destOrd="0" presId="urn:microsoft.com/office/officeart/2005/8/layout/lProcess2"/>
    <dgm:cxn modelId="{F466D30F-C600-48D6-95DA-8F28DAC00F9A}" srcId="{FFEDFE08-DF0B-4C31-88F2-DA361C2B599A}" destId="{389DA363-F87B-4DE1-BB18-8B623AC78D90}" srcOrd="1" destOrd="0" parTransId="{901CD4C8-EBDB-435E-9808-45E9AA23C674}" sibTransId="{A66DDC3D-2B53-4DE6-984A-7CDCC5CC3FA8}"/>
    <dgm:cxn modelId="{607DA94C-10BF-40BA-9F9B-7FCDEBB47690}" srcId="{79A593F1-23B7-400D-B25F-8B99AD7328FB}" destId="{FFEDFE08-DF0B-4C31-88F2-DA361C2B599A}" srcOrd="1" destOrd="0" parTransId="{308CD7AC-546B-419F-94AE-F8D3CBE4B3D3}" sibTransId="{673F3687-7124-486F-B7F0-4A649A6B3EE4}"/>
    <dgm:cxn modelId="{7711907F-0C1D-44CC-BE11-7CD5E56D5508}" srcId="{7BFDCEFD-FC7F-437C-8DC4-27C324E17001}" destId="{65FA070D-4927-4D6D-A185-D780A9A5EAE1}" srcOrd="3" destOrd="0" parTransId="{55337336-E976-4109-BD6F-6E15A2CCD82F}" sibTransId="{260E4CBE-8C3C-4105-843B-2644D16E888B}"/>
    <dgm:cxn modelId="{32A1D001-308A-4D6F-AA43-7131AA40EB65}" srcId="{7BFDCEFD-FC7F-437C-8DC4-27C324E17001}" destId="{1F2C9186-D44C-4F46-AD91-4B544D66D61B}" srcOrd="1" destOrd="0" parTransId="{5A62BF31-2383-4B3E-BD63-0DF36D5B8C35}" sibTransId="{C8381AE7-F19A-4CCF-BE7D-9BE83C23FC8A}"/>
    <dgm:cxn modelId="{8614E910-24EE-4FAE-80F0-6F71839834F7}" srcId="{79A593F1-23B7-400D-B25F-8B99AD7328FB}" destId="{7BFDCEFD-FC7F-437C-8DC4-27C324E17001}" srcOrd="0" destOrd="0" parTransId="{41B78BB4-B389-411B-B557-D4F745B77767}" sibTransId="{3DA83C3D-B898-4B6B-AC2B-66EC7A47264B}"/>
    <dgm:cxn modelId="{95013DF3-F843-4A9F-AA92-AC67BBB216E0}" type="presOf" srcId="{397E1BE4-B015-41EC-8F05-663D44B3E6A6}" destId="{C0E7528E-0760-4AEA-85D3-3BC511C1CCC4}" srcOrd="0" destOrd="0" presId="urn:microsoft.com/office/officeart/2005/8/layout/lProcess2"/>
    <dgm:cxn modelId="{00298A1E-C8F1-46A2-96C8-9C721C26FB6C}" srcId="{7BFDCEFD-FC7F-437C-8DC4-27C324E17001}" destId="{D6436D76-FD17-4545-AC39-4A862CFFD3E3}" srcOrd="0" destOrd="0" parTransId="{AB4A510B-CB9B-4F90-883B-4730D8DB2D54}" sibTransId="{3C1A6163-FFCF-46C7-9C92-CBDA3876BBB2}"/>
    <dgm:cxn modelId="{087909B2-1C2A-4F29-8653-520D44C2756E}" type="presOf" srcId="{E86C0DFD-35F1-48B9-9DFA-C9D62643D800}" destId="{CB3CCB27-786F-47B9-B59D-A84A5B7C3D98}" srcOrd="0" destOrd="0" presId="urn:microsoft.com/office/officeart/2005/8/layout/lProcess2"/>
    <dgm:cxn modelId="{2A51E423-0995-43AE-A9E5-43B3FD1F3B95}" srcId="{7BFDCEFD-FC7F-437C-8DC4-27C324E17001}" destId="{E86C0DFD-35F1-48B9-9DFA-C9D62643D800}" srcOrd="2" destOrd="0" parTransId="{DFADB3BC-5851-4B71-8536-43490A9119DF}" sibTransId="{DBF4704D-ECAF-4E4F-AF56-28156C1B30F3}"/>
    <dgm:cxn modelId="{155540FB-C2CA-46B2-8E2C-48AED849EFB4}" type="presParOf" srcId="{3DFF5134-EAD6-4EE4-8EA4-74C02AA19AC7}" destId="{E72C056F-8D60-4E0F-B786-2F0BFC968276}" srcOrd="0" destOrd="0" presId="urn:microsoft.com/office/officeart/2005/8/layout/lProcess2"/>
    <dgm:cxn modelId="{459E1AC2-008C-4766-8A3C-43DA76D60C87}" type="presParOf" srcId="{E72C056F-8D60-4E0F-B786-2F0BFC968276}" destId="{802B7F12-28F3-4A57-803C-FF22FF70A4AD}" srcOrd="0" destOrd="0" presId="urn:microsoft.com/office/officeart/2005/8/layout/lProcess2"/>
    <dgm:cxn modelId="{2CACEB78-CB45-47D9-8FF2-81D65F88EC6F}" type="presParOf" srcId="{E72C056F-8D60-4E0F-B786-2F0BFC968276}" destId="{9CB7EC87-0300-47A0-AEC0-98D5AD7EB92B}" srcOrd="1" destOrd="0" presId="urn:microsoft.com/office/officeart/2005/8/layout/lProcess2"/>
    <dgm:cxn modelId="{11DDA71E-CB06-4032-9B1F-294F124ECF50}" type="presParOf" srcId="{E72C056F-8D60-4E0F-B786-2F0BFC968276}" destId="{9E934A87-1442-4CFF-8CD2-B1C692EDFC07}" srcOrd="2" destOrd="0" presId="urn:microsoft.com/office/officeart/2005/8/layout/lProcess2"/>
    <dgm:cxn modelId="{CB255DC2-5717-43F4-B4FE-8870C7A54069}" type="presParOf" srcId="{9E934A87-1442-4CFF-8CD2-B1C692EDFC07}" destId="{1D512720-1EA6-41A7-85AB-2057E223E2ED}" srcOrd="0" destOrd="0" presId="urn:microsoft.com/office/officeart/2005/8/layout/lProcess2"/>
    <dgm:cxn modelId="{4F33CD72-B98F-4C4C-A675-1507E9E2B253}" type="presParOf" srcId="{1D512720-1EA6-41A7-85AB-2057E223E2ED}" destId="{6B7EADF5-D7C0-4DDF-BE35-4E7D8C58662E}" srcOrd="0" destOrd="0" presId="urn:microsoft.com/office/officeart/2005/8/layout/lProcess2"/>
    <dgm:cxn modelId="{82526F51-EEB8-46C4-9B05-E5BCFEA9357C}" type="presParOf" srcId="{1D512720-1EA6-41A7-85AB-2057E223E2ED}" destId="{920EEF36-2B1E-4349-B171-38074E920151}" srcOrd="1" destOrd="0" presId="urn:microsoft.com/office/officeart/2005/8/layout/lProcess2"/>
    <dgm:cxn modelId="{3B8923E3-F9ED-4CB5-A5A9-ED635B282923}" type="presParOf" srcId="{1D512720-1EA6-41A7-85AB-2057E223E2ED}" destId="{D9C1060D-4FB9-40D8-BD5A-75D116C6AB24}" srcOrd="2" destOrd="0" presId="urn:microsoft.com/office/officeart/2005/8/layout/lProcess2"/>
    <dgm:cxn modelId="{D460BC8E-5DA8-4046-8B9A-B7F54DA39B31}" type="presParOf" srcId="{1D512720-1EA6-41A7-85AB-2057E223E2ED}" destId="{95B245E4-E758-461A-9873-7825C0682A77}" srcOrd="3" destOrd="0" presId="urn:microsoft.com/office/officeart/2005/8/layout/lProcess2"/>
    <dgm:cxn modelId="{319D2467-F29B-45B7-8FCD-7579939E61DA}" type="presParOf" srcId="{1D512720-1EA6-41A7-85AB-2057E223E2ED}" destId="{CB3CCB27-786F-47B9-B59D-A84A5B7C3D98}" srcOrd="4" destOrd="0" presId="urn:microsoft.com/office/officeart/2005/8/layout/lProcess2"/>
    <dgm:cxn modelId="{AF7E866E-A0EB-4B7F-9E24-308662D5B454}" type="presParOf" srcId="{1D512720-1EA6-41A7-85AB-2057E223E2ED}" destId="{7D197CD8-5C64-47D3-B037-27BD9F041D65}" srcOrd="5" destOrd="0" presId="urn:microsoft.com/office/officeart/2005/8/layout/lProcess2"/>
    <dgm:cxn modelId="{F4E11F07-C178-4BF2-9EEB-08407EB4936F}" type="presParOf" srcId="{1D512720-1EA6-41A7-85AB-2057E223E2ED}" destId="{1A1C510D-A412-4691-B78F-D1C5F962C0B5}" srcOrd="6" destOrd="0" presId="urn:microsoft.com/office/officeart/2005/8/layout/lProcess2"/>
    <dgm:cxn modelId="{D2ECA1F5-8D94-4357-BF98-C680303CF8BE}" type="presParOf" srcId="{3DFF5134-EAD6-4EE4-8EA4-74C02AA19AC7}" destId="{7D700CE8-BEB6-483C-A21F-8B9000DB1360}" srcOrd="1" destOrd="0" presId="urn:microsoft.com/office/officeart/2005/8/layout/lProcess2"/>
    <dgm:cxn modelId="{33511E17-63F9-41E3-AA9A-BC1FB9D5ED05}" type="presParOf" srcId="{3DFF5134-EAD6-4EE4-8EA4-74C02AA19AC7}" destId="{18E5B8B8-DCEA-439A-92D2-B2B07C418FC2}" srcOrd="2" destOrd="0" presId="urn:microsoft.com/office/officeart/2005/8/layout/lProcess2"/>
    <dgm:cxn modelId="{CD9A23C3-1254-435C-9274-1E817C5D26C2}" type="presParOf" srcId="{18E5B8B8-DCEA-439A-92D2-B2B07C418FC2}" destId="{7EAC4703-8971-4CCD-8A1F-562843AC3E94}" srcOrd="0" destOrd="0" presId="urn:microsoft.com/office/officeart/2005/8/layout/lProcess2"/>
    <dgm:cxn modelId="{C6C48D50-18A2-4B31-AE7B-53A12662A120}" type="presParOf" srcId="{18E5B8B8-DCEA-439A-92D2-B2B07C418FC2}" destId="{0BDFAD31-2CE2-403C-B997-985D5E37989A}" srcOrd="1" destOrd="0" presId="urn:microsoft.com/office/officeart/2005/8/layout/lProcess2"/>
    <dgm:cxn modelId="{62E19CF7-415A-4EF5-948F-74826B0DB0E2}" type="presParOf" srcId="{18E5B8B8-DCEA-439A-92D2-B2B07C418FC2}" destId="{3DFE19BF-1504-47D3-9628-E1AEF7EAAA82}" srcOrd="2" destOrd="0" presId="urn:microsoft.com/office/officeart/2005/8/layout/lProcess2"/>
    <dgm:cxn modelId="{5B67FA74-7ADF-4DEC-9334-607991562B74}" type="presParOf" srcId="{3DFE19BF-1504-47D3-9628-E1AEF7EAAA82}" destId="{D402966C-A7B1-46C0-9D6F-720D4FF945C5}" srcOrd="0" destOrd="0" presId="urn:microsoft.com/office/officeart/2005/8/layout/lProcess2"/>
    <dgm:cxn modelId="{75FABBF8-5615-4CD6-884C-C34BBC928673}" type="presParOf" srcId="{D402966C-A7B1-46C0-9D6F-720D4FF945C5}" destId="{584AC66D-D56A-4DA5-88E4-48761B7B7F03}" srcOrd="0" destOrd="0" presId="urn:microsoft.com/office/officeart/2005/8/layout/lProcess2"/>
    <dgm:cxn modelId="{FB177890-1FC7-45DC-A773-949A9384D22C}" type="presParOf" srcId="{D402966C-A7B1-46C0-9D6F-720D4FF945C5}" destId="{595EE58F-1122-424A-8AD8-EE85692DABA5}" srcOrd="1" destOrd="0" presId="urn:microsoft.com/office/officeart/2005/8/layout/lProcess2"/>
    <dgm:cxn modelId="{21647D94-3C0B-44F8-9507-934DEEBFE852}" type="presParOf" srcId="{D402966C-A7B1-46C0-9D6F-720D4FF945C5}" destId="{0170DC21-E9A8-4B78-A7C8-C10677EDFBC9}" srcOrd="2" destOrd="0" presId="urn:microsoft.com/office/officeart/2005/8/layout/lProcess2"/>
    <dgm:cxn modelId="{44BC6265-CFA2-46EC-921A-4B3397C8F01C}" type="presParOf" srcId="{D402966C-A7B1-46C0-9D6F-720D4FF945C5}" destId="{9D473480-E188-4FB4-B895-E74174F4670F}" srcOrd="3" destOrd="0" presId="urn:microsoft.com/office/officeart/2005/8/layout/lProcess2"/>
    <dgm:cxn modelId="{F503EAF1-B32E-420F-BB35-472ACF94E0CD}" type="presParOf" srcId="{D402966C-A7B1-46C0-9D6F-720D4FF945C5}" destId="{C0E7528E-0760-4AEA-85D3-3BC511C1CCC4}" srcOrd="4" destOrd="0" presId="urn:microsoft.com/office/officeart/2005/8/layout/lProcess2"/>
    <dgm:cxn modelId="{62281559-A857-4067-AA8E-F8AB08C0FCF2}" type="presParOf" srcId="{D402966C-A7B1-46C0-9D6F-720D4FF945C5}" destId="{1F3DCEC4-A0B1-493A-8501-465B4FA54AE9}" srcOrd="5" destOrd="0" presId="urn:microsoft.com/office/officeart/2005/8/layout/lProcess2"/>
    <dgm:cxn modelId="{3D5F67D7-7463-49AD-93C9-B9A9825791E3}" type="presParOf" srcId="{D402966C-A7B1-46C0-9D6F-720D4FF945C5}" destId="{0CBC0659-6AE2-4A76-93D6-06D84FA7BD10}" srcOrd="6" destOrd="0" presId="urn:microsoft.com/office/officeart/2005/8/layout/l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4FECE64-EB84-4A7C-AE17-E8AAC2BC0599}" type="doc">
      <dgm:prSet loTypeId="urn:microsoft.com/office/officeart/2005/8/layout/vList6" loCatId="list" qsTypeId="urn:microsoft.com/office/officeart/2005/8/quickstyle/3d3" qsCatId="3D" csTypeId="urn:microsoft.com/office/officeart/2005/8/colors/colorful1#7" csCatId="colorful" phldr="1"/>
      <dgm:spPr/>
      <dgm:t>
        <a:bodyPr/>
        <a:lstStyle/>
        <a:p>
          <a:endParaRPr lang="ru-RU"/>
        </a:p>
      </dgm:t>
    </dgm:pt>
    <dgm:pt modelId="{F4EAE478-FB4D-4516-A638-139A97A7C7ED}">
      <dgm:prSet phldrT="[Текст]" custT="1"/>
      <dgm:spPr/>
      <dgm:t>
        <a:bodyPr/>
        <a:lstStyle/>
        <a:p>
          <a:pPr algn="ctr"/>
          <a:r>
            <a:rPr lang="ru-RU" sz="1200" b="1">
              <a:latin typeface="Times New Roman" panose="02020603050405020304" pitchFamily="18" charset="0"/>
              <a:cs typeface="Times New Roman" panose="02020603050405020304" pitchFamily="18" charset="0"/>
            </a:rPr>
            <a:t>приоритеты фондирования</a:t>
          </a:r>
        </a:p>
      </dgm:t>
    </dgm:pt>
    <dgm:pt modelId="{28C2A0A8-26D0-48D6-94E3-DB5F46690259}" type="parTrans" cxnId="{DF14C4E8-05C3-44BF-8EA3-5952AE81CCE7}">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ABF9C75D-EBC6-4CCD-9E67-C939E8A712C7}" type="sibTrans" cxnId="{DF14C4E8-05C3-44BF-8EA3-5952AE81CCE7}">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C332FEBC-EF1D-4A6A-B5CC-F66D72778451}">
      <dgm:prSet phldrT="[Текст]" custT="1"/>
      <dgm:spPr/>
      <dgm:t>
        <a:bodyPr/>
        <a:lstStyle/>
        <a:p>
          <a:pPr algn="l"/>
          <a:r>
            <a:rPr lang="ru-RU" sz="1200">
              <a:latin typeface="Times New Roman" panose="02020603050405020304" pitchFamily="18" charset="0"/>
              <a:cs typeface="Times New Roman" panose="02020603050405020304" pitchFamily="18" charset="0"/>
            </a:rPr>
            <a:t>низкая стоимость</a:t>
          </a:r>
        </a:p>
      </dgm:t>
    </dgm:pt>
    <dgm:pt modelId="{3CB12938-0355-4535-BEC4-A305AB7AB1E7}" type="parTrans" cxnId="{1C1F0467-100F-43B5-AF48-CE78E1E154CE}">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954ACA7A-B309-4C2F-802B-39910B880144}" type="sibTrans" cxnId="{1C1F0467-100F-43B5-AF48-CE78E1E154CE}">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A5494D67-6321-4787-883C-E54032E6D2DE}">
      <dgm:prSet phldrT="[Текст]" custT="1"/>
      <dgm:spPr/>
      <dgm:t>
        <a:bodyPr/>
        <a:lstStyle/>
        <a:p>
          <a:pPr algn="l"/>
          <a:r>
            <a:rPr lang="ru-RU" sz="1200">
              <a:latin typeface="Times New Roman" panose="02020603050405020304" pitchFamily="18" charset="0"/>
              <a:cs typeface="Times New Roman" panose="02020603050405020304" pitchFamily="18" charset="0"/>
            </a:rPr>
            <a:t>высокий срок</a:t>
          </a:r>
        </a:p>
      </dgm:t>
    </dgm:pt>
    <dgm:pt modelId="{ED2B8173-15C2-41C1-BC2C-DD99E89B7F9C}" type="parTrans" cxnId="{650BD9CB-2CB6-410D-9843-0024C84E43C0}">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72750939-8150-4618-A129-C79F5AC105BE}" type="sibTrans" cxnId="{650BD9CB-2CB6-410D-9843-0024C84E43C0}">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D1ED2496-D3C9-4C5C-9A92-0710240223AF}">
      <dgm:prSet phldrT="[Текст]" custT="1"/>
      <dgm:spPr/>
      <dgm:t>
        <a:bodyPr/>
        <a:lstStyle/>
        <a:p>
          <a:pPr algn="ctr"/>
          <a:r>
            <a:rPr lang="ru-RU" sz="1200" b="1">
              <a:latin typeface="Times New Roman" panose="02020603050405020304" pitchFamily="18" charset="0"/>
              <a:cs typeface="Times New Roman" panose="02020603050405020304" pitchFamily="18" charset="0"/>
            </a:rPr>
            <a:t>оценка фондирования</a:t>
          </a:r>
        </a:p>
      </dgm:t>
    </dgm:pt>
    <dgm:pt modelId="{F9663456-CC33-4037-8B94-52C1A173831C}" type="parTrans" cxnId="{1BB0B5A1-8087-4173-9105-2204F9A4DA47}">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0BACA90C-24CE-462E-B518-700984B40BC0}" type="sibTrans" cxnId="{1BB0B5A1-8087-4173-9105-2204F9A4DA47}">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B177C5B1-FAA5-455F-9D75-EB7944034268}">
      <dgm:prSet phldrT="[Текст]" custT="1"/>
      <dgm:spPr/>
      <dgm:t>
        <a:bodyPr/>
        <a:lstStyle/>
        <a:p>
          <a:pPr algn="l"/>
          <a:r>
            <a:rPr lang="ru-RU" sz="1200">
              <a:latin typeface="Times New Roman" panose="02020603050405020304" pitchFamily="18" charset="0"/>
              <a:cs typeface="Times New Roman" panose="02020603050405020304" pitchFamily="18" charset="0"/>
            </a:rPr>
            <a:t>плотность фондирования</a:t>
          </a:r>
        </a:p>
      </dgm:t>
    </dgm:pt>
    <dgm:pt modelId="{E81B2F3C-3DFA-42F6-BF2D-7E56989E4401}" type="parTrans" cxnId="{1269240C-DA0B-4B68-A770-EE7C091A8D24}">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46A3D1D2-CE81-4D9C-B969-4DAF80DFA6C9}" type="sibTrans" cxnId="{1269240C-DA0B-4B68-A770-EE7C091A8D24}">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3546315A-1305-4863-ABF6-B0BAA4D83ED1}">
      <dgm:prSet custT="1"/>
      <dgm:spPr/>
      <dgm:t>
        <a:bodyPr/>
        <a:lstStyle/>
        <a:p>
          <a:pPr algn="ctr"/>
          <a:r>
            <a:rPr lang="ru-RU" sz="1200" b="1">
              <a:latin typeface="Times New Roman" panose="02020603050405020304" pitchFamily="18" charset="0"/>
              <a:cs typeface="Times New Roman" panose="02020603050405020304" pitchFamily="18" charset="0"/>
            </a:rPr>
            <a:t>источники фондирования</a:t>
          </a:r>
        </a:p>
      </dgm:t>
    </dgm:pt>
    <dgm:pt modelId="{F4BB517C-7E35-4591-A3A4-E1745A0BFE11}" type="parTrans" cxnId="{69A54566-9D7C-4A09-8D02-686F08DF1748}">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E72D0440-EF13-4A08-BB98-7930D685F5E2}" type="sibTrans" cxnId="{69A54566-9D7C-4A09-8D02-686F08DF1748}">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262EC05D-A4BB-4B51-B337-0FE2E3B1E347}">
      <dgm:prSet custT="1"/>
      <dgm:spPr/>
      <dgm:t>
        <a:bodyPr/>
        <a:lstStyle/>
        <a:p>
          <a:pPr algn="l"/>
          <a:r>
            <a:rPr lang="ru-RU" sz="1200">
              <a:latin typeface="Times New Roman" panose="02020603050405020304" pitchFamily="18" charset="0"/>
              <a:cs typeface="Times New Roman" panose="02020603050405020304" pitchFamily="18" charset="0"/>
            </a:rPr>
            <a:t>население</a:t>
          </a:r>
        </a:p>
      </dgm:t>
    </dgm:pt>
    <dgm:pt modelId="{7DDF6BDD-74B3-4E00-95D5-6460AC4AFEEF}" type="parTrans" cxnId="{294AEAED-6E03-4DC3-81BF-6E435094198A}">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7651A272-9DFA-4613-9ED3-C6992C49BB5F}" type="sibTrans" cxnId="{294AEAED-6E03-4DC3-81BF-6E435094198A}">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21E96EDA-782D-40DE-97FE-786E38E57F98}">
      <dgm:prSet custT="1"/>
      <dgm:spPr/>
      <dgm:t>
        <a:bodyPr/>
        <a:lstStyle/>
        <a:p>
          <a:pPr algn="l"/>
          <a:r>
            <a:rPr lang="ru-RU" sz="1200">
              <a:latin typeface="Times New Roman" panose="02020603050405020304" pitchFamily="18" charset="0"/>
              <a:cs typeface="Times New Roman" panose="02020603050405020304" pitchFamily="18" charset="0"/>
            </a:rPr>
            <a:t>компании</a:t>
          </a:r>
        </a:p>
      </dgm:t>
    </dgm:pt>
    <dgm:pt modelId="{B078ECB5-95BB-4C07-BAD9-B73773647D1D}" type="parTrans" cxnId="{5E7240D3-F299-4D92-9951-321C3FDAC439}">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B9D9DDF6-DD9A-489F-94FA-D22568A51751}" type="sibTrans" cxnId="{5E7240D3-F299-4D92-9951-321C3FDAC439}">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3A5C547A-58D6-40E5-A6E2-EBFBA8628476}">
      <dgm:prSet custT="1"/>
      <dgm:spPr/>
      <dgm:t>
        <a:bodyPr/>
        <a:lstStyle/>
        <a:p>
          <a:pPr algn="l"/>
          <a:r>
            <a:rPr lang="ru-RU" sz="1200">
              <a:latin typeface="Times New Roman" panose="02020603050405020304" pitchFamily="18" charset="0"/>
              <a:cs typeface="Times New Roman" panose="02020603050405020304" pitchFamily="18" charset="0"/>
            </a:rPr>
            <a:t>финансовые институты</a:t>
          </a:r>
        </a:p>
      </dgm:t>
    </dgm:pt>
    <dgm:pt modelId="{1DD4C9EE-BF3E-42F7-AA8D-F4885CE9F650}" type="parTrans" cxnId="{26E37A1D-C442-4DE0-8262-01D202E43C35}">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0FF7B21F-E899-49EC-8F33-60BF699879A6}" type="sibTrans" cxnId="{26E37A1D-C442-4DE0-8262-01D202E43C35}">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73C7BFEC-54FE-43D2-BA81-E75D1640175A}">
      <dgm:prSet custT="1"/>
      <dgm:spPr/>
      <dgm:t>
        <a:bodyPr/>
        <a:lstStyle/>
        <a:p>
          <a:pPr algn="l"/>
          <a:r>
            <a:rPr lang="ru-RU" sz="1200">
              <a:latin typeface="Times New Roman" panose="02020603050405020304" pitchFamily="18" charset="0"/>
              <a:cs typeface="Times New Roman" panose="02020603050405020304" pitchFamily="18" charset="0"/>
            </a:rPr>
            <a:t>МФО</a:t>
          </a:r>
        </a:p>
      </dgm:t>
    </dgm:pt>
    <dgm:pt modelId="{4B726B1A-4AAA-44E7-975A-F2C5A8040148}" type="parTrans" cxnId="{7EF97476-008B-4556-999B-865D252579FA}">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FEB3BBB9-8B36-4716-BB3B-ECA272BB8F88}" type="sibTrans" cxnId="{7EF97476-008B-4556-999B-865D252579FA}">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7CEF77E2-A43D-429E-9261-818CA427EDEB}">
      <dgm:prSet custT="1"/>
      <dgm:spPr/>
      <dgm:t>
        <a:bodyPr/>
        <a:lstStyle/>
        <a:p>
          <a:pPr algn="ctr"/>
          <a:r>
            <a:rPr lang="ru-RU" sz="1200" b="1">
              <a:latin typeface="Times New Roman" panose="02020603050405020304" pitchFamily="18" charset="0"/>
              <a:cs typeface="Times New Roman" panose="02020603050405020304" pitchFamily="18" charset="0"/>
            </a:rPr>
            <a:t>инструменты фондирования</a:t>
          </a:r>
        </a:p>
      </dgm:t>
    </dgm:pt>
    <dgm:pt modelId="{7807AF10-AE23-48DC-AFC5-F34C2E5D3453}" type="parTrans" cxnId="{8770ABE9-B6F0-4903-84F1-0B146B4EAC78}">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E7BE7702-CD43-4D97-A7D2-33FF6AD8E073}" type="sibTrans" cxnId="{8770ABE9-B6F0-4903-84F1-0B146B4EAC78}">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E5810067-ACF7-4717-A2F4-B00B17F88339}">
      <dgm:prSet custT="1"/>
      <dgm:spPr/>
      <dgm:t>
        <a:bodyPr/>
        <a:lstStyle/>
        <a:p>
          <a:pPr algn="l"/>
          <a:r>
            <a:rPr lang="ru-RU" sz="1200">
              <a:latin typeface="Times New Roman" panose="02020603050405020304" pitchFamily="18" charset="0"/>
              <a:cs typeface="Times New Roman" panose="02020603050405020304" pitchFamily="18" charset="0"/>
            </a:rPr>
            <a:t>диверсификация предлагаемых инструментов (онлайн и  физические, разнообразие)</a:t>
          </a:r>
        </a:p>
      </dgm:t>
    </dgm:pt>
    <dgm:pt modelId="{E520D41B-DA38-4864-97C2-50810C6FF795}" type="parTrans" cxnId="{91CC8C86-EDD8-4339-8D4E-8088B34CC940}">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71998DA1-5D15-4F51-B26A-9C965547DA42}" type="sibTrans" cxnId="{91CC8C86-EDD8-4339-8D4E-8088B34CC940}">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2ADFAD32-2159-4C0F-A125-0E08382DB2CE}">
      <dgm:prSet custT="1"/>
      <dgm:spPr/>
      <dgm:t>
        <a:bodyPr/>
        <a:lstStyle/>
        <a:p>
          <a:pPr algn="l"/>
          <a:r>
            <a:rPr lang="ru-RU" sz="1200">
              <a:latin typeface="Times New Roman" panose="02020603050405020304" pitchFamily="18" charset="0"/>
              <a:cs typeface="Times New Roman" panose="02020603050405020304" pitchFamily="18" charset="0"/>
            </a:rPr>
            <a:t>адекватная процентная ставка (вознаграждение)</a:t>
          </a:r>
        </a:p>
      </dgm:t>
    </dgm:pt>
    <dgm:pt modelId="{01BB27D6-06DA-4491-AB6C-4B1B3A6ABF97}" type="parTrans" cxnId="{FC2D825E-D700-4FE5-91EA-E0D50662B11C}">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A50AF307-4B8A-4E12-B875-40E243F21910}" type="sibTrans" cxnId="{FC2D825E-D700-4FE5-91EA-E0D50662B11C}">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1E7AFD17-D03C-45A4-99FE-05617A6CFE05}">
      <dgm:prSet custT="1"/>
      <dgm:spPr/>
      <dgm:t>
        <a:bodyPr/>
        <a:lstStyle/>
        <a:p>
          <a:pPr algn="l"/>
          <a:r>
            <a:rPr lang="ru-RU" sz="1200">
              <a:latin typeface="Times New Roman" panose="02020603050405020304" pitchFamily="18" charset="0"/>
              <a:cs typeface="Times New Roman" panose="02020603050405020304" pitchFamily="18" charset="0"/>
            </a:rPr>
            <a:t>разработка новых и совершенствование имеющихся банковских продуктов</a:t>
          </a:r>
        </a:p>
      </dgm:t>
    </dgm:pt>
    <dgm:pt modelId="{26F22955-B737-4944-A629-CCC66E05A37F}" type="parTrans" cxnId="{439E03AE-2043-46C8-8F56-17BD2F7DA581}">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1C47B71B-2237-463E-A9BA-C228813D4D90}" type="sibTrans" cxnId="{439E03AE-2043-46C8-8F56-17BD2F7DA581}">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0207364C-D730-4368-A1A2-10A36FC230F0}">
      <dgm:prSet custT="1"/>
      <dgm:spPr/>
      <dgm:t>
        <a:bodyPr/>
        <a:lstStyle/>
        <a:p>
          <a:pPr algn="ctr"/>
          <a:r>
            <a:rPr lang="ru-RU" sz="1200" b="1">
              <a:latin typeface="Times New Roman" panose="02020603050405020304" pitchFamily="18" charset="0"/>
              <a:cs typeface="Times New Roman" panose="02020603050405020304" pitchFamily="18" charset="0"/>
            </a:rPr>
            <a:t>качество обслуживания </a:t>
          </a:r>
        </a:p>
      </dgm:t>
    </dgm:pt>
    <dgm:pt modelId="{27863FAE-0966-4D95-A7F4-707B3394E27A}" type="parTrans" cxnId="{46B7A7EC-CC4E-4783-865D-5BA8EFBCBAF8}">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DA16DE4E-DB0B-4B39-A8B7-46F493C404AE}" type="sibTrans" cxnId="{46B7A7EC-CC4E-4783-865D-5BA8EFBCBAF8}">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694E1F79-709A-4071-84F9-BB5E09F11C90}">
      <dgm:prSet custT="1"/>
      <dgm:spPr/>
      <dgm:t>
        <a:bodyPr/>
        <a:lstStyle/>
        <a:p>
          <a:pPr algn="l"/>
          <a:r>
            <a:rPr lang="ru-RU" sz="1200">
              <a:latin typeface="Times New Roman" panose="02020603050405020304" pitchFamily="18" charset="0"/>
              <a:cs typeface="Times New Roman" panose="02020603050405020304" pitchFamily="18" charset="0"/>
            </a:rPr>
            <a:t>поддержка клиентских сетей</a:t>
          </a:r>
        </a:p>
      </dgm:t>
    </dgm:pt>
    <dgm:pt modelId="{0520EFFC-1297-43C5-9B06-36A1441CDC77}" type="parTrans" cxnId="{E631B616-BDC5-4E4C-8727-F1EB634FA642}">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987A6972-E298-47CE-8C95-923DBD151F22}" type="sibTrans" cxnId="{E631B616-BDC5-4E4C-8727-F1EB634FA642}">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8710E35A-9EC3-408D-A943-80843B0AC7EA}">
      <dgm:prSet custT="1"/>
      <dgm:spPr/>
      <dgm:t>
        <a:bodyPr/>
        <a:lstStyle/>
        <a:p>
          <a:pPr algn="l"/>
          <a:r>
            <a:rPr lang="ru-RU" sz="1200">
              <a:latin typeface="Times New Roman" panose="02020603050405020304" pitchFamily="18" charset="0"/>
              <a:cs typeface="Times New Roman" panose="02020603050405020304" pitchFamily="18" charset="0"/>
            </a:rPr>
            <a:t>бесплатный консалтинг</a:t>
          </a:r>
        </a:p>
      </dgm:t>
    </dgm:pt>
    <dgm:pt modelId="{7E700A0B-3B68-4720-A00E-9E2FA304CEB4}" type="parTrans" cxnId="{B1192952-EDE9-4D63-8A30-FB4CFC7FE765}">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94EF4716-6FCB-40E3-8E32-2A0B6D83EACE}" type="sibTrans" cxnId="{B1192952-EDE9-4D63-8A30-FB4CFC7FE765}">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9B09FB1F-4FC1-406B-A443-15E52B0C993C}">
      <dgm:prSet custT="1"/>
      <dgm:spPr/>
      <dgm:t>
        <a:bodyPr/>
        <a:lstStyle/>
        <a:p>
          <a:pPr algn="l"/>
          <a:r>
            <a:rPr lang="ru-RU" sz="1200">
              <a:latin typeface="Times New Roman" panose="02020603050405020304" pitchFamily="18" charset="0"/>
              <a:cs typeface="Times New Roman" panose="02020603050405020304" pitchFamily="18" charset="0"/>
            </a:rPr>
            <a:t>перекрестные продажи</a:t>
          </a:r>
        </a:p>
      </dgm:t>
    </dgm:pt>
    <dgm:pt modelId="{13953532-07AE-46A3-A5AB-87C85462F607}" type="parTrans" cxnId="{C87F16AB-4FF9-4FFC-866D-35A244B0C64A}">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5FB520B4-5987-42B0-A630-34241D9DA35F}" type="sibTrans" cxnId="{C87F16AB-4FF9-4FFC-866D-35A244B0C64A}">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0BB1C18B-FEB5-4B12-8A37-B814E2CF727C}">
      <dgm:prSet custT="1"/>
      <dgm:spPr/>
      <dgm:t>
        <a:bodyPr/>
        <a:lstStyle/>
        <a:p>
          <a:pPr algn="ctr"/>
          <a:r>
            <a:rPr lang="ru-RU" sz="1200" b="1">
              <a:latin typeface="Times New Roman" panose="02020603050405020304" pitchFamily="18" charset="0"/>
              <a:cs typeface="Times New Roman" panose="02020603050405020304" pitchFamily="18" charset="0"/>
            </a:rPr>
            <a:t>приоритеты вложений</a:t>
          </a:r>
        </a:p>
      </dgm:t>
    </dgm:pt>
    <dgm:pt modelId="{4AA6CB13-33A9-4813-84A6-D38EDF578A5E}" type="parTrans" cxnId="{2A375773-7F63-41B2-AAD4-BB40F0EF0478}">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B733C26C-13C4-4BBB-8B23-3763066BB3CA}" type="sibTrans" cxnId="{2A375773-7F63-41B2-AAD4-BB40F0EF0478}">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3CA7544C-08C6-4EE4-85DB-DEB1415B6CDB}">
      <dgm:prSet custT="1"/>
      <dgm:spPr/>
      <dgm:t>
        <a:bodyPr/>
        <a:lstStyle/>
        <a:p>
          <a:pPr algn="l"/>
          <a:r>
            <a:rPr lang="ru-RU" sz="1200">
              <a:latin typeface="Times New Roman" panose="02020603050405020304" pitchFamily="18" charset="0"/>
              <a:cs typeface="Times New Roman" panose="02020603050405020304" pitchFamily="18" charset="0"/>
            </a:rPr>
            <a:t>высокое вознаграждение</a:t>
          </a:r>
        </a:p>
      </dgm:t>
    </dgm:pt>
    <dgm:pt modelId="{AC0EF338-0E48-4AE0-8368-E2F9B971E25B}" type="parTrans" cxnId="{D799D110-4228-41D0-A948-E4CD30673F8F}">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B0D07A48-F63A-4E18-A251-D717A5E63869}" type="sibTrans" cxnId="{D799D110-4228-41D0-A948-E4CD30673F8F}">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95F24197-DBFC-4A56-9796-8A842E247189}">
      <dgm:prSet custT="1"/>
      <dgm:spPr/>
      <dgm:t>
        <a:bodyPr/>
        <a:lstStyle/>
        <a:p>
          <a:pPr algn="l"/>
          <a:r>
            <a:rPr lang="ru-RU" sz="1200">
              <a:latin typeface="Times New Roman" panose="02020603050405020304" pitchFamily="18" charset="0"/>
              <a:cs typeface="Times New Roman" panose="02020603050405020304" pitchFamily="18" charset="0"/>
            </a:rPr>
            <a:t>заранее определенный срок</a:t>
          </a:r>
        </a:p>
      </dgm:t>
    </dgm:pt>
    <dgm:pt modelId="{64243C37-81B5-42FD-ACC6-D7C991B3573E}" type="parTrans" cxnId="{A5AD3DA8-AC97-4F25-8013-EC9AD08EFD24}">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8CA2CED7-3812-4338-BCA2-1FEAB7FDA04C}" type="sibTrans" cxnId="{A5AD3DA8-AC97-4F25-8013-EC9AD08EFD24}">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28E237F4-C59A-4F15-8A23-EB9A2C830C5A}">
      <dgm:prSet phldrT="[Текст]" custT="1"/>
      <dgm:spPr/>
      <dgm:t>
        <a:bodyPr/>
        <a:lstStyle/>
        <a:p>
          <a:pPr algn="l"/>
          <a:r>
            <a:rPr lang="ru-RU" sz="1200">
              <a:latin typeface="Times New Roman" panose="02020603050405020304" pitchFamily="18" charset="0"/>
              <a:cs typeface="Times New Roman" panose="02020603050405020304" pitchFamily="18" charset="0"/>
            </a:rPr>
            <a:t>качество фондирования</a:t>
          </a:r>
        </a:p>
      </dgm:t>
    </dgm:pt>
    <dgm:pt modelId="{24BA16BB-10A1-47E7-A164-F940A00A2728}" type="sibTrans" cxnId="{711DFC7E-C33B-4B3C-843F-E447EAD7AC92}">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B1F2DC85-2C45-4971-BA28-E600FFEE08C6}" type="parTrans" cxnId="{711DFC7E-C33B-4B3C-843F-E447EAD7AC92}">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75EEE5D7-C9D3-437A-985A-49BAC7A2A175}" type="pres">
      <dgm:prSet presAssocID="{F4FECE64-EB84-4A7C-AE17-E8AAC2BC0599}" presName="Name0" presStyleCnt="0">
        <dgm:presLayoutVars>
          <dgm:dir/>
          <dgm:animLvl val="lvl"/>
          <dgm:resizeHandles/>
        </dgm:presLayoutVars>
      </dgm:prSet>
      <dgm:spPr/>
      <dgm:t>
        <a:bodyPr/>
        <a:lstStyle/>
        <a:p>
          <a:endParaRPr lang="ru-RU"/>
        </a:p>
      </dgm:t>
    </dgm:pt>
    <dgm:pt modelId="{AD13B0CA-9E6D-4630-AE3E-DBEC0EAEB7CB}" type="pres">
      <dgm:prSet presAssocID="{F4EAE478-FB4D-4516-A638-139A97A7C7ED}" presName="linNode" presStyleCnt="0"/>
      <dgm:spPr/>
    </dgm:pt>
    <dgm:pt modelId="{BABA858A-2152-4C8A-973A-CAEB3CD3E5E5}" type="pres">
      <dgm:prSet presAssocID="{F4EAE478-FB4D-4516-A638-139A97A7C7ED}" presName="parentShp" presStyleLbl="node1" presStyleIdx="0" presStyleCnt="6">
        <dgm:presLayoutVars>
          <dgm:bulletEnabled val="1"/>
        </dgm:presLayoutVars>
      </dgm:prSet>
      <dgm:spPr/>
      <dgm:t>
        <a:bodyPr/>
        <a:lstStyle/>
        <a:p>
          <a:endParaRPr lang="ru-RU"/>
        </a:p>
      </dgm:t>
    </dgm:pt>
    <dgm:pt modelId="{7BE186F8-2CCD-49A7-B3B7-949E1E2F90EA}" type="pres">
      <dgm:prSet presAssocID="{F4EAE478-FB4D-4516-A638-139A97A7C7ED}" presName="childShp" presStyleLbl="bgAccFollowNode1" presStyleIdx="0" presStyleCnt="6" custScaleX="126710">
        <dgm:presLayoutVars>
          <dgm:bulletEnabled val="1"/>
        </dgm:presLayoutVars>
      </dgm:prSet>
      <dgm:spPr/>
      <dgm:t>
        <a:bodyPr/>
        <a:lstStyle/>
        <a:p>
          <a:endParaRPr lang="ru-RU"/>
        </a:p>
      </dgm:t>
    </dgm:pt>
    <dgm:pt modelId="{56D9DDD3-E7F8-4840-B4A9-52EEF63D5F6E}" type="pres">
      <dgm:prSet presAssocID="{ABF9C75D-EBC6-4CCD-9E67-C939E8A712C7}" presName="spacing" presStyleCnt="0"/>
      <dgm:spPr/>
    </dgm:pt>
    <dgm:pt modelId="{A91E08F0-3FEA-43CE-97F6-C17A5CF880D6}" type="pres">
      <dgm:prSet presAssocID="{0BB1C18B-FEB5-4B12-8A37-B814E2CF727C}" presName="linNode" presStyleCnt="0"/>
      <dgm:spPr/>
    </dgm:pt>
    <dgm:pt modelId="{3D7BA10A-D00D-414D-B65B-18D6AC6F7138}" type="pres">
      <dgm:prSet presAssocID="{0BB1C18B-FEB5-4B12-8A37-B814E2CF727C}" presName="parentShp" presStyleLbl="node1" presStyleIdx="1" presStyleCnt="6">
        <dgm:presLayoutVars>
          <dgm:bulletEnabled val="1"/>
        </dgm:presLayoutVars>
      </dgm:prSet>
      <dgm:spPr/>
      <dgm:t>
        <a:bodyPr/>
        <a:lstStyle/>
        <a:p>
          <a:endParaRPr lang="ru-RU"/>
        </a:p>
      </dgm:t>
    </dgm:pt>
    <dgm:pt modelId="{2426EF09-EC31-4FEE-9576-A6AA0B3BDBA3}" type="pres">
      <dgm:prSet presAssocID="{0BB1C18B-FEB5-4B12-8A37-B814E2CF727C}" presName="childShp" presStyleLbl="bgAccFollowNode1" presStyleIdx="1" presStyleCnt="6" custScaleX="126255" custLinFactNeighborX="105" custLinFactNeighborY="764">
        <dgm:presLayoutVars>
          <dgm:bulletEnabled val="1"/>
        </dgm:presLayoutVars>
      </dgm:prSet>
      <dgm:spPr/>
      <dgm:t>
        <a:bodyPr/>
        <a:lstStyle/>
        <a:p>
          <a:endParaRPr lang="ru-RU"/>
        </a:p>
      </dgm:t>
    </dgm:pt>
    <dgm:pt modelId="{C0461AAC-4A9C-4487-B3F8-7B9126C99BB9}" type="pres">
      <dgm:prSet presAssocID="{B733C26C-13C4-4BBB-8B23-3763066BB3CA}" presName="spacing" presStyleCnt="0"/>
      <dgm:spPr/>
    </dgm:pt>
    <dgm:pt modelId="{5CB19BA6-63CA-4DE7-A5D5-465AFADE89F3}" type="pres">
      <dgm:prSet presAssocID="{D1ED2496-D3C9-4C5C-9A92-0710240223AF}" presName="linNode" presStyleCnt="0"/>
      <dgm:spPr/>
    </dgm:pt>
    <dgm:pt modelId="{9FF7CB14-D672-408A-A0E6-2CBEECD17BA0}" type="pres">
      <dgm:prSet presAssocID="{D1ED2496-D3C9-4C5C-9A92-0710240223AF}" presName="parentShp" presStyleLbl="node1" presStyleIdx="2" presStyleCnt="6">
        <dgm:presLayoutVars>
          <dgm:bulletEnabled val="1"/>
        </dgm:presLayoutVars>
      </dgm:prSet>
      <dgm:spPr/>
      <dgm:t>
        <a:bodyPr/>
        <a:lstStyle/>
        <a:p>
          <a:endParaRPr lang="ru-RU"/>
        </a:p>
      </dgm:t>
    </dgm:pt>
    <dgm:pt modelId="{5E1F6436-DA42-4A42-A8F9-5F2FBB525974}" type="pres">
      <dgm:prSet presAssocID="{D1ED2496-D3C9-4C5C-9A92-0710240223AF}" presName="childShp" presStyleLbl="bgAccFollowNode1" presStyleIdx="2" presStyleCnt="6" custScaleX="125042">
        <dgm:presLayoutVars>
          <dgm:bulletEnabled val="1"/>
        </dgm:presLayoutVars>
      </dgm:prSet>
      <dgm:spPr/>
      <dgm:t>
        <a:bodyPr/>
        <a:lstStyle/>
        <a:p>
          <a:endParaRPr lang="ru-RU"/>
        </a:p>
      </dgm:t>
    </dgm:pt>
    <dgm:pt modelId="{BB320FE4-3624-4029-AA7F-2B6B414A7295}" type="pres">
      <dgm:prSet presAssocID="{0BACA90C-24CE-462E-B518-700984B40BC0}" presName="spacing" presStyleCnt="0"/>
      <dgm:spPr/>
    </dgm:pt>
    <dgm:pt modelId="{C809D957-D61E-4FD0-B098-5AE6C80251E5}" type="pres">
      <dgm:prSet presAssocID="{3546315A-1305-4863-ABF6-B0BAA4D83ED1}" presName="linNode" presStyleCnt="0"/>
      <dgm:spPr/>
    </dgm:pt>
    <dgm:pt modelId="{125267B9-84E2-4B6F-942A-A1D9B5E1B79E}" type="pres">
      <dgm:prSet presAssocID="{3546315A-1305-4863-ABF6-B0BAA4D83ED1}" presName="parentShp" presStyleLbl="node1" presStyleIdx="3" presStyleCnt="6">
        <dgm:presLayoutVars>
          <dgm:bulletEnabled val="1"/>
        </dgm:presLayoutVars>
      </dgm:prSet>
      <dgm:spPr/>
      <dgm:t>
        <a:bodyPr/>
        <a:lstStyle/>
        <a:p>
          <a:endParaRPr lang="ru-RU"/>
        </a:p>
      </dgm:t>
    </dgm:pt>
    <dgm:pt modelId="{5FF780B5-7234-4081-91EE-41FFA0B3EF6E}" type="pres">
      <dgm:prSet presAssocID="{3546315A-1305-4863-ABF6-B0BAA4D83ED1}" presName="childShp" presStyleLbl="bgAccFollowNode1" presStyleIdx="3" presStyleCnt="6" custScaleX="126122" custScaleY="211137">
        <dgm:presLayoutVars>
          <dgm:bulletEnabled val="1"/>
        </dgm:presLayoutVars>
      </dgm:prSet>
      <dgm:spPr/>
      <dgm:t>
        <a:bodyPr/>
        <a:lstStyle/>
        <a:p>
          <a:endParaRPr lang="ru-RU"/>
        </a:p>
      </dgm:t>
    </dgm:pt>
    <dgm:pt modelId="{A604BE5F-EE6F-4701-B20E-8A66A5D71C28}" type="pres">
      <dgm:prSet presAssocID="{E72D0440-EF13-4A08-BB98-7930D685F5E2}" presName="spacing" presStyleCnt="0"/>
      <dgm:spPr/>
    </dgm:pt>
    <dgm:pt modelId="{83F78F17-1E90-4785-A17F-6C3346DDE3E2}" type="pres">
      <dgm:prSet presAssocID="{7CEF77E2-A43D-429E-9261-818CA427EDEB}" presName="linNode" presStyleCnt="0"/>
      <dgm:spPr/>
    </dgm:pt>
    <dgm:pt modelId="{A46E86C7-33CD-44FA-8731-696D681F08B9}" type="pres">
      <dgm:prSet presAssocID="{7CEF77E2-A43D-429E-9261-818CA427EDEB}" presName="parentShp" presStyleLbl="node1" presStyleIdx="4" presStyleCnt="6">
        <dgm:presLayoutVars>
          <dgm:bulletEnabled val="1"/>
        </dgm:presLayoutVars>
      </dgm:prSet>
      <dgm:spPr/>
      <dgm:t>
        <a:bodyPr/>
        <a:lstStyle/>
        <a:p>
          <a:endParaRPr lang="ru-RU"/>
        </a:p>
      </dgm:t>
    </dgm:pt>
    <dgm:pt modelId="{3452541E-435B-4547-AC3E-67C521D6B95B}" type="pres">
      <dgm:prSet presAssocID="{7CEF77E2-A43D-429E-9261-818CA427EDEB}" presName="childShp" presStyleLbl="bgAccFollowNode1" presStyleIdx="4" presStyleCnt="6" custScaleX="126523" custScaleY="277133">
        <dgm:presLayoutVars>
          <dgm:bulletEnabled val="1"/>
        </dgm:presLayoutVars>
      </dgm:prSet>
      <dgm:spPr/>
      <dgm:t>
        <a:bodyPr/>
        <a:lstStyle/>
        <a:p>
          <a:endParaRPr lang="ru-RU"/>
        </a:p>
      </dgm:t>
    </dgm:pt>
    <dgm:pt modelId="{5E2AE1A5-1A77-479D-8F72-66201ED76AD7}" type="pres">
      <dgm:prSet presAssocID="{E7BE7702-CD43-4D97-A7D2-33FF6AD8E073}" presName="spacing" presStyleCnt="0"/>
      <dgm:spPr/>
    </dgm:pt>
    <dgm:pt modelId="{00BC63C2-DBF4-4C6B-B97C-FCF87799DB46}" type="pres">
      <dgm:prSet presAssocID="{0207364C-D730-4368-A1A2-10A36FC230F0}" presName="linNode" presStyleCnt="0"/>
      <dgm:spPr/>
    </dgm:pt>
    <dgm:pt modelId="{C11BF5E6-2A0A-4243-AA4C-FFBC08BAEE19}" type="pres">
      <dgm:prSet presAssocID="{0207364C-D730-4368-A1A2-10A36FC230F0}" presName="parentShp" presStyleLbl="node1" presStyleIdx="5" presStyleCnt="6">
        <dgm:presLayoutVars>
          <dgm:bulletEnabled val="1"/>
        </dgm:presLayoutVars>
      </dgm:prSet>
      <dgm:spPr/>
      <dgm:t>
        <a:bodyPr/>
        <a:lstStyle/>
        <a:p>
          <a:endParaRPr lang="ru-RU"/>
        </a:p>
      </dgm:t>
    </dgm:pt>
    <dgm:pt modelId="{3470FD23-4406-4B22-A941-132CA06ED937}" type="pres">
      <dgm:prSet presAssocID="{0207364C-D730-4368-A1A2-10A36FC230F0}" presName="childShp" presStyleLbl="bgAccFollowNode1" presStyleIdx="5" presStyleCnt="6" custScaleX="127698" custScaleY="164713">
        <dgm:presLayoutVars>
          <dgm:bulletEnabled val="1"/>
        </dgm:presLayoutVars>
      </dgm:prSet>
      <dgm:spPr/>
      <dgm:t>
        <a:bodyPr/>
        <a:lstStyle/>
        <a:p>
          <a:endParaRPr lang="ru-RU"/>
        </a:p>
      </dgm:t>
    </dgm:pt>
  </dgm:ptLst>
  <dgm:cxnLst>
    <dgm:cxn modelId="{4EC38F1E-EE9B-4998-A51E-262742F438F5}" type="presOf" srcId="{D1ED2496-D3C9-4C5C-9A92-0710240223AF}" destId="{9FF7CB14-D672-408A-A0E6-2CBEECD17BA0}" srcOrd="0" destOrd="0" presId="urn:microsoft.com/office/officeart/2005/8/layout/vList6"/>
    <dgm:cxn modelId="{1BB0B5A1-8087-4173-9105-2204F9A4DA47}" srcId="{F4FECE64-EB84-4A7C-AE17-E8AAC2BC0599}" destId="{D1ED2496-D3C9-4C5C-9A92-0710240223AF}" srcOrd="2" destOrd="0" parTransId="{F9663456-CC33-4037-8B94-52C1A173831C}" sibTransId="{0BACA90C-24CE-462E-B518-700984B40BC0}"/>
    <dgm:cxn modelId="{439E03AE-2043-46C8-8F56-17BD2F7DA581}" srcId="{7CEF77E2-A43D-429E-9261-818CA427EDEB}" destId="{1E7AFD17-D03C-45A4-99FE-05617A6CFE05}" srcOrd="2" destOrd="0" parTransId="{26F22955-B737-4944-A629-CCC66E05A37F}" sibTransId="{1C47B71B-2237-463E-A9BA-C228813D4D90}"/>
    <dgm:cxn modelId="{4A42629F-115C-4A8C-8F83-AEB05B861993}" type="presOf" srcId="{7CEF77E2-A43D-429E-9261-818CA427EDEB}" destId="{A46E86C7-33CD-44FA-8731-696D681F08B9}" srcOrd="0" destOrd="0" presId="urn:microsoft.com/office/officeart/2005/8/layout/vList6"/>
    <dgm:cxn modelId="{A5AD3DA8-AC97-4F25-8013-EC9AD08EFD24}" srcId="{0BB1C18B-FEB5-4B12-8A37-B814E2CF727C}" destId="{95F24197-DBFC-4A56-9796-8A842E247189}" srcOrd="1" destOrd="0" parTransId="{64243C37-81B5-42FD-ACC6-D7C991B3573E}" sibTransId="{8CA2CED7-3812-4338-BCA2-1FEAB7FDA04C}"/>
    <dgm:cxn modelId="{0A7A19BC-89DC-40A8-9A77-B7A726A71259}" type="presOf" srcId="{E5810067-ACF7-4717-A2F4-B00B17F88339}" destId="{3452541E-435B-4547-AC3E-67C521D6B95B}" srcOrd="0" destOrd="0" presId="urn:microsoft.com/office/officeart/2005/8/layout/vList6"/>
    <dgm:cxn modelId="{650BD9CB-2CB6-410D-9843-0024C84E43C0}" srcId="{F4EAE478-FB4D-4516-A638-139A97A7C7ED}" destId="{A5494D67-6321-4787-883C-E54032E6D2DE}" srcOrd="1" destOrd="0" parTransId="{ED2B8173-15C2-41C1-BC2C-DD99E89B7F9C}" sibTransId="{72750939-8150-4618-A129-C79F5AC105BE}"/>
    <dgm:cxn modelId="{294AEAED-6E03-4DC3-81BF-6E435094198A}" srcId="{3546315A-1305-4863-ABF6-B0BAA4D83ED1}" destId="{262EC05D-A4BB-4B51-B337-0FE2E3B1E347}" srcOrd="0" destOrd="0" parTransId="{7DDF6BDD-74B3-4E00-95D5-6460AC4AFEEF}" sibTransId="{7651A272-9DFA-4613-9ED3-C6992C49BB5F}"/>
    <dgm:cxn modelId="{3AD6F61F-8392-4CB3-B9D4-6C0D4D2E7305}" type="presOf" srcId="{21E96EDA-782D-40DE-97FE-786E38E57F98}" destId="{5FF780B5-7234-4081-91EE-41FFA0B3EF6E}" srcOrd="0" destOrd="1" presId="urn:microsoft.com/office/officeart/2005/8/layout/vList6"/>
    <dgm:cxn modelId="{35A640D1-DF51-49FD-99B8-6CBD2CF53FD8}" type="presOf" srcId="{0207364C-D730-4368-A1A2-10A36FC230F0}" destId="{C11BF5E6-2A0A-4243-AA4C-FFBC08BAEE19}" srcOrd="0" destOrd="0" presId="urn:microsoft.com/office/officeart/2005/8/layout/vList6"/>
    <dgm:cxn modelId="{E631B616-BDC5-4E4C-8727-F1EB634FA642}" srcId="{0207364C-D730-4368-A1A2-10A36FC230F0}" destId="{694E1F79-709A-4071-84F9-BB5E09F11C90}" srcOrd="0" destOrd="0" parTransId="{0520EFFC-1297-43C5-9B06-36A1441CDC77}" sibTransId="{987A6972-E298-47CE-8C95-923DBD151F22}"/>
    <dgm:cxn modelId="{69A54566-9D7C-4A09-8D02-686F08DF1748}" srcId="{F4FECE64-EB84-4A7C-AE17-E8AAC2BC0599}" destId="{3546315A-1305-4863-ABF6-B0BAA4D83ED1}" srcOrd="3" destOrd="0" parTransId="{F4BB517C-7E35-4591-A3A4-E1745A0BFE11}" sibTransId="{E72D0440-EF13-4A08-BB98-7930D685F5E2}"/>
    <dgm:cxn modelId="{2A375773-7F63-41B2-AAD4-BB40F0EF0478}" srcId="{F4FECE64-EB84-4A7C-AE17-E8AAC2BC0599}" destId="{0BB1C18B-FEB5-4B12-8A37-B814E2CF727C}" srcOrd="1" destOrd="0" parTransId="{4AA6CB13-33A9-4813-84A6-D38EDF578A5E}" sibTransId="{B733C26C-13C4-4BBB-8B23-3763066BB3CA}"/>
    <dgm:cxn modelId="{26E37A1D-C442-4DE0-8262-01D202E43C35}" srcId="{3546315A-1305-4863-ABF6-B0BAA4D83ED1}" destId="{3A5C547A-58D6-40E5-A6E2-EBFBA8628476}" srcOrd="2" destOrd="0" parTransId="{1DD4C9EE-BF3E-42F7-AA8D-F4885CE9F650}" sibTransId="{0FF7B21F-E899-49EC-8F33-60BF699879A6}"/>
    <dgm:cxn modelId="{FACC0422-5DDF-40BC-ABB4-FA0D885CF52D}" type="presOf" srcId="{73C7BFEC-54FE-43D2-BA81-E75D1640175A}" destId="{5FF780B5-7234-4081-91EE-41FFA0B3EF6E}" srcOrd="0" destOrd="3" presId="urn:microsoft.com/office/officeart/2005/8/layout/vList6"/>
    <dgm:cxn modelId="{5E7240D3-F299-4D92-9951-321C3FDAC439}" srcId="{3546315A-1305-4863-ABF6-B0BAA4D83ED1}" destId="{21E96EDA-782D-40DE-97FE-786E38E57F98}" srcOrd="1" destOrd="0" parTransId="{B078ECB5-95BB-4C07-BAD9-B73773647D1D}" sibTransId="{B9D9DDF6-DD9A-489F-94FA-D22568A51751}"/>
    <dgm:cxn modelId="{C87F16AB-4FF9-4FFC-866D-35A244B0C64A}" srcId="{0207364C-D730-4368-A1A2-10A36FC230F0}" destId="{9B09FB1F-4FC1-406B-A443-15E52B0C993C}" srcOrd="2" destOrd="0" parTransId="{13953532-07AE-46A3-A5AB-87C85462F607}" sibTransId="{5FB520B4-5987-42B0-A630-34241D9DA35F}"/>
    <dgm:cxn modelId="{8B4D5182-211C-4DDA-AD9F-5CF1AD1033FB}" type="presOf" srcId="{1E7AFD17-D03C-45A4-99FE-05617A6CFE05}" destId="{3452541E-435B-4547-AC3E-67C521D6B95B}" srcOrd="0" destOrd="2" presId="urn:microsoft.com/office/officeart/2005/8/layout/vList6"/>
    <dgm:cxn modelId="{EE0998E2-0679-4978-845E-BFB788B0B535}" type="presOf" srcId="{F4EAE478-FB4D-4516-A638-139A97A7C7ED}" destId="{BABA858A-2152-4C8A-973A-CAEB3CD3E5E5}" srcOrd="0" destOrd="0" presId="urn:microsoft.com/office/officeart/2005/8/layout/vList6"/>
    <dgm:cxn modelId="{9A58B778-7835-4E9B-8777-C62EC1E50BF7}" type="presOf" srcId="{8710E35A-9EC3-408D-A943-80843B0AC7EA}" destId="{3470FD23-4406-4B22-A941-132CA06ED937}" srcOrd="0" destOrd="1" presId="urn:microsoft.com/office/officeart/2005/8/layout/vList6"/>
    <dgm:cxn modelId="{D807E17A-C2A9-4B55-B6D9-75D602B2BD7E}" type="presOf" srcId="{A5494D67-6321-4787-883C-E54032E6D2DE}" destId="{7BE186F8-2CCD-49A7-B3B7-949E1E2F90EA}" srcOrd="0" destOrd="1" presId="urn:microsoft.com/office/officeart/2005/8/layout/vList6"/>
    <dgm:cxn modelId="{B79D8D75-740A-4848-8597-9B2ADF9198BF}" type="presOf" srcId="{F4FECE64-EB84-4A7C-AE17-E8AAC2BC0599}" destId="{75EEE5D7-C9D3-437A-985A-49BAC7A2A175}" srcOrd="0" destOrd="0" presId="urn:microsoft.com/office/officeart/2005/8/layout/vList6"/>
    <dgm:cxn modelId="{1269240C-DA0B-4B68-A770-EE7C091A8D24}" srcId="{D1ED2496-D3C9-4C5C-9A92-0710240223AF}" destId="{B177C5B1-FAA5-455F-9D75-EB7944034268}" srcOrd="0" destOrd="0" parTransId="{E81B2F3C-3DFA-42F6-BF2D-7E56989E4401}" sibTransId="{46A3D1D2-CE81-4D9C-B969-4DAF80DFA6C9}"/>
    <dgm:cxn modelId="{FC2D825E-D700-4FE5-91EA-E0D50662B11C}" srcId="{7CEF77E2-A43D-429E-9261-818CA427EDEB}" destId="{2ADFAD32-2159-4C0F-A125-0E08382DB2CE}" srcOrd="1" destOrd="0" parTransId="{01BB27D6-06DA-4491-AB6C-4B1B3A6ABF97}" sibTransId="{A50AF307-4B8A-4E12-B875-40E243F21910}"/>
    <dgm:cxn modelId="{AC64232C-BBCA-4B29-913D-AD4057FD0147}" type="presOf" srcId="{9B09FB1F-4FC1-406B-A443-15E52B0C993C}" destId="{3470FD23-4406-4B22-A941-132CA06ED937}" srcOrd="0" destOrd="2" presId="urn:microsoft.com/office/officeart/2005/8/layout/vList6"/>
    <dgm:cxn modelId="{D799D110-4228-41D0-A948-E4CD30673F8F}" srcId="{0BB1C18B-FEB5-4B12-8A37-B814E2CF727C}" destId="{3CA7544C-08C6-4EE4-85DB-DEB1415B6CDB}" srcOrd="0" destOrd="0" parTransId="{AC0EF338-0E48-4AE0-8368-E2F9B971E25B}" sibTransId="{B0D07A48-F63A-4E18-A251-D717A5E63869}"/>
    <dgm:cxn modelId="{52AB77A6-72C6-4BB2-B017-10FA09B00BFC}" type="presOf" srcId="{95F24197-DBFC-4A56-9796-8A842E247189}" destId="{2426EF09-EC31-4FEE-9576-A6AA0B3BDBA3}" srcOrd="0" destOrd="1" presId="urn:microsoft.com/office/officeart/2005/8/layout/vList6"/>
    <dgm:cxn modelId="{07D0C4B0-3DD3-4252-B09F-D46467A05F7A}" type="presOf" srcId="{0BB1C18B-FEB5-4B12-8A37-B814E2CF727C}" destId="{3D7BA10A-D00D-414D-B65B-18D6AC6F7138}" srcOrd="0" destOrd="0" presId="urn:microsoft.com/office/officeart/2005/8/layout/vList6"/>
    <dgm:cxn modelId="{CEA3F209-D13F-4957-B944-CE4B7BE0D1FE}" type="presOf" srcId="{262EC05D-A4BB-4B51-B337-0FE2E3B1E347}" destId="{5FF780B5-7234-4081-91EE-41FFA0B3EF6E}" srcOrd="0" destOrd="0" presId="urn:microsoft.com/office/officeart/2005/8/layout/vList6"/>
    <dgm:cxn modelId="{711DFC7E-C33B-4B3C-843F-E447EAD7AC92}" srcId="{D1ED2496-D3C9-4C5C-9A92-0710240223AF}" destId="{28E237F4-C59A-4F15-8A23-EB9A2C830C5A}" srcOrd="1" destOrd="0" parTransId="{B1F2DC85-2C45-4971-BA28-E600FFEE08C6}" sibTransId="{24BA16BB-10A1-47E7-A164-F940A00A2728}"/>
    <dgm:cxn modelId="{18A78E86-31D1-494D-AFAF-D180D82437B1}" type="presOf" srcId="{694E1F79-709A-4071-84F9-BB5E09F11C90}" destId="{3470FD23-4406-4B22-A941-132CA06ED937}" srcOrd="0" destOrd="0" presId="urn:microsoft.com/office/officeart/2005/8/layout/vList6"/>
    <dgm:cxn modelId="{97A86EB9-3BD5-42B6-A77D-8D0BADF9ECC6}" type="presOf" srcId="{28E237F4-C59A-4F15-8A23-EB9A2C830C5A}" destId="{5E1F6436-DA42-4A42-A8F9-5F2FBB525974}" srcOrd="0" destOrd="1" presId="urn:microsoft.com/office/officeart/2005/8/layout/vList6"/>
    <dgm:cxn modelId="{B1192952-EDE9-4D63-8A30-FB4CFC7FE765}" srcId="{0207364C-D730-4368-A1A2-10A36FC230F0}" destId="{8710E35A-9EC3-408D-A943-80843B0AC7EA}" srcOrd="1" destOrd="0" parTransId="{7E700A0B-3B68-4720-A00E-9E2FA304CEB4}" sibTransId="{94EF4716-6FCB-40E3-8E32-2A0B6D83EACE}"/>
    <dgm:cxn modelId="{101F88B4-AD52-4D40-9B1D-E66E521D10A6}" type="presOf" srcId="{B177C5B1-FAA5-455F-9D75-EB7944034268}" destId="{5E1F6436-DA42-4A42-A8F9-5F2FBB525974}" srcOrd="0" destOrd="0" presId="urn:microsoft.com/office/officeart/2005/8/layout/vList6"/>
    <dgm:cxn modelId="{DF21897E-17E9-40B4-8F55-8A8840E80956}" type="presOf" srcId="{3546315A-1305-4863-ABF6-B0BAA4D83ED1}" destId="{125267B9-84E2-4B6F-942A-A1D9B5E1B79E}" srcOrd="0" destOrd="0" presId="urn:microsoft.com/office/officeart/2005/8/layout/vList6"/>
    <dgm:cxn modelId="{1AE4EDCC-9D30-438B-9D9B-1582CFDEC311}" type="presOf" srcId="{2ADFAD32-2159-4C0F-A125-0E08382DB2CE}" destId="{3452541E-435B-4547-AC3E-67C521D6B95B}" srcOrd="0" destOrd="1" presId="urn:microsoft.com/office/officeart/2005/8/layout/vList6"/>
    <dgm:cxn modelId="{91CC8C86-EDD8-4339-8D4E-8088B34CC940}" srcId="{7CEF77E2-A43D-429E-9261-818CA427EDEB}" destId="{E5810067-ACF7-4717-A2F4-B00B17F88339}" srcOrd="0" destOrd="0" parTransId="{E520D41B-DA38-4864-97C2-50810C6FF795}" sibTransId="{71998DA1-5D15-4F51-B26A-9C965547DA42}"/>
    <dgm:cxn modelId="{2B719AA7-65B4-4C0A-B82E-5898A82CB5A0}" type="presOf" srcId="{3CA7544C-08C6-4EE4-85DB-DEB1415B6CDB}" destId="{2426EF09-EC31-4FEE-9576-A6AA0B3BDBA3}" srcOrd="0" destOrd="0" presId="urn:microsoft.com/office/officeart/2005/8/layout/vList6"/>
    <dgm:cxn modelId="{7EF97476-008B-4556-999B-865D252579FA}" srcId="{3546315A-1305-4863-ABF6-B0BAA4D83ED1}" destId="{73C7BFEC-54FE-43D2-BA81-E75D1640175A}" srcOrd="3" destOrd="0" parTransId="{4B726B1A-4AAA-44E7-975A-F2C5A8040148}" sibTransId="{FEB3BBB9-8B36-4716-BB3B-ECA272BB8F88}"/>
    <dgm:cxn modelId="{DF14C4E8-05C3-44BF-8EA3-5952AE81CCE7}" srcId="{F4FECE64-EB84-4A7C-AE17-E8AAC2BC0599}" destId="{F4EAE478-FB4D-4516-A638-139A97A7C7ED}" srcOrd="0" destOrd="0" parTransId="{28C2A0A8-26D0-48D6-94E3-DB5F46690259}" sibTransId="{ABF9C75D-EBC6-4CCD-9E67-C939E8A712C7}"/>
    <dgm:cxn modelId="{D83735AA-0655-4CC3-85C6-C77346BAED9E}" type="presOf" srcId="{3A5C547A-58D6-40E5-A6E2-EBFBA8628476}" destId="{5FF780B5-7234-4081-91EE-41FFA0B3EF6E}" srcOrd="0" destOrd="2" presId="urn:microsoft.com/office/officeart/2005/8/layout/vList6"/>
    <dgm:cxn modelId="{8770ABE9-B6F0-4903-84F1-0B146B4EAC78}" srcId="{F4FECE64-EB84-4A7C-AE17-E8AAC2BC0599}" destId="{7CEF77E2-A43D-429E-9261-818CA427EDEB}" srcOrd="4" destOrd="0" parTransId="{7807AF10-AE23-48DC-AFC5-F34C2E5D3453}" sibTransId="{E7BE7702-CD43-4D97-A7D2-33FF6AD8E073}"/>
    <dgm:cxn modelId="{1C1F0467-100F-43B5-AF48-CE78E1E154CE}" srcId="{F4EAE478-FB4D-4516-A638-139A97A7C7ED}" destId="{C332FEBC-EF1D-4A6A-B5CC-F66D72778451}" srcOrd="0" destOrd="0" parTransId="{3CB12938-0355-4535-BEC4-A305AB7AB1E7}" sibTransId="{954ACA7A-B309-4C2F-802B-39910B880144}"/>
    <dgm:cxn modelId="{0E205B6A-4239-4CF5-985E-BF7B3CD732D4}" type="presOf" srcId="{C332FEBC-EF1D-4A6A-B5CC-F66D72778451}" destId="{7BE186F8-2CCD-49A7-B3B7-949E1E2F90EA}" srcOrd="0" destOrd="0" presId="urn:microsoft.com/office/officeart/2005/8/layout/vList6"/>
    <dgm:cxn modelId="{46B7A7EC-CC4E-4783-865D-5BA8EFBCBAF8}" srcId="{F4FECE64-EB84-4A7C-AE17-E8AAC2BC0599}" destId="{0207364C-D730-4368-A1A2-10A36FC230F0}" srcOrd="5" destOrd="0" parTransId="{27863FAE-0966-4D95-A7F4-707B3394E27A}" sibTransId="{DA16DE4E-DB0B-4B39-A8B7-46F493C404AE}"/>
    <dgm:cxn modelId="{924B8C5E-6CD0-45C1-AA06-81376F62960B}" type="presParOf" srcId="{75EEE5D7-C9D3-437A-985A-49BAC7A2A175}" destId="{AD13B0CA-9E6D-4630-AE3E-DBEC0EAEB7CB}" srcOrd="0" destOrd="0" presId="urn:microsoft.com/office/officeart/2005/8/layout/vList6"/>
    <dgm:cxn modelId="{E140221F-EE2E-4262-9BD6-D25149C1AFA3}" type="presParOf" srcId="{AD13B0CA-9E6D-4630-AE3E-DBEC0EAEB7CB}" destId="{BABA858A-2152-4C8A-973A-CAEB3CD3E5E5}" srcOrd="0" destOrd="0" presId="urn:microsoft.com/office/officeart/2005/8/layout/vList6"/>
    <dgm:cxn modelId="{1121BA36-0FB6-4C64-A575-48A08C69BD21}" type="presParOf" srcId="{AD13B0CA-9E6D-4630-AE3E-DBEC0EAEB7CB}" destId="{7BE186F8-2CCD-49A7-B3B7-949E1E2F90EA}" srcOrd="1" destOrd="0" presId="urn:microsoft.com/office/officeart/2005/8/layout/vList6"/>
    <dgm:cxn modelId="{104AEAD9-7179-407B-BCFA-4A34A758481F}" type="presParOf" srcId="{75EEE5D7-C9D3-437A-985A-49BAC7A2A175}" destId="{56D9DDD3-E7F8-4840-B4A9-52EEF63D5F6E}" srcOrd="1" destOrd="0" presId="urn:microsoft.com/office/officeart/2005/8/layout/vList6"/>
    <dgm:cxn modelId="{6F2491A7-91D8-4EE9-ACBD-4F1213A4E2A6}" type="presParOf" srcId="{75EEE5D7-C9D3-437A-985A-49BAC7A2A175}" destId="{A91E08F0-3FEA-43CE-97F6-C17A5CF880D6}" srcOrd="2" destOrd="0" presId="urn:microsoft.com/office/officeart/2005/8/layout/vList6"/>
    <dgm:cxn modelId="{C3FDDE16-5A27-4EB3-8740-41D5A9E7BBD7}" type="presParOf" srcId="{A91E08F0-3FEA-43CE-97F6-C17A5CF880D6}" destId="{3D7BA10A-D00D-414D-B65B-18D6AC6F7138}" srcOrd="0" destOrd="0" presId="urn:microsoft.com/office/officeart/2005/8/layout/vList6"/>
    <dgm:cxn modelId="{EE264F13-58E2-4012-83DA-39F6E3F61E56}" type="presParOf" srcId="{A91E08F0-3FEA-43CE-97F6-C17A5CF880D6}" destId="{2426EF09-EC31-4FEE-9576-A6AA0B3BDBA3}" srcOrd="1" destOrd="0" presId="urn:microsoft.com/office/officeart/2005/8/layout/vList6"/>
    <dgm:cxn modelId="{FBCF993C-C083-44EB-8932-FEBC407CA324}" type="presParOf" srcId="{75EEE5D7-C9D3-437A-985A-49BAC7A2A175}" destId="{C0461AAC-4A9C-4487-B3F8-7B9126C99BB9}" srcOrd="3" destOrd="0" presId="urn:microsoft.com/office/officeart/2005/8/layout/vList6"/>
    <dgm:cxn modelId="{D4205F80-2A87-45EF-BE1A-88A0D4627860}" type="presParOf" srcId="{75EEE5D7-C9D3-437A-985A-49BAC7A2A175}" destId="{5CB19BA6-63CA-4DE7-A5D5-465AFADE89F3}" srcOrd="4" destOrd="0" presId="urn:microsoft.com/office/officeart/2005/8/layout/vList6"/>
    <dgm:cxn modelId="{F23B9198-0F12-42AF-99F8-9B8E6FD43320}" type="presParOf" srcId="{5CB19BA6-63CA-4DE7-A5D5-465AFADE89F3}" destId="{9FF7CB14-D672-408A-A0E6-2CBEECD17BA0}" srcOrd="0" destOrd="0" presId="urn:microsoft.com/office/officeart/2005/8/layout/vList6"/>
    <dgm:cxn modelId="{21CEC9F3-4AD2-4C5F-BCF0-67F434CF9883}" type="presParOf" srcId="{5CB19BA6-63CA-4DE7-A5D5-465AFADE89F3}" destId="{5E1F6436-DA42-4A42-A8F9-5F2FBB525974}" srcOrd="1" destOrd="0" presId="urn:microsoft.com/office/officeart/2005/8/layout/vList6"/>
    <dgm:cxn modelId="{D980879C-AC02-4C20-AE12-8E33FFEC09CF}" type="presParOf" srcId="{75EEE5D7-C9D3-437A-985A-49BAC7A2A175}" destId="{BB320FE4-3624-4029-AA7F-2B6B414A7295}" srcOrd="5" destOrd="0" presId="urn:microsoft.com/office/officeart/2005/8/layout/vList6"/>
    <dgm:cxn modelId="{A33C724A-4CC5-417E-B8D6-A6937E7CBAD8}" type="presParOf" srcId="{75EEE5D7-C9D3-437A-985A-49BAC7A2A175}" destId="{C809D957-D61E-4FD0-B098-5AE6C80251E5}" srcOrd="6" destOrd="0" presId="urn:microsoft.com/office/officeart/2005/8/layout/vList6"/>
    <dgm:cxn modelId="{37FE9E48-DE1E-4E67-BA72-7DB23FF13B32}" type="presParOf" srcId="{C809D957-D61E-4FD0-B098-5AE6C80251E5}" destId="{125267B9-84E2-4B6F-942A-A1D9B5E1B79E}" srcOrd="0" destOrd="0" presId="urn:microsoft.com/office/officeart/2005/8/layout/vList6"/>
    <dgm:cxn modelId="{52B2FB9E-1117-44E5-A6B9-41707A161CFF}" type="presParOf" srcId="{C809D957-D61E-4FD0-B098-5AE6C80251E5}" destId="{5FF780B5-7234-4081-91EE-41FFA0B3EF6E}" srcOrd="1" destOrd="0" presId="urn:microsoft.com/office/officeart/2005/8/layout/vList6"/>
    <dgm:cxn modelId="{C3DF0BC0-C039-4D01-AD0F-556DAA297A43}" type="presParOf" srcId="{75EEE5D7-C9D3-437A-985A-49BAC7A2A175}" destId="{A604BE5F-EE6F-4701-B20E-8A66A5D71C28}" srcOrd="7" destOrd="0" presId="urn:microsoft.com/office/officeart/2005/8/layout/vList6"/>
    <dgm:cxn modelId="{B82CB55F-441A-47F1-996C-84D1900D08A1}" type="presParOf" srcId="{75EEE5D7-C9D3-437A-985A-49BAC7A2A175}" destId="{83F78F17-1E90-4785-A17F-6C3346DDE3E2}" srcOrd="8" destOrd="0" presId="urn:microsoft.com/office/officeart/2005/8/layout/vList6"/>
    <dgm:cxn modelId="{6742A6B3-FD5D-4584-882C-C7A4CE745B15}" type="presParOf" srcId="{83F78F17-1E90-4785-A17F-6C3346DDE3E2}" destId="{A46E86C7-33CD-44FA-8731-696D681F08B9}" srcOrd="0" destOrd="0" presId="urn:microsoft.com/office/officeart/2005/8/layout/vList6"/>
    <dgm:cxn modelId="{468D6A16-64E4-42BD-AE8E-39A9C3D9140E}" type="presParOf" srcId="{83F78F17-1E90-4785-A17F-6C3346DDE3E2}" destId="{3452541E-435B-4547-AC3E-67C521D6B95B}" srcOrd="1" destOrd="0" presId="urn:microsoft.com/office/officeart/2005/8/layout/vList6"/>
    <dgm:cxn modelId="{9F910B0F-FFBD-4BFB-B7A1-4F78A8D94AA5}" type="presParOf" srcId="{75EEE5D7-C9D3-437A-985A-49BAC7A2A175}" destId="{5E2AE1A5-1A77-479D-8F72-66201ED76AD7}" srcOrd="9" destOrd="0" presId="urn:microsoft.com/office/officeart/2005/8/layout/vList6"/>
    <dgm:cxn modelId="{5F7AD900-AE8E-4783-AD94-531586697E2E}" type="presParOf" srcId="{75EEE5D7-C9D3-437A-985A-49BAC7A2A175}" destId="{00BC63C2-DBF4-4C6B-B97C-FCF87799DB46}" srcOrd="10" destOrd="0" presId="urn:microsoft.com/office/officeart/2005/8/layout/vList6"/>
    <dgm:cxn modelId="{59AE9761-1ECA-4FB3-BDE5-B40FF4808733}" type="presParOf" srcId="{00BC63C2-DBF4-4C6B-B97C-FCF87799DB46}" destId="{C11BF5E6-2A0A-4243-AA4C-FFBC08BAEE19}" srcOrd="0" destOrd="0" presId="urn:microsoft.com/office/officeart/2005/8/layout/vList6"/>
    <dgm:cxn modelId="{EDBECF39-AD40-44E3-9351-9858E7E84B1F}" type="presParOf" srcId="{00BC63C2-DBF4-4C6B-B97C-FCF87799DB46}" destId="{3470FD23-4406-4B22-A941-132CA06ED937}" srcOrd="1" destOrd="0" presId="urn:microsoft.com/office/officeart/2005/8/layout/vList6"/>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CAFF1C-7CB1-4A36-BF7A-E9BAB04F46D1}" type="doc">
      <dgm:prSet loTypeId="urn:microsoft.com/office/officeart/2005/8/layout/pyramid2" loCatId="list" qsTypeId="urn:microsoft.com/office/officeart/2005/8/quickstyle/3d3" qsCatId="3D" csTypeId="urn:microsoft.com/office/officeart/2005/8/colors/accent1_2" csCatId="accent1" phldr="1"/>
      <dgm:spPr/>
    </dgm:pt>
    <dgm:pt modelId="{64AD82E3-F224-4459-B276-91F5BD9463E5}">
      <dgm:prSet phldrT="[Текст]" custT="1"/>
      <dgm:spPr/>
      <dgm:t>
        <a:bodyPr/>
        <a:lstStyle/>
        <a:p>
          <a:r>
            <a:rPr lang="ru-RU" sz="1100">
              <a:latin typeface="Times New Roman" panose="02020603050405020304" pitchFamily="18" charset="0"/>
              <a:cs typeface="Times New Roman" panose="02020603050405020304" pitchFamily="18" charset="0"/>
            </a:rPr>
            <a:t>соответствие нормативам регулирования</a:t>
          </a:r>
        </a:p>
      </dgm:t>
    </dgm:pt>
    <dgm:pt modelId="{2FB99F62-C98B-4745-91D0-7E019C6FAE10}" type="parTrans" cxnId="{0FB3C126-72A1-42F5-8D68-E8FCC5E42101}">
      <dgm:prSet/>
      <dgm:spPr/>
      <dgm:t>
        <a:bodyPr/>
        <a:lstStyle/>
        <a:p>
          <a:endParaRPr lang="ru-RU" sz="1100">
            <a:latin typeface="Times New Roman" panose="02020603050405020304" pitchFamily="18" charset="0"/>
            <a:cs typeface="Times New Roman" panose="02020603050405020304" pitchFamily="18" charset="0"/>
          </a:endParaRPr>
        </a:p>
      </dgm:t>
    </dgm:pt>
    <dgm:pt modelId="{A6DF8DD3-651D-4432-9FC5-AA8F244E0B05}" type="sibTrans" cxnId="{0FB3C126-72A1-42F5-8D68-E8FCC5E42101}">
      <dgm:prSet/>
      <dgm:spPr/>
      <dgm:t>
        <a:bodyPr/>
        <a:lstStyle/>
        <a:p>
          <a:endParaRPr lang="ru-RU" sz="1100">
            <a:latin typeface="Times New Roman" panose="02020603050405020304" pitchFamily="18" charset="0"/>
            <a:cs typeface="Times New Roman" panose="02020603050405020304" pitchFamily="18" charset="0"/>
          </a:endParaRPr>
        </a:p>
      </dgm:t>
    </dgm:pt>
    <dgm:pt modelId="{3029A9FA-D3D7-4385-987D-1E1D6A7FF39E}">
      <dgm:prSet phldrT="[Текст]" custT="1"/>
      <dgm:spPr/>
      <dgm:t>
        <a:bodyPr/>
        <a:lstStyle/>
        <a:p>
          <a:r>
            <a:rPr lang="ru-RU" sz="1100">
              <a:latin typeface="Times New Roman" panose="02020603050405020304" pitchFamily="18" charset="0"/>
              <a:cs typeface="Times New Roman" panose="02020603050405020304" pitchFamily="18" charset="0"/>
            </a:rPr>
            <a:t>диверсификация структуры источников и инструментов</a:t>
          </a:r>
        </a:p>
      </dgm:t>
    </dgm:pt>
    <dgm:pt modelId="{634A30BD-7EEF-461F-B453-25564F7836A3}" type="parTrans" cxnId="{7E8D8999-A23E-485D-A12E-D02E654ED561}">
      <dgm:prSet/>
      <dgm:spPr/>
      <dgm:t>
        <a:bodyPr/>
        <a:lstStyle/>
        <a:p>
          <a:endParaRPr lang="ru-RU" sz="1100">
            <a:latin typeface="Times New Roman" panose="02020603050405020304" pitchFamily="18" charset="0"/>
            <a:cs typeface="Times New Roman" panose="02020603050405020304" pitchFamily="18" charset="0"/>
          </a:endParaRPr>
        </a:p>
      </dgm:t>
    </dgm:pt>
    <dgm:pt modelId="{833D0F12-0691-47D4-B188-4ECF7ACFB27D}" type="sibTrans" cxnId="{7E8D8999-A23E-485D-A12E-D02E654ED561}">
      <dgm:prSet/>
      <dgm:spPr/>
      <dgm:t>
        <a:bodyPr/>
        <a:lstStyle/>
        <a:p>
          <a:endParaRPr lang="ru-RU" sz="1100">
            <a:latin typeface="Times New Roman" panose="02020603050405020304" pitchFamily="18" charset="0"/>
            <a:cs typeface="Times New Roman" panose="02020603050405020304" pitchFamily="18" charset="0"/>
          </a:endParaRPr>
        </a:p>
      </dgm:t>
    </dgm:pt>
    <dgm:pt modelId="{9A7A60F0-5A01-4759-B327-0287CB3DD1C0}">
      <dgm:prSet phldrT="[Текст]" custT="1"/>
      <dgm:spPr/>
      <dgm:t>
        <a:bodyPr/>
        <a:lstStyle/>
        <a:p>
          <a:r>
            <a:rPr lang="ru-RU" sz="1100">
              <a:latin typeface="Times New Roman" panose="02020603050405020304" pitchFamily="18" charset="0"/>
              <a:cs typeface="Times New Roman" panose="02020603050405020304" pitchFamily="18" charset="0"/>
            </a:rPr>
            <a:t>непрерывность поступления ресурсов</a:t>
          </a:r>
        </a:p>
      </dgm:t>
    </dgm:pt>
    <dgm:pt modelId="{938AE126-64E1-440B-901E-0DA4F4A0F3A2}" type="parTrans" cxnId="{38E24B85-D655-4489-9BC7-D20E1590AA38}">
      <dgm:prSet/>
      <dgm:spPr/>
      <dgm:t>
        <a:bodyPr/>
        <a:lstStyle/>
        <a:p>
          <a:endParaRPr lang="ru-RU" sz="1100">
            <a:latin typeface="Times New Roman" panose="02020603050405020304" pitchFamily="18" charset="0"/>
            <a:cs typeface="Times New Roman" panose="02020603050405020304" pitchFamily="18" charset="0"/>
          </a:endParaRPr>
        </a:p>
      </dgm:t>
    </dgm:pt>
    <dgm:pt modelId="{774B4CE9-EA91-4971-B654-CDE015C2FCAE}" type="sibTrans" cxnId="{38E24B85-D655-4489-9BC7-D20E1590AA38}">
      <dgm:prSet/>
      <dgm:spPr/>
      <dgm:t>
        <a:bodyPr/>
        <a:lstStyle/>
        <a:p>
          <a:endParaRPr lang="ru-RU" sz="1100">
            <a:latin typeface="Times New Roman" panose="02020603050405020304" pitchFamily="18" charset="0"/>
            <a:cs typeface="Times New Roman" panose="02020603050405020304" pitchFamily="18" charset="0"/>
          </a:endParaRPr>
        </a:p>
      </dgm:t>
    </dgm:pt>
    <dgm:pt modelId="{D8819EC9-293F-479A-B2F4-EB4661032DC5}">
      <dgm:prSet custT="1"/>
      <dgm:spPr/>
      <dgm:t>
        <a:bodyPr/>
        <a:lstStyle/>
        <a:p>
          <a:r>
            <a:rPr lang="ru-RU" sz="1100">
              <a:latin typeface="Times New Roman" panose="02020603050405020304" pitchFamily="18" charset="0"/>
              <a:cs typeface="Times New Roman" panose="02020603050405020304" pitchFamily="18" charset="0"/>
            </a:rPr>
            <a:t>снижение стоимости фондирования</a:t>
          </a:r>
        </a:p>
      </dgm:t>
    </dgm:pt>
    <dgm:pt modelId="{D3F4D818-4039-439A-861F-D9388BC9A99E}" type="parTrans" cxnId="{12CEF06F-270C-42E7-A21A-8B25949CBD61}">
      <dgm:prSet/>
      <dgm:spPr/>
      <dgm:t>
        <a:bodyPr/>
        <a:lstStyle/>
        <a:p>
          <a:endParaRPr lang="ru-RU" sz="1100">
            <a:latin typeface="Times New Roman" panose="02020603050405020304" pitchFamily="18" charset="0"/>
            <a:cs typeface="Times New Roman" panose="02020603050405020304" pitchFamily="18" charset="0"/>
          </a:endParaRPr>
        </a:p>
      </dgm:t>
    </dgm:pt>
    <dgm:pt modelId="{7AC029A4-00D3-4AAF-AB2C-2C915A49AD51}" type="sibTrans" cxnId="{12CEF06F-270C-42E7-A21A-8B25949CBD61}">
      <dgm:prSet/>
      <dgm:spPr/>
      <dgm:t>
        <a:bodyPr/>
        <a:lstStyle/>
        <a:p>
          <a:endParaRPr lang="ru-RU" sz="1100">
            <a:latin typeface="Times New Roman" panose="02020603050405020304" pitchFamily="18" charset="0"/>
            <a:cs typeface="Times New Roman" panose="02020603050405020304" pitchFamily="18" charset="0"/>
          </a:endParaRPr>
        </a:p>
      </dgm:t>
    </dgm:pt>
    <dgm:pt modelId="{800CC270-DD18-44B1-84CF-9F886EE319F8}">
      <dgm:prSet custT="1"/>
      <dgm:spPr/>
      <dgm:t>
        <a:bodyPr/>
        <a:lstStyle/>
        <a:p>
          <a:r>
            <a:rPr lang="ru-RU" sz="1100">
              <a:latin typeface="Times New Roman" panose="02020603050405020304" pitchFamily="18" charset="0"/>
              <a:cs typeface="Times New Roman" panose="02020603050405020304" pitchFamily="18" charset="0"/>
            </a:rPr>
            <a:t>соответствие срочности пассивов и активов</a:t>
          </a:r>
        </a:p>
      </dgm:t>
    </dgm:pt>
    <dgm:pt modelId="{BBD946C0-2DF1-44E0-94E1-AE2F0D934829}" type="parTrans" cxnId="{5B7FD1E8-FF8A-42ED-ADCB-3D6F6D224F9C}">
      <dgm:prSet/>
      <dgm:spPr/>
      <dgm:t>
        <a:bodyPr/>
        <a:lstStyle/>
        <a:p>
          <a:endParaRPr lang="ru-RU" sz="1100">
            <a:latin typeface="Times New Roman" panose="02020603050405020304" pitchFamily="18" charset="0"/>
            <a:cs typeface="Times New Roman" panose="02020603050405020304" pitchFamily="18" charset="0"/>
          </a:endParaRPr>
        </a:p>
      </dgm:t>
    </dgm:pt>
    <dgm:pt modelId="{8F9FBC8F-333F-4C5C-9FB9-63FD7B14F068}" type="sibTrans" cxnId="{5B7FD1E8-FF8A-42ED-ADCB-3D6F6D224F9C}">
      <dgm:prSet/>
      <dgm:spPr/>
      <dgm:t>
        <a:bodyPr/>
        <a:lstStyle/>
        <a:p>
          <a:endParaRPr lang="ru-RU" sz="1100">
            <a:latin typeface="Times New Roman" panose="02020603050405020304" pitchFamily="18" charset="0"/>
            <a:cs typeface="Times New Roman" panose="02020603050405020304" pitchFamily="18" charset="0"/>
          </a:endParaRPr>
        </a:p>
      </dgm:t>
    </dgm:pt>
    <dgm:pt modelId="{0D3E5947-5AA0-47E8-A3CF-EECE82CEB5CB}" type="pres">
      <dgm:prSet presAssocID="{A1CAFF1C-7CB1-4A36-BF7A-E9BAB04F46D1}" presName="compositeShape" presStyleCnt="0">
        <dgm:presLayoutVars>
          <dgm:dir/>
          <dgm:resizeHandles/>
        </dgm:presLayoutVars>
      </dgm:prSet>
      <dgm:spPr/>
    </dgm:pt>
    <dgm:pt modelId="{328EA211-BD17-4407-9733-A9CF0ED677B3}" type="pres">
      <dgm:prSet presAssocID="{A1CAFF1C-7CB1-4A36-BF7A-E9BAB04F46D1}" presName="pyramid" presStyleLbl="node1" presStyleIdx="0" presStyleCnt="1" custScaleX="179350"/>
      <dgm:spPr/>
    </dgm:pt>
    <dgm:pt modelId="{6E1805F7-78A6-47D3-A5AF-D1DE39F30537}" type="pres">
      <dgm:prSet presAssocID="{A1CAFF1C-7CB1-4A36-BF7A-E9BAB04F46D1}" presName="theList" presStyleCnt="0"/>
      <dgm:spPr/>
    </dgm:pt>
    <dgm:pt modelId="{BFFA1449-7454-47CF-A29A-87584E6AE0D4}" type="pres">
      <dgm:prSet presAssocID="{64AD82E3-F224-4459-B276-91F5BD9463E5}" presName="aNode" presStyleLbl="fgAcc1" presStyleIdx="0" presStyleCnt="5" custScaleX="197418">
        <dgm:presLayoutVars>
          <dgm:bulletEnabled val="1"/>
        </dgm:presLayoutVars>
      </dgm:prSet>
      <dgm:spPr/>
      <dgm:t>
        <a:bodyPr/>
        <a:lstStyle/>
        <a:p>
          <a:endParaRPr lang="ru-RU"/>
        </a:p>
      </dgm:t>
    </dgm:pt>
    <dgm:pt modelId="{826F09A6-CD4B-4E39-950D-2C874919A980}" type="pres">
      <dgm:prSet presAssocID="{64AD82E3-F224-4459-B276-91F5BD9463E5}" presName="aSpace" presStyleCnt="0"/>
      <dgm:spPr/>
    </dgm:pt>
    <dgm:pt modelId="{E18CE2D9-C271-427D-B5E6-FC4C22BA9CB3}" type="pres">
      <dgm:prSet presAssocID="{800CC270-DD18-44B1-84CF-9F886EE319F8}" presName="aNode" presStyleLbl="fgAcc1" presStyleIdx="1" presStyleCnt="5" custScaleX="198681">
        <dgm:presLayoutVars>
          <dgm:bulletEnabled val="1"/>
        </dgm:presLayoutVars>
      </dgm:prSet>
      <dgm:spPr/>
      <dgm:t>
        <a:bodyPr/>
        <a:lstStyle/>
        <a:p>
          <a:endParaRPr lang="ru-RU"/>
        </a:p>
      </dgm:t>
    </dgm:pt>
    <dgm:pt modelId="{D6102F0B-1FDF-4C00-8853-FC42A32A2B79}" type="pres">
      <dgm:prSet presAssocID="{800CC270-DD18-44B1-84CF-9F886EE319F8}" presName="aSpace" presStyleCnt="0"/>
      <dgm:spPr/>
    </dgm:pt>
    <dgm:pt modelId="{C41F87F4-AD1F-4FC4-AA9C-E4BA4582E799}" type="pres">
      <dgm:prSet presAssocID="{D8819EC9-293F-479A-B2F4-EB4661032DC5}" presName="aNode" presStyleLbl="fgAcc1" presStyleIdx="2" presStyleCnt="5" custScaleX="199313">
        <dgm:presLayoutVars>
          <dgm:bulletEnabled val="1"/>
        </dgm:presLayoutVars>
      </dgm:prSet>
      <dgm:spPr/>
      <dgm:t>
        <a:bodyPr/>
        <a:lstStyle/>
        <a:p>
          <a:endParaRPr lang="ru-RU"/>
        </a:p>
      </dgm:t>
    </dgm:pt>
    <dgm:pt modelId="{DA0932C1-E9C3-48CF-903F-DC321F644F27}" type="pres">
      <dgm:prSet presAssocID="{D8819EC9-293F-479A-B2F4-EB4661032DC5}" presName="aSpace" presStyleCnt="0"/>
      <dgm:spPr/>
    </dgm:pt>
    <dgm:pt modelId="{00C6621C-94F3-45D7-B3B8-3D6FD3C8F9F6}" type="pres">
      <dgm:prSet presAssocID="{3029A9FA-D3D7-4385-987D-1E1D6A7FF39E}" presName="aNode" presStyleLbl="fgAcc1" presStyleIdx="3" presStyleCnt="5" custScaleX="201367">
        <dgm:presLayoutVars>
          <dgm:bulletEnabled val="1"/>
        </dgm:presLayoutVars>
      </dgm:prSet>
      <dgm:spPr/>
      <dgm:t>
        <a:bodyPr/>
        <a:lstStyle/>
        <a:p>
          <a:endParaRPr lang="ru-RU"/>
        </a:p>
      </dgm:t>
    </dgm:pt>
    <dgm:pt modelId="{006772CB-3BEB-46EF-8166-6FF009ACD167}" type="pres">
      <dgm:prSet presAssocID="{3029A9FA-D3D7-4385-987D-1E1D6A7FF39E}" presName="aSpace" presStyleCnt="0"/>
      <dgm:spPr/>
    </dgm:pt>
    <dgm:pt modelId="{BDAD9BE1-0DFB-4A0C-9CE7-B030421F8687}" type="pres">
      <dgm:prSet presAssocID="{9A7A60F0-5A01-4759-B327-0287CB3DD1C0}" presName="aNode" presStyleLbl="fgAcc1" presStyleIdx="4" presStyleCnt="5" custScaleX="201710">
        <dgm:presLayoutVars>
          <dgm:bulletEnabled val="1"/>
        </dgm:presLayoutVars>
      </dgm:prSet>
      <dgm:spPr/>
      <dgm:t>
        <a:bodyPr/>
        <a:lstStyle/>
        <a:p>
          <a:endParaRPr lang="ru-RU"/>
        </a:p>
      </dgm:t>
    </dgm:pt>
    <dgm:pt modelId="{BBCDFEBF-C667-495A-9E20-5FFD8DBD14AD}" type="pres">
      <dgm:prSet presAssocID="{9A7A60F0-5A01-4759-B327-0287CB3DD1C0}" presName="aSpace" presStyleCnt="0"/>
      <dgm:spPr/>
    </dgm:pt>
  </dgm:ptLst>
  <dgm:cxnLst>
    <dgm:cxn modelId="{AD39ECFF-B690-4F73-8767-DC2DECC4F761}" type="presOf" srcId="{800CC270-DD18-44B1-84CF-9F886EE319F8}" destId="{E18CE2D9-C271-427D-B5E6-FC4C22BA9CB3}" srcOrd="0" destOrd="0" presId="urn:microsoft.com/office/officeart/2005/8/layout/pyramid2"/>
    <dgm:cxn modelId="{45B30BF9-C803-4F65-B138-38AF9E4D3893}" type="presOf" srcId="{3029A9FA-D3D7-4385-987D-1E1D6A7FF39E}" destId="{00C6621C-94F3-45D7-B3B8-3D6FD3C8F9F6}" srcOrd="0" destOrd="0" presId="urn:microsoft.com/office/officeart/2005/8/layout/pyramid2"/>
    <dgm:cxn modelId="{38E24B85-D655-4489-9BC7-D20E1590AA38}" srcId="{A1CAFF1C-7CB1-4A36-BF7A-E9BAB04F46D1}" destId="{9A7A60F0-5A01-4759-B327-0287CB3DD1C0}" srcOrd="4" destOrd="0" parTransId="{938AE126-64E1-440B-901E-0DA4F4A0F3A2}" sibTransId="{774B4CE9-EA91-4971-B654-CDE015C2FCAE}"/>
    <dgm:cxn modelId="{12CEF06F-270C-42E7-A21A-8B25949CBD61}" srcId="{A1CAFF1C-7CB1-4A36-BF7A-E9BAB04F46D1}" destId="{D8819EC9-293F-479A-B2F4-EB4661032DC5}" srcOrd="2" destOrd="0" parTransId="{D3F4D818-4039-439A-861F-D9388BC9A99E}" sibTransId="{7AC029A4-00D3-4AAF-AB2C-2C915A49AD51}"/>
    <dgm:cxn modelId="{707053C8-7E10-4C49-959F-F7890098AE8A}" type="presOf" srcId="{64AD82E3-F224-4459-B276-91F5BD9463E5}" destId="{BFFA1449-7454-47CF-A29A-87584E6AE0D4}" srcOrd="0" destOrd="0" presId="urn:microsoft.com/office/officeart/2005/8/layout/pyramid2"/>
    <dgm:cxn modelId="{A0EBE0F8-1CDA-472F-927A-260C76BE9AEA}" type="presOf" srcId="{D8819EC9-293F-479A-B2F4-EB4661032DC5}" destId="{C41F87F4-AD1F-4FC4-AA9C-E4BA4582E799}" srcOrd="0" destOrd="0" presId="urn:microsoft.com/office/officeart/2005/8/layout/pyramid2"/>
    <dgm:cxn modelId="{761201FB-623A-4D3D-AE1A-C62BF230C516}" type="presOf" srcId="{A1CAFF1C-7CB1-4A36-BF7A-E9BAB04F46D1}" destId="{0D3E5947-5AA0-47E8-A3CF-EECE82CEB5CB}" srcOrd="0" destOrd="0" presId="urn:microsoft.com/office/officeart/2005/8/layout/pyramid2"/>
    <dgm:cxn modelId="{5B7FD1E8-FF8A-42ED-ADCB-3D6F6D224F9C}" srcId="{A1CAFF1C-7CB1-4A36-BF7A-E9BAB04F46D1}" destId="{800CC270-DD18-44B1-84CF-9F886EE319F8}" srcOrd="1" destOrd="0" parTransId="{BBD946C0-2DF1-44E0-94E1-AE2F0D934829}" sibTransId="{8F9FBC8F-333F-4C5C-9FB9-63FD7B14F068}"/>
    <dgm:cxn modelId="{0FB3C126-72A1-42F5-8D68-E8FCC5E42101}" srcId="{A1CAFF1C-7CB1-4A36-BF7A-E9BAB04F46D1}" destId="{64AD82E3-F224-4459-B276-91F5BD9463E5}" srcOrd="0" destOrd="0" parTransId="{2FB99F62-C98B-4745-91D0-7E019C6FAE10}" sibTransId="{A6DF8DD3-651D-4432-9FC5-AA8F244E0B05}"/>
    <dgm:cxn modelId="{7E8D8999-A23E-485D-A12E-D02E654ED561}" srcId="{A1CAFF1C-7CB1-4A36-BF7A-E9BAB04F46D1}" destId="{3029A9FA-D3D7-4385-987D-1E1D6A7FF39E}" srcOrd="3" destOrd="0" parTransId="{634A30BD-7EEF-461F-B453-25564F7836A3}" sibTransId="{833D0F12-0691-47D4-B188-4ECF7ACFB27D}"/>
    <dgm:cxn modelId="{07544DD8-BA12-41CD-BD05-3E1CD522ECF9}" type="presOf" srcId="{9A7A60F0-5A01-4759-B327-0287CB3DD1C0}" destId="{BDAD9BE1-0DFB-4A0C-9CE7-B030421F8687}" srcOrd="0" destOrd="0" presId="urn:microsoft.com/office/officeart/2005/8/layout/pyramid2"/>
    <dgm:cxn modelId="{F9605B26-1FD6-480B-86EB-18C52DD7ECAB}" type="presParOf" srcId="{0D3E5947-5AA0-47E8-A3CF-EECE82CEB5CB}" destId="{328EA211-BD17-4407-9733-A9CF0ED677B3}" srcOrd="0" destOrd="0" presId="urn:microsoft.com/office/officeart/2005/8/layout/pyramid2"/>
    <dgm:cxn modelId="{53BE3295-5698-49BA-B558-E1F5A22BBED3}" type="presParOf" srcId="{0D3E5947-5AA0-47E8-A3CF-EECE82CEB5CB}" destId="{6E1805F7-78A6-47D3-A5AF-D1DE39F30537}" srcOrd="1" destOrd="0" presId="urn:microsoft.com/office/officeart/2005/8/layout/pyramid2"/>
    <dgm:cxn modelId="{09DF8A0E-10B7-4511-AC50-57D5D2061F86}" type="presParOf" srcId="{6E1805F7-78A6-47D3-A5AF-D1DE39F30537}" destId="{BFFA1449-7454-47CF-A29A-87584E6AE0D4}" srcOrd="0" destOrd="0" presId="urn:microsoft.com/office/officeart/2005/8/layout/pyramid2"/>
    <dgm:cxn modelId="{3F9C4902-C29B-450C-ACB4-0F1184738C8E}" type="presParOf" srcId="{6E1805F7-78A6-47D3-A5AF-D1DE39F30537}" destId="{826F09A6-CD4B-4E39-950D-2C874919A980}" srcOrd="1" destOrd="0" presId="urn:microsoft.com/office/officeart/2005/8/layout/pyramid2"/>
    <dgm:cxn modelId="{221569EE-70CF-40E5-86B0-82B655FED6E9}" type="presParOf" srcId="{6E1805F7-78A6-47D3-A5AF-D1DE39F30537}" destId="{E18CE2D9-C271-427D-B5E6-FC4C22BA9CB3}" srcOrd="2" destOrd="0" presId="urn:microsoft.com/office/officeart/2005/8/layout/pyramid2"/>
    <dgm:cxn modelId="{7FB30CD1-8E24-452E-9062-D61A61F3A54D}" type="presParOf" srcId="{6E1805F7-78A6-47D3-A5AF-D1DE39F30537}" destId="{D6102F0B-1FDF-4C00-8853-FC42A32A2B79}" srcOrd="3" destOrd="0" presId="urn:microsoft.com/office/officeart/2005/8/layout/pyramid2"/>
    <dgm:cxn modelId="{BBD04E1E-B5C1-46E8-86FF-38ACCC31BC4A}" type="presParOf" srcId="{6E1805F7-78A6-47D3-A5AF-D1DE39F30537}" destId="{C41F87F4-AD1F-4FC4-AA9C-E4BA4582E799}" srcOrd="4" destOrd="0" presId="urn:microsoft.com/office/officeart/2005/8/layout/pyramid2"/>
    <dgm:cxn modelId="{8389ECC5-12D4-442D-9E59-B5B5C40D954B}" type="presParOf" srcId="{6E1805F7-78A6-47D3-A5AF-D1DE39F30537}" destId="{DA0932C1-E9C3-48CF-903F-DC321F644F27}" srcOrd="5" destOrd="0" presId="urn:microsoft.com/office/officeart/2005/8/layout/pyramid2"/>
    <dgm:cxn modelId="{9DC1411A-5D8E-44D0-BBF9-73996641D392}" type="presParOf" srcId="{6E1805F7-78A6-47D3-A5AF-D1DE39F30537}" destId="{00C6621C-94F3-45D7-B3B8-3D6FD3C8F9F6}" srcOrd="6" destOrd="0" presId="urn:microsoft.com/office/officeart/2005/8/layout/pyramid2"/>
    <dgm:cxn modelId="{E9B85646-A155-4A74-AE5A-E46195871CC2}" type="presParOf" srcId="{6E1805F7-78A6-47D3-A5AF-D1DE39F30537}" destId="{006772CB-3BEB-46EF-8166-6FF009ACD167}" srcOrd="7" destOrd="0" presId="urn:microsoft.com/office/officeart/2005/8/layout/pyramid2"/>
    <dgm:cxn modelId="{E4ED02E7-89FE-41B5-9335-73F68B4C175D}" type="presParOf" srcId="{6E1805F7-78A6-47D3-A5AF-D1DE39F30537}" destId="{BDAD9BE1-0DFB-4A0C-9CE7-B030421F8687}" srcOrd="8" destOrd="0" presId="urn:microsoft.com/office/officeart/2005/8/layout/pyramid2"/>
    <dgm:cxn modelId="{C15E731F-F83F-4AC1-BF96-86F86701E243}" type="presParOf" srcId="{6E1805F7-78A6-47D3-A5AF-D1DE39F30537}" destId="{BBCDFEBF-C667-495A-9E20-5FFD8DBD14AD}" srcOrd="9"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4C28F0-B1F9-4EC4-8584-8B48416B2F3A}" type="doc">
      <dgm:prSet loTypeId="urn:microsoft.com/office/officeart/2005/8/layout/hProcess4" loCatId="process" qsTypeId="urn:microsoft.com/office/officeart/2005/8/quickstyle/3d3" qsCatId="3D" csTypeId="urn:microsoft.com/office/officeart/2005/8/colors/colorful1#1" csCatId="colorful" phldr="1"/>
      <dgm:spPr/>
      <dgm:t>
        <a:bodyPr/>
        <a:lstStyle/>
        <a:p>
          <a:endParaRPr lang="ru-RU"/>
        </a:p>
      </dgm:t>
    </dgm:pt>
    <dgm:pt modelId="{DF159631-D612-4DD6-B67D-AF7081F5B49A}">
      <dgm:prSet phldrT="[Текст]" custT="1"/>
      <dgm:spPr/>
      <dgm:t>
        <a:bodyPr/>
        <a:lstStyle/>
        <a:p>
          <a:r>
            <a:rPr lang="ru-RU" sz="1100" b="1" i="1">
              <a:latin typeface="Times New Roman" panose="02020603050405020304" pitchFamily="18" charset="0"/>
              <a:cs typeface="Times New Roman" panose="02020603050405020304" pitchFamily="18" charset="0"/>
            </a:rPr>
            <a:t>привлечение ресурсов</a:t>
          </a:r>
        </a:p>
      </dgm:t>
    </dgm:pt>
    <dgm:pt modelId="{90B30E67-0C99-4CD6-8716-0EFDCD6EF887}" type="parTrans" cxnId="{A9519303-4295-4675-BD76-B5944C20D1B5}">
      <dgm:prSet/>
      <dgm:spPr/>
      <dgm:t>
        <a:bodyPr/>
        <a:lstStyle/>
        <a:p>
          <a:endParaRPr lang="ru-RU" sz="1100">
            <a:latin typeface="Times New Roman" panose="02020603050405020304" pitchFamily="18" charset="0"/>
            <a:cs typeface="Times New Roman" panose="02020603050405020304" pitchFamily="18" charset="0"/>
          </a:endParaRPr>
        </a:p>
      </dgm:t>
    </dgm:pt>
    <dgm:pt modelId="{C843A35F-6025-4C60-9015-8EACE2D635BD}" type="sibTrans" cxnId="{A9519303-4295-4675-BD76-B5944C20D1B5}">
      <dgm:prSet/>
      <dgm:spPr/>
      <dgm:t>
        <a:bodyPr/>
        <a:lstStyle/>
        <a:p>
          <a:endParaRPr lang="ru-RU" sz="1100">
            <a:latin typeface="Times New Roman" panose="02020603050405020304" pitchFamily="18" charset="0"/>
            <a:cs typeface="Times New Roman" panose="02020603050405020304" pitchFamily="18" charset="0"/>
          </a:endParaRPr>
        </a:p>
      </dgm:t>
    </dgm:pt>
    <dgm:pt modelId="{A615FEF6-EA84-4A78-944C-13B75EE800EC}">
      <dgm:prSet phldrT="[Текст]" custT="1"/>
      <dgm:spPr/>
      <dgm:t>
        <a:bodyPr/>
        <a:lstStyle/>
        <a:p>
          <a:r>
            <a:rPr lang="ru-RU" sz="1100">
              <a:latin typeface="Times New Roman" panose="02020603050405020304" pitchFamily="18" charset="0"/>
              <a:cs typeface="Times New Roman" panose="02020603050405020304" pitchFamily="18" charset="0"/>
            </a:rPr>
            <a:t>вклады</a:t>
          </a:r>
        </a:p>
      </dgm:t>
    </dgm:pt>
    <dgm:pt modelId="{7EB339DB-ECD9-4E40-BDFA-D0F6C2A7B777}" type="parTrans" cxnId="{F60AEDD0-5FA7-41A2-92C7-53900E57C827}">
      <dgm:prSet/>
      <dgm:spPr/>
      <dgm:t>
        <a:bodyPr/>
        <a:lstStyle/>
        <a:p>
          <a:endParaRPr lang="ru-RU" sz="1100">
            <a:latin typeface="Times New Roman" panose="02020603050405020304" pitchFamily="18" charset="0"/>
            <a:cs typeface="Times New Roman" panose="02020603050405020304" pitchFamily="18" charset="0"/>
          </a:endParaRPr>
        </a:p>
      </dgm:t>
    </dgm:pt>
    <dgm:pt modelId="{5B312EEB-9D9A-4D34-94AE-E1A5017FC655}" type="sibTrans" cxnId="{F60AEDD0-5FA7-41A2-92C7-53900E57C827}">
      <dgm:prSet/>
      <dgm:spPr/>
      <dgm:t>
        <a:bodyPr/>
        <a:lstStyle/>
        <a:p>
          <a:endParaRPr lang="ru-RU" sz="1100">
            <a:latin typeface="Times New Roman" panose="02020603050405020304" pitchFamily="18" charset="0"/>
            <a:cs typeface="Times New Roman" panose="02020603050405020304" pitchFamily="18" charset="0"/>
          </a:endParaRPr>
        </a:p>
      </dgm:t>
    </dgm:pt>
    <dgm:pt modelId="{0BFDFA26-990B-43E9-B287-99CE0BF02C3B}">
      <dgm:prSet phldrT="[Текст]" custT="1"/>
      <dgm:spPr/>
      <dgm:t>
        <a:bodyPr/>
        <a:lstStyle/>
        <a:p>
          <a:r>
            <a:rPr lang="ru-RU" sz="1100">
              <a:latin typeface="Times New Roman" panose="02020603050405020304" pitchFamily="18" charset="0"/>
              <a:cs typeface="Times New Roman" panose="02020603050405020304" pitchFamily="18" charset="0"/>
            </a:rPr>
            <a:t>эмитированные ценные бумаги</a:t>
          </a:r>
        </a:p>
      </dgm:t>
    </dgm:pt>
    <dgm:pt modelId="{D584FA57-DA0C-4137-9C5A-F859DF09C64E}" type="parTrans" cxnId="{BCB406EB-F854-450F-8A36-B66FAB968CA8}">
      <dgm:prSet/>
      <dgm:spPr/>
      <dgm:t>
        <a:bodyPr/>
        <a:lstStyle/>
        <a:p>
          <a:endParaRPr lang="ru-RU" sz="1100">
            <a:latin typeface="Times New Roman" panose="02020603050405020304" pitchFamily="18" charset="0"/>
            <a:cs typeface="Times New Roman" panose="02020603050405020304" pitchFamily="18" charset="0"/>
          </a:endParaRPr>
        </a:p>
      </dgm:t>
    </dgm:pt>
    <dgm:pt modelId="{39542348-5780-45E6-B015-24E3EBA971ED}" type="sibTrans" cxnId="{BCB406EB-F854-450F-8A36-B66FAB968CA8}">
      <dgm:prSet/>
      <dgm:spPr/>
      <dgm:t>
        <a:bodyPr/>
        <a:lstStyle/>
        <a:p>
          <a:endParaRPr lang="ru-RU" sz="1100">
            <a:latin typeface="Times New Roman" panose="02020603050405020304" pitchFamily="18" charset="0"/>
            <a:cs typeface="Times New Roman" panose="02020603050405020304" pitchFamily="18" charset="0"/>
          </a:endParaRPr>
        </a:p>
      </dgm:t>
    </dgm:pt>
    <dgm:pt modelId="{19A6DFF6-2EE8-4A90-87DE-B87386E62874}">
      <dgm:prSet phldrT="[Текст]" custT="1"/>
      <dgm:spPr/>
      <dgm:t>
        <a:bodyPr/>
        <a:lstStyle/>
        <a:p>
          <a:r>
            <a:rPr lang="ru-RU" sz="1100" b="1" i="1">
              <a:latin typeface="Times New Roman" panose="02020603050405020304" pitchFamily="18" charset="0"/>
              <a:cs typeface="Times New Roman" panose="02020603050405020304" pitchFamily="18" charset="0"/>
            </a:rPr>
            <a:t>аккумулирование ресурсов</a:t>
          </a:r>
        </a:p>
      </dgm:t>
    </dgm:pt>
    <dgm:pt modelId="{F6A5C09A-71BC-43A7-A9E2-33D9C9C51E3F}" type="parTrans" cxnId="{62F4D8CB-1A74-44F0-BB8C-2CD219AE7D60}">
      <dgm:prSet/>
      <dgm:spPr/>
      <dgm:t>
        <a:bodyPr/>
        <a:lstStyle/>
        <a:p>
          <a:endParaRPr lang="ru-RU" sz="1100">
            <a:latin typeface="Times New Roman" panose="02020603050405020304" pitchFamily="18" charset="0"/>
            <a:cs typeface="Times New Roman" panose="02020603050405020304" pitchFamily="18" charset="0"/>
          </a:endParaRPr>
        </a:p>
      </dgm:t>
    </dgm:pt>
    <dgm:pt modelId="{14126C2F-DD54-47DB-85BB-17038B4C849E}" type="sibTrans" cxnId="{62F4D8CB-1A74-44F0-BB8C-2CD219AE7D60}">
      <dgm:prSet/>
      <dgm:spPr/>
      <dgm:t>
        <a:bodyPr/>
        <a:lstStyle/>
        <a:p>
          <a:endParaRPr lang="ru-RU" sz="1100">
            <a:latin typeface="Times New Roman" panose="02020603050405020304" pitchFamily="18" charset="0"/>
            <a:cs typeface="Times New Roman" panose="02020603050405020304" pitchFamily="18" charset="0"/>
          </a:endParaRPr>
        </a:p>
      </dgm:t>
    </dgm:pt>
    <dgm:pt modelId="{8C5DC0BB-EC59-49AA-850E-A1DC3E677CD4}">
      <dgm:prSet phldrT="[Текст]" custT="1"/>
      <dgm:spPr/>
      <dgm:t>
        <a:bodyPr/>
        <a:lstStyle/>
        <a:p>
          <a:r>
            <a:rPr lang="ru-RU" sz="1100">
              <a:latin typeface="Times New Roman" panose="02020603050405020304" pitchFamily="18" charset="0"/>
              <a:cs typeface="Times New Roman" panose="02020603050405020304" pitchFamily="18" charset="0"/>
            </a:rPr>
            <a:t>формирование диверсифицированного фонда денежных средств с учетом их срочности</a:t>
          </a:r>
        </a:p>
      </dgm:t>
    </dgm:pt>
    <dgm:pt modelId="{662BAD0E-8078-430D-AC88-2F949BF5764B}" type="parTrans" cxnId="{7AC8AE93-3A09-412D-98CA-6BC14D0E4AB7}">
      <dgm:prSet/>
      <dgm:spPr/>
      <dgm:t>
        <a:bodyPr/>
        <a:lstStyle/>
        <a:p>
          <a:endParaRPr lang="ru-RU" sz="1100">
            <a:latin typeface="Times New Roman" panose="02020603050405020304" pitchFamily="18" charset="0"/>
            <a:cs typeface="Times New Roman" panose="02020603050405020304" pitchFamily="18" charset="0"/>
          </a:endParaRPr>
        </a:p>
      </dgm:t>
    </dgm:pt>
    <dgm:pt modelId="{E29C8520-BEE0-4390-A592-7D176B90FD93}" type="sibTrans" cxnId="{7AC8AE93-3A09-412D-98CA-6BC14D0E4AB7}">
      <dgm:prSet/>
      <dgm:spPr/>
      <dgm:t>
        <a:bodyPr/>
        <a:lstStyle/>
        <a:p>
          <a:endParaRPr lang="ru-RU" sz="1100">
            <a:latin typeface="Times New Roman" panose="02020603050405020304" pitchFamily="18" charset="0"/>
            <a:cs typeface="Times New Roman" panose="02020603050405020304" pitchFamily="18" charset="0"/>
          </a:endParaRPr>
        </a:p>
      </dgm:t>
    </dgm:pt>
    <dgm:pt modelId="{E7FF4240-5DEB-45F8-89C7-ACF04D5222B7}">
      <dgm:prSet phldrT="[Текст]" custT="1"/>
      <dgm:spPr/>
      <dgm:t>
        <a:bodyPr/>
        <a:lstStyle/>
        <a:p>
          <a:r>
            <a:rPr lang="ru-RU" sz="1100" b="1" i="1">
              <a:latin typeface="Times New Roman" panose="02020603050405020304" pitchFamily="18" charset="0"/>
              <a:cs typeface="Times New Roman" panose="02020603050405020304" pitchFamily="18" charset="0"/>
            </a:rPr>
            <a:t>финансирование активных операций</a:t>
          </a:r>
        </a:p>
      </dgm:t>
    </dgm:pt>
    <dgm:pt modelId="{D6918C35-8AEE-4DDE-B910-69BCBF5426C4}" type="parTrans" cxnId="{59DEEEF7-2CBC-4073-97A9-67D6AC8A3376}">
      <dgm:prSet/>
      <dgm:spPr/>
      <dgm:t>
        <a:bodyPr/>
        <a:lstStyle/>
        <a:p>
          <a:endParaRPr lang="ru-RU" sz="1100">
            <a:latin typeface="Times New Roman" panose="02020603050405020304" pitchFamily="18" charset="0"/>
            <a:cs typeface="Times New Roman" panose="02020603050405020304" pitchFamily="18" charset="0"/>
          </a:endParaRPr>
        </a:p>
      </dgm:t>
    </dgm:pt>
    <dgm:pt modelId="{45485E55-2F20-48D8-8327-E9A8EFA6245E}" type="sibTrans" cxnId="{59DEEEF7-2CBC-4073-97A9-67D6AC8A3376}">
      <dgm:prSet/>
      <dgm:spPr/>
      <dgm:t>
        <a:bodyPr/>
        <a:lstStyle/>
        <a:p>
          <a:endParaRPr lang="ru-RU" sz="1100">
            <a:latin typeface="Times New Roman" panose="02020603050405020304" pitchFamily="18" charset="0"/>
            <a:cs typeface="Times New Roman" panose="02020603050405020304" pitchFamily="18" charset="0"/>
          </a:endParaRPr>
        </a:p>
      </dgm:t>
    </dgm:pt>
    <dgm:pt modelId="{9363181D-45FE-40D9-AA29-EF4543FA9AA1}">
      <dgm:prSet phldrT="[Текст]" custT="1"/>
      <dgm:spPr/>
      <dgm:t>
        <a:bodyPr/>
        <a:lstStyle/>
        <a:p>
          <a:r>
            <a:rPr lang="ru-RU" sz="1100">
              <a:latin typeface="Times New Roman" panose="02020603050405020304" pitchFamily="18" charset="0"/>
              <a:cs typeface="Times New Roman" panose="02020603050405020304" pitchFamily="18" charset="0"/>
            </a:rPr>
            <a:t>инвестиционная деятельность</a:t>
          </a:r>
        </a:p>
      </dgm:t>
    </dgm:pt>
    <dgm:pt modelId="{82BD690C-F8FB-4485-A31B-A8B711763376}" type="parTrans" cxnId="{AF94503C-B0CC-45C1-8C23-B4CDB5069748}">
      <dgm:prSet/>
      <dgm:spPr/>
      <dgm:t>
        <a:bodyPr/>
        <a:lstStyle/>
        <a:p>
          <a:endParaRPr lang="ru-RU" sz="1100">
            <a:latin typeface="Times New Roman" panose="02020603050405020304" pitchFamily="18" charset="0"/>
            <a:cs typeface="Times New Roman" panose="02020603050405020304" pitchFamily="18" charset="0"/>
          </a:endParaRPr>
        </a:p>
      </dgm:t>
    </dgm:pt>
    <dgm:pt modelId="{A9E4A538-CB6F-450C-810B-428EE847B948}" type="sibTrans" cxnId="{AF94503C-B0CC-45C1-8C23-B4CDB5069748}">
      <dgm:prSet/>
      <dgm:spPr/>
      <dgm:t>
        <a:bodyPr/>
        <a:lstStyle/>
        <a:p>
          <a:endParaRPr lang="ru-RU" sz="1100">
            <a:latin typeface="Times New Roman" panose="02020603050405020304" pitchFamily="18" charset="0"/>
            <a:cs typeface="Times New Roman" panose="02020603050405020304" pitchFamily="18" charset="0"/>
          </a:endParaRPr>
        </a:p>
      </dgm:t>
    </dgm:pt>
    <dgm:pt modelId="{450E611C-FDF0-4C03-895A-7FFCB9CF6779}">
      <dgm:prSet phldrT="[Текст]" custT="1"/>
      <dgm:spPr/>
      <dgm:t>
        <a:bodyPr/>
        <a:lstStyle/>
        <a:p>
          <a:r>
            <a:rPr lang="ru-RU" sz="1100">
              <a:latin typeface="Times New Roman" panose="02020603050405020304" pitchFamily="18" charset="0"/>
              <a:cs typeface="Times New Roman" panose="02020603050405020304" pitchFamily="18" charset="0"/>
            </a:rPr>
            <a:t>выдача кредитов</a:t>
          </a:r>
        </a:p>
      </dgm:t>
    </dgm:pt>
    <dgm:pt modelId="{2CF0D9EC-9A18-4902-B6EB-8A398E5B6688}" type="parTrans" cxnId="{261E84CF-A850-41A5-AFE8-D42B00F4F014}">
      <dgm:prSet/>
      <dgm:spPr/>
      <dgm:t>
        <a:bodyPr/>
        <a:lstStyle/>
        <a:p>
          <a:endParaRPr lang="ru-RU" sz="1100">
            <a:latin typeface="Times New Roman" panose="02020603050405020304" pitchFamily="18" charset="0"/>
            <a:cs typeface="Times New Roman" panose="02020603050405020304" pitchFamily="18" charset="0"/>
          </a:endParaRPr>
        </a:p>
      </dgm:t>
    </dgm:pt>
    <dgm:pt modelId="{60D384FC-FDA1-4736-8224-459365E6801D}" type="sibTrans" cxnId="{261E84CF-A850-41A5-AFE8-D42B00F4F014}">
      <dgm:prSet/>
      <dgm:spPr/>
      <dgm:t>
        <a:bodyPr/>
        <a:lstStyle/>
        <a:p>
          <a:endParaRPr lang="ru-RU" sz="1100">
            <a:latin typeface="Times New Roman" panose="02020603050405020304" pitchFamily="18" charset="0"/>
            <a:cs typeface="Times New Roman" panose="02020603050405020304" pitchFamily="18" charset="0"/>
          </a:endParaRPr>
        </a:p>
      </dgm:t>
    </dgm:pt>
    <dgm:pt modelId="{7A586B7F-8B36-47EC-B541-2FC85CAC3284}">
      <dgm:prSet phldrT="[Текст]" custT="1"/>
      <dgm:spPr/>
      <dgm:t>
        <a:bodyPr/>
        <a:lstStyle/>
        <a:p>
          <a:r>
            <a:rPr lang="ru-RU" sz="1100">
              <a:latin typeface="Times New Roman" panose="02020603050405020304" pitchFamily="18" charset="0"/>
              <a:cs typeface="Times New Roman" panose="02020603050405020304" pitchFamily="18" charset="0"/>
            </a:rPr>
            <a:t>межбанковские займы и др.</a:t>
          </a:r>
        </a:p>
      </dgm:t>
    </dgm:pt>
    <dgm:pt modelId="{27518F9B-67C4-4A40-BC3B-D2B24F3E569D}" type="parTrans" cxnId="{8E126737-12F7-42FD-BDF8-E16DEE8DDC5D}">
      <dgm:prSet/>
      <dgm:spPr/>
      <dgm:t>
        <a:bodyPr/>
        <a:lstStyle/>
        <a:p>
          <a:endParaRPr lang="ru-RU" sz="1100">
            <a:latin typeface="Times New Roman" panose="02020603050405020304" pitchFamily="18" charset="0"/>
            <a:cs typeface="Times New Roman" panose="02020603050405020304" pitchFamily="18" charset="0"/>
          </a:endParaRPr>
        </a:p>
      </dgm:t>
    </dgm:pt>
    <dgm:pt modelId="{FF3A064B-A705-4AE9-A2C1-87888890F118}" type="sibTrans" cxnId="{8E126737-12F7-42FD-BDF8-E16DEE8DDC5D}">
      <dgm:prSet/>
      <dgm:spPr/>
      <dgm:t>
        <a:bodyPr/>
        <a:lstStyle/>
        <a:p>
          <a:endParaRPr lang="ru-RU" sz="1100">
            <a:latin typeface="Times New Roman" panose="02020603050405020304" pitchFamily="18" charset="0"/>
            <a:cs typeface="Times New Roman" panose="02020603050405020304" pitchFamily="18" charset="0"/>
          </a:endParaRPr>
        </a:p>
      </dgm:t>
    </dgm:pt>
    <dgm:pt modelId="{4205EEB2-C79E-41E6-9611-C90B36C9CF73}">
      <dgm:prSet phldrT="[Текст]" custT="1"/>
      <dgm:spPr/>
      <dgm:t>
        <a:bodyPr/>
        <a:lstStyle/>
        <a:p>
          <a:r>
            <a:rPr lang="ru-RU" sz="1100">
              <a:latin typeface="Times New Roman" panose="02020603050405020304" pitchFamily="18" charset="0"/>
              <a:cs typeface="Times New Roman" panose="02020603050405020304" pitchFamily="18" charset="0"/>
            </a:rPr>
            <a:t>лизинговые операции и т.п.</a:t>
          </a:r>
        </a:p>
      </dgm:t>
    </dgm:pt>
    <dgm:pt modelId="{3F83EC1B-228E-469B-B56F-F802112D2FAD}" type="parTrans" cxnId="{EC89F511-B0A8-48F6-A893-AB72534A5042}">
      <dgm:prSet/>
      <dgm:spPr/>
      <dgm:t>
        <a:bodyPr/>
        <a:lstStyle/>
        <a:p>
          <a:endParaRPr lang="ru-RU" sz="1100">
            <a:latin typeface="Times New Roman" panose="02020603050405020304" pitchFamily="18" charset="0"/>
            <a:cs typeface="Times New Roman" panose="02020603050405020304" pitchFamily="18" charset="0"/>
          </a:endParaRPr>
        </a:p>
      </dgm:t>
    </dgm:pt>
    <dgm:pt modelId="{BD1560BB-83BF-468A-BFB8-8E57B5DA9C18}" type="sibTrans" cxnId="{EC89F511-B0A8-48F6-A893-AB72534A5042}">
      <dgm:prSet/>
      <dgm:spPr/>
      <dgm:t>
        <a:bodyPr/>
        <a:lstStyle/>
        <a:p>
          <a:endParaRPr lang="ru-RU" sz="1100">
            <a:latin typeface="Times New Roman" panose="02020603050405020304" pitchFamily="18" charset="0"/>
            <a:cs typeface="Times New Roman" panose="02020603050405020304" pitchFamily="18" charset="0"/>
          </a:endParaRPr>
        </a:p>
      </dgm:t>
    </dgm:pt>
    <dgm:pt modelId="{AFF064FF-6D9B-46DA-8570-8926C5EC3F94}" type="pres">
      <dgm:prSet presAssocID="{F94C28F0-B1F9-4EC4-8584-8B48416B2F3A}" presName="Name0" presStyleCnt="0">
        <dgm:presLayoutVars>
          <dgm:dir/>
          <dgm:animLvl val="lvl"/>
          <dgm:resizeHandles val="exact"/>
        </dgm:presLayoutVars>
      </dgm:prSet>
      <dgm:spPr/>
      <dgm:t>
        <a:bodyPr/>
        <a:lstStyle/>
        <a:p>
          <a:endParaRPr lang="ru-RU"/>
        </a:p>
      </dgm:t>
    </dgm:pt>
    <dgm:pt modelId="{E4A5AD02-7ED4-4ED2-8E2D-5F44FFE5EAB4}" type="pres">
      <dgm:prSet presAssocID="{F94C28F0-B1F9-4EC4-8584-8B48416B2F3A}" presName="tSp" presStyleCnt="0"/>
      <dgm:spPr/>
    </dgm:pt>
    <dgm:pt modelId="{A292755A-51DA-4DEA-905F-340C4621863E}" type="pres">
      <dgm:prSet presAssocID="{F94C28F0-B1F9-4EC4-8584-8B48416B2F3A}" presName="bSp" presStyleCnt="0"/>
      <dgm:spPr/>
    </dgm:pt>
    <dgm:pt modelId="{6709405C-7B24-4E8F-B2BC-863227CAA796}" type="pres">
      <dgm:prSet presAssocID="{F94C28F0-B1F9-4EC4-8584-8B48416B2F3A}" presName="process" presStyleCnt="0"/>
      <dgm:spPr/>
    </dgm:pt>
    <dgm:pt modelId="{AE1BE3FF-EA18-4C3F-8BDD-114AA22576B9}" type="pres">
      <dgm:prSet presAssocID="{DF159631-D612-4DD6-B67D-AF7081F5B49A}" presName="composite1" presStyleCnt="0"/>
      <dgm:spPr/>
    </dgm:pt>
    <dgm:pt modelId="{1DDF48F3-2148-4365-9442-24EA56596A1C}" type="pres">
      <dgm:prSet presAssocID="{DF159631-D612-4DD6-B67D-AF7081F5B49A}" presName="dummyNode1" presStyleLbl="node1" presStyleIdx="0" presStyleCnt="3"/>
      <dgm:spPr/>
    </dgm:pt>
    <dgm:pt modelId="{183CA54D-2BCA-4004-8179-9E850A7B866F}" type="pres">
      <dgm:prSet presAssocID="{DF159631-D612-4DD6-B67D-AF7081F5B49A}" presName="childNode1" presStyleLbl="bgAcc1" presStyleIdx="0" presStyleCnt="3">
        <dgm:presLayoutVars>
          <dgm:bulletEnabled val="1"/>
        </dgm:presLayoutVars>
      </dgm:prSet>
      <dgm:spPr/>
      <dgm:t>
        <a:bodyPr/>
        <a:lstStyle/>
        <a:p>
          <a:endParaRPr lang="ru-RU"/>
        </a:p>
      </dgm:t>
    </dgm:pt>
    <dgm:pt modelId="{9CBB2AAF-8AD3-4D8F-A429-0BE6E5441E6A}" type="pres">
      <dgm:prSet presAssocID="{DF159631-D612-4DD6-B67D-AF7081F5B49A}" presName="childNode1tx" presStyleLbl="bgAcc1" presStyleIdx="0" presStyleCnt="3">
        <dgm:presLayoutVars>
          <dgm:bulletEnabled val="1"/>
        </dgm:presLayoutVars>
      </dgm:prSet>
      <dgm:spPr/>
      <dgm:t>
        <a:bodyPr/>
        <a:lstStyle/>
        <a:p>
          <a:endParaRPr lang="ru-RU"/>
        </a:p>
      </dgm:t>
    </dgm:pt>
    <dgm:pt modelId="{19EFEDEB-6086-4E6A-ABBA-B813A1DC5161}" type="pres">
      <dgm:prSet presAssocID="{DF159631-D612-4DD6-B67D-AF7081F5B49A}" presName="parentNode1" presStyleLbl="node1" presStyleIdx="0" presStyleCnt="3">
        <dgm:presLayoutVars>
          <dgm:chMax val="1"/>
          <dgm:bulletEnabled val="1"/>
        </dgm:presLayoutVars>
      </dgm:prSet>
      <dgm:spPr/>
      <dgm:t>
        <a:bodyPr/>
        <a:lstStyle/>
        <a:p>
          <a:endParaRPr lang="ru-RU"/>
        </a:p>
      </dgm:t>
    </dgm:pt>
    <dgm:pt modelId="{9508DCED-FB76-42E0-A24A-F59D6CB6A107}" type="pres">
      <dgm:prSet presAssocID="{DF159631-D612-4DD6-B67D-AF7081F5B49A}" presName="connSite1" presStyleCnt="0"/>
      <dgm:spPr/>
    </dgm:pt>
    <dgm:pt modelId="{70B9EACF-241D-4530-9C10-D6ACD5397113}" type="pres">
      <dgm:prSet presAssocID="{C843A35F-6025-4C60-9015-8EACE2D635BD}" presName="Name9" presStyleLbl="sibTrans2D1" presStyleIdx="0" presStyleCnt="2" custAng="20522479"/>
      <dgm:spPr/>
      <dgm:t>
        <a:bodyPr/>
        <a:lstStyle/>
        <a:p>
          <a:endParaRPr lang="ru-RU"/>
        </a:p>
      </dgm:t>
    </dgm:pt>
    <dgm:pt modelId="{6F5712F4-1D7E-45C8-9858-5A00FE3B8C2D}" type="pres">
      <dgm:prSet presAssocID="{19A6DFF6-2EE8-4A90-87DE-B87386E62874}" presName="composite2" presStyleCnt="0"/>
      <dgm:spPr/>
    </dgm:pt>
    <dgm:pt modelId="{6EFD2347-005E-44FC-95E5-34AAFF2D9164}" type="pres">
      <dgm:prSet presAssocID="{19A6DFF6-2EE8-4A90-87DE-B87386E62874}" presName="dummyNode2" presStyleLbl="node1" presStyleIdx="0" presStyleCnt="3"/>
      <dgm:spPr/>
    </dgm:pt>
    <dgm:pt modelId="{59B544C7-F6D0-4532-B634-79874A5BAA52}" type="pres">
      <dgm:prSet presAssocID="{19A6DFF6-2EE8-4A90-87DE-B87386E62874}" presName="childNode2" presStyleLbl="bgAcc1" presStyleIdx="1" presStyleCnt="3">
        <dgm:presLayoutVars>
          <dgm:bulletEnabled val="1"/>
        </dgm:presLayoutVars>
      </dgm:prSet>
      <dgm:spPr/>
      <dgm:t>
        <a:bodyPr/>
        <a:lstStyle/>
        <a:p>
          <a:endParaRPr lang="ru-RU"/>
        </a:p>
      </dgm:t>
    </dgm:pt>
    <dgm:pt modelId="{8A92EF6F-413C-4E9D-8BD6-E8AE43662C50}" type="pres">
      <dgm:prSet presAssocID="{19A6DFF6-2EE8-4A90-87DE-B87386E62874}" presName="childNode2tx" presStyleLbl="bgAcc1" presStyleIdx="1" presStyleCnt="3">
        <dgm:presLayoutVars>
          <dgm:bulletEnabled val="1"/>
        </dgm:presLayoutVars>
      </dgm:prSet>
      <dgm:spPr/>
      <dgm:t>
        <a:bodyPr/>
        <a:lstStyle/>
        <a:p>
          <a:endParaRPr lang="ru-RU"/>
        </a:p>
      </dgm:t>
    </dgm:pt>
    <dgm:pt modelId="{C6AFE9C7-D64B-4B82-81EB-BC96ECB43F22}" type="pres">
      <dgm:prSet presAssocID="{19A6DFF6-2EE8-4A90-87DE-B87386E62874}" presName="parentNode2" presStyleLbl="node1" presStyleIdx="1" presStyleCnt="3">
        <dgm:presLayoutVars>
          <dgm:chMax val="0"/>
          <dgm:bulletEnabled val="1"/>
        </dgm:presLayoutVars>
      </dgm:prSet>
      <dgm:spPr/>
      <dgm:t>
        <a:bodyPr/>
        <a:lstStyle/>
        <a:p>
          <a:endParaRPr lang="ru-RU"/>
        </a:p>
      </dgm:t>
    </dgm:pt>
    <dgm:pt modelId="{A50ACC6E-D0BB-4F5F-8661-EA1D7F2658CC}" type="pres">
      <dgm:prSet presAssocID="{19A6DFF6-2EE8-4A90-87DE-B87386E62874}" presName="connSite2" presStyleCnt="0"/>
      <dgm:spPr/>
    </dgm:pt>
    <dgm:pt modelId="{69D39A66-AAD6-4BAA-B8FC-C8EB9F62DFBD}" type="pres">
      <dgm:prSet presAssocID="{14126C2F-DD54-47DB-85BB-17038B4C849E}" presName="Name18" presStyleLbl="sibTrans2D1" presStyleIdx="1" presStyleCnt="2" custAng="921863"/>
      <dgm:spPr/>
      <dgm:t>
        <a:bodyPr/>
        <a:lstStyle/>
        <a:p>
          <a:endParaRPr lang="ru-RU"/>
        </a:p>
      </dgm:t>
    </dgm:pt>
    <dgm:pt modelId="{9479A085-4E88-41B2-8377-866A7A41FCA4}" type="pres">
      <dgm:prSet presAssocID="{E7FF4240-5DEB-45F8-89C7-ACF04D5222B7}" presName="composite1" presStyleCnt="0"/>
      <dgm:spPr/>
    </dgm:pt>
    <dgm:pt modelId="{C09DE630-11C6-4079-B4C7-2A974F377C34}" type="pres">
      <dgm:prSet presAssocID="{E7FF4240-5DEB-45F8-89C7-ACF04D5222B7}" presName="dummyNode1" presStyleLbl="node1" presStyleIdx="1" presStyleCnt="3"/>
      <dgm:spPr/>
    </dgm:pt>
    <dgm:pt modelId="{4EC00188-C856-49B5-B293-58EBC0CFEC00}" type="pres">
      <dgm:prSet presAssocID="{E7FF4240-5DEB-45F8-89C7-ACF04D5222B7}" presName="childNode1" presStyleLbl="bgAcc1" presStyleIdx="2" presStyleCnt="3">
        <dgm:presLayoutVars>
          <dgm:bulletEnabled val="1"/>
        </dgm:presLayoutVars>
      </dgm:prSet>
      <dgm:spPr/>
      <dgm:t>
        <a:bodyPr/>
        <a:lstStyle/>
        <a:p>
          <a:endParaRPr lang="ru-RU"/>
        </a:p>
      </dgm:t>
    </dgm:pt>
    <dgm:pt modelId="{B5F1CAC0-F17D-45A9-B01C-BBD6828F35EA}" type="pres">
      <dgm:prSet presAssocID="{E7FF4240-5DEB-45F8-89C7-ACF04D5222B7}" presName="childNode1tx" presStyleLbl="bgAcc1" presStyleIdx="2" presStyleCnt="3">
        <dgm:presLayoutVars>
          <dgm:bulletEnabled val="1"/>
        </dgm:presLayoutVars>
      </dgm:prSet>
      <dgm:spPr/>
      <dgm:t>
        <a:bodyPr/>
        <a:lstStyle/>
        <a:p>
          <a:endParaRPr lang="ru-RU"/>
        </a:p>
      </dgm:t>
    </dgm:pt>
    <dgm:pt modelId="{7B9F6096-E30A-4FC2-84C4-3AE258F54AFD}" type="pres">
      <dgm:prSet presAssocID="{E7FF4240-5DEB-45F8-89C7-ACF04D5222B7}" presName="parentNode1" presStyleLbl="node1" presStyleIdx="2" presStyleCnt="3">
        <dgm:presLayoutVars>
          <dgm:chMax val="1"/>
          <dgm:bulletEnabled val="1"/>
        </dgm:presLayoutVars>
      </dgm:prSet>
      <dgm:spPr/>
      <dgm:t>
        <a:bodyPr/>
        <a:lstStyle/>
        <a:p>
          <a:endParaRPr lang="ru-RU"/>
        </a:p>
      </dgm:t>
    </dgm:pt>
    <dgm:pt modelId="{21CAFB15-1A8C-4AB8-94BF-FC0594D88AB6}" type="pres">
      <dgm:prSet presAssocID="{E7FF4240-5DEB-45F8-89C7-ACF04D5222B7}" presName="connSite1" presStyleCnt="0"/>
      <dgm:spPr/>
    </dgm:pt>
  </dgm:ptLst>
  <dgm:cxnLst>
    <dgm:cxn modelId="{FBB0A646-697D-44B0-BAFD-0D55A8427901}" type="presOf" srcId="{DF159631-D612-4DD6-B67D-AF7081F5B49A}" destId="{19EFEDEB-6086-4E6A-ABBA-B813A1DC5161}" srcOrd="0" destOrd="0" presId="urn:microsoft.com/office/officeart/2005/8/layout/hProcess4"/>
    <dgm:cxn modelId="{62F4D8CB-1A74-44F0-BB8C-2CD219AE7D60}" srcId="{F94C28F0-B1F9-4EC4-8584-8B48416B2F3A}" destId="{19A6DFF6-2EE8-4A90-87DE-B87386E62874}" srcOrd="1" destOrd="0" parTransId="{F6A5C09A-71BC-43A7-A9E2-33D9C9C51E3F}" sibTransId="{14126C2F-DD54-47DB-85BB-17038B4C849E}"/>
    <dgm:cxn modelId="{BCB406EB-F854-450F-8A36-B66FAB968CA8}" srcId="{DF159631-D612-4DD6-B67D-AF7081F5B49A}" destId="{0BFDFA26-990B-43E9-B287-99CE0BF02C3B}" srcOrd="1" destOrd="0" parTransId="{D584FA57-DA0C-4137-9C5A-F859DF09C64E}" sibTransId="{39542348-5780-45E6-B015-24E3EBA971ED}"/>
    <dgm:cxn modelId="{27CA8202-A435-420E-875E-10BBC1388EEC}" type="presOf" srcId="{7A586B7F-8B36-47EC-B541-2FC85CAC3284}" destId="{9CBB2AAF-8AD3-4D8F-A429-0BE6E5441E6A}" srcOrd="1" destOrd="2" presId="urn:microsoft.com/office/officeart/2005/8/layout/hProcess4"/>
    <dgm:cxn modelId="{261E84CF-A850-41A5-AFE8-D42B00F4F014}" srcId="{E7FF4240-5DEB-45F8-89C7-ACF04D5222B7}" destId="{450E611C-FDF0-4C03-895A-7FFCB9CF6779}" srcOrd="1" destOrd="0" parTransId="{2CF0D9EC-9A18-4902-B6EB-8A398E5B6688}" sibTransId="{60D384FC-FDA1-4736-8224-459365E6801D}"/>
    <dgm:cxn modelId="{EC89F511-B0A8-48F6-A893-AB72534A5042}" srcId="{E7FF4240-5DEB-45F8-89C7-ACF04D5222B7}" destId="{4205EEB2-C79E-41E6-9611-C90B36C9CF73}" srcOrd="2" destOrd="0" parTransId="{3F83EC1B-228E-469B-B56F-F802112D2FAD}" sibTransId="{BD1560BB-83BF-468A-BFB8-8E57B5DA9C18}"/>
    <dgm:cxn modelId="{7605A4EA-CC8E-4A1E-9908-EBC29BCC7070}" type="presOf" srcId="{0BFDFA26-990B-43E9-B287-99CE0BF02C3B}" destId="{183CA54D-2BCA-4004-8179-9E850A7B866F}" srcOrd="0" destOrd="1" presId="urn:microsoft.com/office/officeart/2005/8/layout/hProcess4"/>
    <dgm:cxn modelId="{DFF28BBF-1495-4BE8-A696-BB3E850FC624}" type="presOf" srcId="{F94C28F0-B1F9-4EC4-8584-8B48416B2F3A}" destId="{AFF064FF-6D9B-46DA-8570-8926C5EC3F94}" srcOrd="0" destOrd="0" presId="urn:microsoft.com/office/officeart/2005/8/layout/hProcess4"/>
    <dgm:cxn modelId="{365F64B9-8C5C-4CB7-996F-121470B890B9}" type="presOf" srcId="{4205EEB2-C79E-41E6-9611-C90B36C9CF73}" destId="{4EC00188-C856-49B5-B293-58EBC0CFEC00}" srcOrd="0" destOrd="2" presId="urn:microsoft.com/office/officeart/2005/8/layout/hProcess4"/>
    <dgm:cxn modelId="{6DD0F6B0-4188-4F0C-BBD0-D470296CC9FA}" type="presOf" srcId="{9363181D-45FE-40D9-AA29-EF4543FA9AA1}" destId="{4EC00188-C856-49B5-B293-58EBC0CFEC00}" srcOrd="0" destOrd="0" presId="urn:microsoft.com/office/officeart/2005/8/layout/hProcess4"/>
    <dgm:cxn modelId="{3F70977E-3469-4F2A-8731-A23540D75B5E}" type="presOf" srcId="{9363181D-45FE-40D9-AA29-EF4543FA9AA1}" destId="{B5F1CAC0-F17D-45A9-B01C-BBD6828F35EA}" srcOrd="1" destOrd="0" presId="urn:microsoft.com/office/officeart/2005/8/layout/hProcess4"/>
    <dgm:cxn modelId="{7CE3974D-9B1E-4791-8A54-45A9293BC3A5}" type="presOf" srcId="{0BFDFA26-990B-43E9-B287-99CE0BF02C3B}" destId="{9CBB2AAF-8AD3-4D8F-A429-0BE6E5441E6A}" srcOrd="1" destOrd="1" presId="urn:microsoft.com/office/officeart/2005/8/layout/hProcess4"/>
    <dgm:cxn modelId="{CF65CEA5-50DE-4D0F-A06B-B58EAD66E771}" type="presOf" srcId="{8C5DC0BB-EC59-49AA-850E-A1DC3E677CD4}" destId="{8A92EF6F-413C-4E9D-8BD6-E8AE43662C50}" srcOrd="1" destOrd="0" presId="urn:microsoft.com/office/officeart/2005/8/layout/hProcess4"/>
    <dgm:cxn modelId="{AF94503C-B0CC-45C1-8C23-B4CDB5069748}" srcId="{E7FF4240-5DEB-45F8-89C7-ACF04D5222B7}" destId="{9363181D-45FE-40D9-AA29-EF4543FA9AA1}" srcOrd="0" destOrd="0" parTransId="{82BD690C-F8FB-4485-A31B-A8B711763376}" sibTransId="{A9E4A538-CB6F-450C-810B-428EE847B948}"/>
    <dgm:cxn modelId="{5B4608F0-2B46-4996-A0A0-213D7D411049}" type="presOf" srcId="{4205EEB2-C79E-41E6-9611-C90B36C9CF73}" destId="{B5F1CAC0-F17D-45A9-B01C-BBD6828F35EA}" srcOrd="1" destOrd="2" presId="urn:microsoft.com/office/officeart/2005/8/layout/hProcess4"/>
    <dgm:cxn modelId="{353ED2F4-ED2F-4DAD-9E03-06ED155C99C8}" type="presOf" srcId="{8C5DC0BB-EC59-49AA-850E-A1DC3E677CD4}" destId="{59B544C7-F6D0-4532-B634-79874A5BAA52}" srcOrd="0" destOrd="0" presId="urn:microsoft.com/office/officeart/2005/8/layout/hProcess4"/>
    <dgm:cxn modelId="{A9519303-4295-4675-BD76-B5944C20D1B5}" srcId="{F94C28F0-B1F9-4EC4-8584-8B48416B2F3A}" destId="{DF159631-D612-4DD6-B67D-AF7081F5B49A}" srcOrd="0" destOrd="0" parTransId="{90B30E67-0C99-4CD6-8716-0EFDCD6EF887}" sibTransId="{C843A35F-6025-4C60-9015-8EACE2D635BD}"/>
    <dgm:cxn modelId="{7AC8AE93-3A09-412D-98CA-6BC14D0E4AB7}" srcId="{19A6DFF6-2EE8-4A90-87DE-B87386E62874}" destId="{8C5DC0BB-EC59-49AA-850E-A1DC3E677CD4}" srcOrd="0" destOrd="0" parTransId="{662BAD0E-8078-430D-AC88-2F949BF5764B}" sibTransId="{E29C8520-BEE0-4390-A592-7D176B90FD93}"/>
    <dgm:cxn modelId="{E733A844-6164-4191-BFE6-94EBDD095524}" type="presOf" srcId="{14126C2F-DD54-47DB-85BB-17038B4C849E}" destId="{69D39A66-AAD6-4BAA-B8FC-C8EB9F62DFBD}" srcOrd="0" destOrd="0" presId="urn:microsoft.com/office/officeart/2005/8/layout/hProcess4"/>
    <dgm:cxn modelId="{B43EB988-395B-4326-BEE5-D2154382E549}" type="presOf" srcId="{A615FEF6-EA84-4A78-944C-13B75EE800EC}" destId="{183CA54D-2BCA-4004-8179-9E850A7B866F}" srcOrd="0" destOrd="0" presId="urn:microsoft.com/office/officeart/2005/8/layout/hProcess4"/>
    <dgm:cxn modelId="{59DEEEF7-2CBC-4073-97A9-67D6AC8A3376}" srcId="{F94C28F0-B1F9-4EC4-8584-8B48416B2F3A}" destId="{E7FF4240-5DEB-45F8-89C7-ACF04D5222B7}" srcOrd="2" destOrd="0" parTransId="{D6918C35-8AEE-4DDE-B910-69BCBF5426C4}" sibTransId="{45485E55-2F20-48D8-8327-E9A8EFA6245E}"/>
    <dgm:cxn modelId="{4B894CBC-AA5C-44ED-B3C4-AD8EEB84C39D}" type="presOf" srcId="{A615FEF6-EA84-4A78-944C-13B75EE800EC}" destId="{9CBB2AAF-8AD3-4D8F-A429-0BE6E5441E6A}" srcOrd="1" destOrd="0" presId="urn:microsoft.com/office/officeart/2005/8/layout/hProcess4"/>
    <dgm:cxn modelId="{9CDE096A-F28E-4776-9036-C3CA075CF050}" type="presOf" srcId="{7A586B7F-8B36-47EC-B541-2FC85CAC3284}" destId="{183CA54D-2BCA-4004-8179-9E850A7B866F}" srcOrd="0" destOrd="2" presId="urn:microsoft.com/office/officeart/2005/8/layout/hProcess4"/>
    <dgm:cxn modelId="{34ACBF64-56C7-446B-AC28-173DFED55592}" type="presOf" srcId="{450E611C-FDF0-4C03-895A-7FFCB9CF6779}" destId="{B5F1CAC0-F17D-45A9-B01C-BBD6828F35EA}" srcOrd="1" destOrd="1" presId="urn:microsoft.com/office/officeart/2005/8/layout/hProcess4"/>
    <dgm:cxn modelId="{FEAA0DE9-A836-4257-A4AA-841865882868}" type="presOf" srcId="{19A6DFF6-2EE8-4A90-87DE-B87386E62874}" destId="{C6AFE9C7-D64B-4B82-81EB-BC96ECB43F22}" srcOrd="0" destOrd="0" presId="urn:microsoft.com/office/officeart/2005/8/layout/hProcess4"/>
    <dgm:cxn modelId="{F60AEDD0-5FA7-41A2-92C7-53900E57C827}" srcId="{DF159631-D612-4DD6-B67D-AF7081F5B49A}" destId="{A615FEF6-EA84-4A78-944C-13B75EE800EC}" srcOrd="0" destOrd="0" parTransId="{7EB339DB-ECD9-4E40-BDFA-D0F6C2A7B777}" sibTransId="{5B312EEB-9D9A-4D34-94AE-E1A5017FC655}"/>
    <dgm:cxn modelId="{8E126737-12F7-42FD-BDF8-E16DEE8DDC5D}" srcId="{DF159631-D612-4DD6-B67D-AF7081F5B49A}" destId="{7A586B7F-8B36-47EC-B541-2FC85CAC3284}" srcOrd="2" destOrd="0" parTransId="{27518F9B-67C4-4A40-BC3B-D2B24F3E569D}" sibTransId="{FF3A064B-A705-4AE9-A2C1-87888890F118}"/>
    <dgm:cxn modelId="{7FDCCCA6-F0A3-48C7-9ECC-A2670127B840}" type="presOf" srcId="{450E611C-FDF0-4C03-895A-7FFCB9CF6779}" destId="{4EC00188-C856-49B5-B293-58EBC0CFEC00}" srcOrd="0" destOrd="1" presId="urn:microsoft.com/office/officeart/2005/8/layout/hProcess4"/>
    <dgm:cxn modelId="{B6CE3AAC-9033-406E-A6C3-44EC85C50907}" type="presOf" srcId="{E7FF4240-5DEB-45F8-89C7-ACF04D5222B7}" destId="{7B9F6096-E30A-4FC2-84C4-3AE258F54AFD}" srcOrd="0" destOrd="0" presId="urn:microsoft.com/office/officeart/2005/8/layout/hProcess4"/>
    <dgm:cxn modelId="{2CEC7BFC-5209-47DA-ABA5-7B8F9969E05B}" type="presOf" srcId="{C843A35F-6025-4C60-9015-8EACE2D635BD}" destId="{70B9EACF-241D-4530-9C10-D6ACD5397113}" srcOrd="0" destOrd="0" presId="urn:microsoft.com/office/officeart/2005/8/layout/hProcess4"/>
    <dgm:cxn modelId="{627DA2B0-0CBD-46E6-A111-55819F7D3073}" type="presParOf" srcId="{AFF064FF-6D9B-46DA-8570-8926C5EC3F94}" destId="{E4A5AD02-7ED4-4ED2-8E2D-5F44FFE5EAB4}" srcOrd="0" destOrd="0" presId="urn:microsoft.com/office/officeart/2005/8/layout/hProcess4"/>
    <dgm:cxn modelId="{C141403A-D31A-4BA0-97AC-F85AA9509F29}" type="presParOf" srcId="{AFF064FF-6D9B-46DA-8570-8926C5EC3F94}" destId="{A292755A-51DA-4DEA-905F-340C4621863E}" srcOrd="1" destOrd="0" presId="urn:microsoft.com/office/officeart/2005/8/layout/hProcess4"/>
    <dgm:cxn modelId="{932E7582-C65E-4C2C-AC4C-5585C33509F5}" type="presParOf" srcId="{AFF064FF-6D9B-46DA-8570-8926C5EC3F94}" destId="{6709405C-7B24-4E8F-B2BC-863227CAA796}" srcOrd="2" destOrd="0" presId="urn:microsoft.com/office/officeart/2005/8/layout/hProcess4"/>
    <dgm:cxn modelId="{9BE70C54-0D16-4254-BB37-D354B01DBC5D}" type="presParOf" srcId="{6709405C-7B24-4E8F-B2BC-863227CAA796}" destId="{AE1BE3FF-EA18-4C3F-8BDD-114AA22576B9}" srcOrd="0" destOrd="0" presId="urn:microsoft.com/office/officeart/2005/8/layout/hProcess4"/>
    <dgm:cxn modelId="{9E5C794C-0FE1-4D81-8205-155E9053E497}" type="presParOf" srcId="{AE1BE3FF-EA18-4C3F-8BDD-114AA22576B9}" destId="{1DDF48F3-2148-4365-9442-24EA56596A1C}" srcOrd="0" destOrd="0" presId="urn:microsoft.com/office/officeart/2005/8/layout/hProcess4"/>
    <dgm:cxn modelId="{57710978-D8CD-479E-BDA9-1F8F6B255ABF}" type="presParOf" srcId="{AE1BE3FF-EA18-4C3F-8BDD-114AA22576B9}" destId="{183CA54D-2BCA-4004-8179-9E850A7B866F}" srcOrd="1" destOrd="0" presId="urn:microsoft.com/office/officeart/2005/8/layout/hProcess4"/>
    <dgm:cxn modelId="{3AF5C7E1-E9CF-42E5-98EF-FF69E6DEE650}" type="presParOf" srcId="{AE1BE3FF-EA18-4C3F-8BDD-114AA22576B9}" destId="{9CBB2AAF-8AD3-4D8F-A429-0BE6E5441E6A}" srcOrd="2" destOrd="0" presId="urn:microsoft.com/office/officeart/2005/8/layout/hProcess4"/>
    <dgm:cxn modelId="{CD9C768E-7311-4664-B9E9-E83C960746CD}" type="presParOf" srcId="{AE1BE3FF-EA18-4C3F-8BDD-114AA22576B9}" destId="{19EFEDEB-6086-4E6A-ABBA-B813A1DC5161}" srcOrd="3" destOrd="0" presId="urn:microsoft.com/office/officeart/2005/8/layout/hProcess4"/>
    <dgm:cxn modelId="{6683866C-B73D-4788-BF81-B3F595020349}" type="presParOf" srcId="{AE1BE3FF-EA18-4C3F-8BDD-114AA22576B9}" destId="{9508DCED-FB76-42E0-A24A-F59D6CB6A107}" srcOrd="4" destOrd="0" presId="urn:microsoft.com/office/officeart/2005/8/layout/hProcess4"/>
    <dgm:cxn modelId="{0297630E-52CA-4DC6-A1BA-05B5D7C0618E}" type="presParOf" srcId="{6709405C-7B24-4E8F-B2BC-863227CAA796}" destId="{70B9EACF-241D-4530-9C10-D6ACD5397113}" srcOrd="1" destOrd="0" presId="urn:microsoft.com/office/officeart/2005/8/layout/hProcess4"/>
    <dgm:cxn modelId="{FCDCF766-C17E-4193-81FA-6B034D7D8A0C}" type="presParOf" srcId="{6709405C-7B24-4E8F-B2BC-863227CAA796}" destId="{6F5712F4-1D7E-45C8-9858-5A00FE3B8C2D}" srcOrd="2" destOrd="0" presId="urn:microsoft.com/office/officeart/2005/8/layout/hProcess4"/>
    <dgm:cxn modelId="{D70A108A-7F2C-4019-88D0-659E65CA1E36}" type="presParOf" srcId="{6F5712F4-1D7E-45C8-9858-5A00FE3B8C2D}" destId="{6EFD2347-005E-44FC-95E5-34AAFF2D9164}" srcOrd="0" destOrd="0" presId="urn:microsoft.com/office/officeart/2005/8/layout/hProcess4"/>
    <dgm:cxn modelId="{5FF0CA3E-161C-4BDE-94DF-BB22956FCBE5}" type="presParOf" srcId="{6F5712F4-1D7E-45C8-9858-5A00FE3B8C2D}" destId="{59B544C7-F6D0-4532-B634-79874A5BAA52}" srcOrd="1" destOrd="0" presId="urn:microsoft.com/office/officeart/2005/8/layout/hProcess4"/>
    <dgm:cxn modelId="{0E900DA2-A7AB-468E-893C-7492A26A4296}" type="presParOf" srcId="{6F5712F4-1D7E-45C8-9858-5A00FE3B8C2D}" destId="{8A92EF6F-413C-4E9D-8BD6-E8AE43662C50}" srcOrd="2" destOrd="0" presId="urn:microsoft.com/office/officeart/2005/8/layout/hProcess4"/>
    <dgm:cxn modelId="{6CBD2550-B02D-4487-A402-4D56E707C951}" type="presParOf" srcId="{6F5712F4-1D7E-45C8-9858-5A00FE3B8C2D}" destId="{C6AFE9C7-D64B-4B82-81EB-BC96ECB43F22}" srcOrd="3" destOrd="0" presId="urn:microsoft.com/office/officeart/2005/8/layout/hProcess4"/>
    <dgm:cxn modelId="{B94AD225-D429-448D-A3B8-732BA4D3FB61}" type="presParOf" srcId="{6F5712F4-1D7E-45C8-9858-5A00FE3B8C2D}" destId="{A50ACC6E-D0BB-4F5F-8661-EA1D7F2658CC}" srcOrd="4" destOrd="0" presId="urn:microsoft.com/office/officeart/2005/8/layout/hProcess4"/>
    <dgm:cxn modelId="{6D85593C-36FC-4876-832C-C90EA7051CB8}" type="presParOf" srcId="{6709405C-7B24-4E8F-B2BC-863227CAA796}" destId="{69D39A66-AAD6-4BAA-B8FC-C8EB9F62DFBD}" srcOrd="3" destOrd="0" presId="urn:microsoft.com/office/officeart/2005/8/layout/hProcess4"/>
    <dgm:cxn modelId="{DE233EFA-5008-451C-89A0-FBF69D2546D2}" type="presParOf" srcId="{6709405C-7B24-4E8F-B2BC-863227CAA796}" destId="{9479A085-4E88-41B2-8377-866A7A41FCA4}" srcOrd="4" destOrd="0" presId="urn:microsoft.com/office/officeart/2005/8/layout/hProcess4"/>
    <dgm:cxn modelId="{0C791D76-FE8F-47F3-98C9-04EC54F82DF6}" type="presParOf" srcId="{9479A085-4E88-41B2-8377-866A7A41FCA4}" destId="{C09DE630-11C6-4079-B4C7-2A974F377C34}" srcOrd="0" destOrd="0" presId="urn:microsoft.com/office/officeart/2005/8/layout/hProcess4"/>
    <dgm:cxn modelId="{5FD5C4B0-1B45-430F-8576-FE2DB21D2644}" type="presParOf" srcId="{9479A085-4E88-41B2-8377-866A7A41FCA4}" destId="{4EC00188-C856-49B5-B293-58EBC0CFEC00}" srcOrd="1" destOrd="0" presId="urn:microsoft.com/office/officeart/2005/8/layout/hProcess4"/>
    <dgm:cxn modelId="{6CF40CAC-8F33-46E7-ADE2-5D251CB2AB57}" type="presParOf" srcId="{9479A085-4E88-41B2-8377-866A7A41FCA4}" destId="{B5F1CAC0-F17D-45A9-B01C-BBD6828F35EA}" srcOrd="2" destOrd="0" presId="urn:microsoft.com/office/officeart/2005/8/layout/hProcess4"/>
    <dgm:cxn modelId="{0C89FF7D-1F29-4366-ADE6-7504A78C4920}" type="presParOf" srcId="{9479A085-4E88-41B2-8377-866A7A41FCA4}" destId="{7B9F6096-E30A-4FC2-84C4-3AE258F54AFD}" srcOrd="3" destOrd="0" presId="urn:microsoft.com/office/officeart/2005/8/layout/hProcess4"/>
    <dgm:cxn modelId="{2BDD2657-C91B-4B00-AAF1-007EA1C54951}" type="presParOf" srcId="{9479A085-4E88-41B2-8377-866A7A41FCA4}" destId="{21CAFB15-1A8C-4AB8-94BF-FC0594D88AB6}" srcOrd="4" destOrd="0" presId="urn:microsoft.com/office/officeart/2005/8/layout/h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EBE68B-02C7-4A83-8047-49973F6D7C22}" type="doc">
      <dgm:prSet loTypeId="urn:microsoft.com/office/officeart/2009/layout/ReverseList" loCatId="relationship" qsTypeId="urn:microsoft.com/office/officeart/2005/8/quickstyle/3d3" qsCatId="3D" csTypeId="urn:microsoft.com/office/officeart/2005/8/colors/colorful1#2" csCatId="colorful" phldr="1"/>
      <dgm:spPr/>
      <dgm:t>
        <a:bodyPr/>
        <a:lstStyle/>
        <a:p>
          <a:endParaRPr lang="ru-RU"/>
        </a:p>
      </dgm:t>
    </dgm:pt>
    <dgm:pt modelId="{C32876BF-60FE-4E1C-8D94-CDAD67835BF0}">
      <dgm:prSet phldrT="[Текст]" custT="1"/>
      <dgm:spPr/>
      <dgm:t>
        <a:bodyPr/>
        <a:lstStyle/>
        <a:p>
          <a:pPr algn="ctr"/>
          <a:endParaRPr lang="ru-RU" sz="1600">
            <a:latin typeface="Times New Roman" panose="02020603050405020304" pitchFamily="18" charset="0"/>
            <a:cs typeface="Times New Roman" panose="02020603050405020304" pitchFamily="18" charset="0"/>
          </a:endParaRPr>
        </a:p>
        <a:p>
          <a:pPr algn="ctr"/>
          <a:endParaRPr lang="ru-RU" sz="1600">
            <a:latin typeface="Times New Roman" panose="02020603050405020304" pitchFamily="18" charset="0"/>
            <a:cs typeface="Times New Roman" panose="02020603050405020304" pitchFamily="18" charset="0"/>
          </a:endParaRPr>
        </a:p>
        <a:p>
          <a:pPr algn="ctr"/>
          <a:r>
            <a:rPr lang="ru-RU" sz="1600">
              <a:latin typeface="Times New Roman" panose="02020603050405020304" pitchFamily="18" charset="0"/>
              <a:cs typeface="Times New Roman" panose="02020603050405020304" pitchFamily="18" charset="0"/>
            </a:rPr>
            <a:t>фонд ресурсов</a:t>
          </a:r>
        </a:p>
      </dgm:t>
    </dgm:pt>
    <dgm:pt modelId="{B4CC6E04-5022-4262-8158-E50D5CFBD691}" type="parTrans" cxnId="{00A46C3A-E79D-4E01-B7B4-00B71D3DF533}">
      <dgm:prSet/>
      <dgm:spPr/>
      <dgm:t>
        <a:bodyPr/>
        <a:lstStyle/>
        <a:p>
          <a:endParaRPr lang="ru-RU" sz="1600">
            <a:latin typeface="Times New Roman" panose="02020603050405020304" pitchFamily="18" charset="0"/>
            <a:cs typeface="Times New Roman" panose="02020603050405020304" pitchFamily="18" charset="0"/>
          </a:endParaRPr>
        </a:p>
      </dgm:t>
    </dgm:pt>
    <dgm:pt modelId="{E1D5BD0D-F91C-4D60-B6AC-04926E729659}" type="sibTrans" cxnId="{00A46C3A-E79D-4E01-B7B4-00B71D3DF533}">
      <dgm:prSet/>
      <dgm:spPr/>
      <dgm:t>
        <a:bodyPr/>
        <a:lstStyle/>
        <a:p>
          <a:endParaRPr lang="ru-RU" sz="1600">
            <a:latin typeface="Times New Roman" panose="02020603050405020304" pitchFamily="18" charset="0"/>
            <a:cs typeface="Times New Roman" panose="02020603050405020304" pitchFamily="18" charset="0"/>
          </a:endParaRPr>
        </a:p>
      </dgm:t>
    </dgm:pt>
    <dgm:pt modelId="{2AD12A3E-3F77-4621-BBD7-97D0ABB5B5A4}">
      <dgm:prSet phldrT="[Текст]" custT="1"/>
      <dgm:spPr/>
      <dgm:t>
        <a:bodyPr/>
        <a:lstStyle/>
        <a:p>
          <a:pPr algn="l"/>
          <a:endParaRPr lang="ru-RU" sz="1600">
            <a:latin typeface="Times New Roman" panose="02020603050405020304" pitchFamily="18" charset="0"/>
            <a:cs typeface="Times New Roman" panose="02020603050405020304" pitchFamily="18" charset="0"/>
          </a:endParaRPr>
        </a:p>
        <a:p>
          <a:pPr algn="l"/>
          <a:endParaRPr lang="ru-RU" sz="1600">
            <a:latin typeface="Times New Roman" panose="02020603050405020304" pitchFamily="18" charset="0"/>
            <a:cs typeface="Times New Roman" panose="02020603050405020304" pitchFamily="18" charset="0"/>
          </a:endParaRPr>
        </a:p>
        <a:p>
          <a:pPr algn="ctr"/>
          <a:r>
            <a:rPr lang="ru-RU" sz="1600">
              <a:latin typeface="Times New Roman" panose="02020603050405020304" pitchFamily="18" charset="0"/>
              <a:cs typeface="Times New Roman" panose="02020603050405020304" pitchFamily="18" charset="0"/>
            </a:rPr>
            <a:t>активные операции </a:t>
          </a:r>
        </a:p>
      </dgm:t>
    </dgm:pt>
    <dgm:pt modelId="{73E6D9D7-97C1-4090-9D4A-2C240D16F7D4}" type="parTrans" cxnId="{F090AB70-243F-4CAF-9CD5-0DC8A14DA327}">
      <dgm:prSet/>
      <dgm:spPr/>
      <dgm:t>
        <a:bodyPr/>
        <a:lstStyle/>
        <a:p>
          <a:endParaRPr lang="ru-RU" sz="1600">
            <a:latin typeface="Times New Roman" panose="02020603050405020304" pitchFamily="18" charset="0"/>
            <a:cs typeface="Times New Roman" panose="02020603050405020304" pitchFamily="18" charset="0"/>
          </a:endParaRPr>
        </a:p>
      </dgm:t>
    </dgm:pt>
    <dgm:pt modelId="{0A5B2D9F-9F8D-4F69-952E-75E3C10D492C}" type="sibTrans" cxnId="{F090AB70-243F-4CAF-9CD5-0DC8A14DA327}">
      <dgm:prSet/>
      <dgm:spPr/>
      <dgm:t>
        <a:bodyPr/>
        <a:lstStyle/>
        <a:p>
          <a:endParaRPr lang="ru-RU" sz="1600">
            <a:latin typeface="Times New Roman" panose="02020603050405020304" pitchFamily="18" charset="0"/>
            <a:cs typeface="Times New Roman" panose="02020603050405020304" pitchFamily="18" charset="0"/>
          </a:endParaRPr>
        </a:p>
      </dgm:t>
    </dgm:pt>
    <dgm:pt modelId="{13B2D848-CD94-41ED-A1B7-DF1E5BCEA804}" type="pres">
      <dgm:prSet presAssocID="{4BEBE68B-02C7-4A83-8047-49973F6D7C22}" presName="Name0" presStyleCnt="0">
        <dgm:presLayoutVars>
          <dgm:chMax val="2"/>
          <dgm:chPref val="2"/>
          <dgm:animLvl val="lvl"/>
        </dgm:presLayoutVars>
      </dgm:prSet>
      <dgm:spPr/>
      <dgm:t>
        <a:bodyPr/>
        <a:lstStyle/>
        <a:p>
          <a:endParaRPr lang="ru-RU"/>
        </a:p>
      </dgm:t>
    </dgm:pt>
    <dgm:pt modelId="{76727BAE-1F3D-4727-922D-BE975A2C4CBE}" type="pres">
      <dgm:prSet presAssocID="{4BEBE68B-02C7-4A83-8047-49973F6D7C22}" presName="LeftText" presStyleLbl="revTx" presStyleIdx="0" presStyleCnt="0">
        <dgm:presLayoutVars>
          <dgm:bulletEnabled val="1"/>
        </dgm:presLayoutVars>
      </dgm:prSet>
      <dgm:spPr/>
      <dgm:t>
        <a:bodyPr/>
        <a:lstStyle/>
        <a:p>
          <a:endParaRPr lang="ru-RU"/>
        </a:p>
      </dgm:t>
    </dgm:pt>
    <dgm:pt modelId="{EE0070BC-720A-42D3-920C-0D7CBDD83C36}" type="pres">
      <dgm:prSet presAssocID="{4BEBE68B-02C7-4A83-8047-49973F6D7C22}" presName="LeftNode" presStyleLbl="bgImgPlace1" presStyleIdx="0" presStyleCnt="2">
        <dgm:presLayoutVars>
          <dgm:chMax val="2"/>
          <dgm:chPref val="2"/>
        </dgm:presLayoutVars>
      </dgm:prSet>
      <dgm:spPr/>
      <dgm:t>
        <a:bodyPr/>
        <a:lstStyle/>
        <a:p>
          <a:endParaRPr lang="ru-RU"/>
        </a:p>
      </dgm:t>
    </dgm:pt>
    <dgm:pt modelId="{0F19DAE1-008D-4AA8-A160-82F811D5AC0D}" type="pres">
      <dgm:prSet presAssocID="{4BEBE68B-02C7-4A83-8047-49973F6D7C22}" presName="RightText" presStyleLbl="revTx" presStyleIdx="0" presStyleCnt="0">
        <dgm:presLayoutVars>
          <dgm:bulletEnabled val="1"/>
        </dgm:presLayoutVars>
      </dgm:prSet>
      <dgm:spPr/>
      <dgm:t>
        <a:bodyPr/>
        <a:lstStyle/>
        <a:p>
          <a:endParaRPr lang="ru-RU"/>
        </a:p>
      </dgm:t>
    </dgm:pt>
    <dgm:pt modelId="{C096C4E1-4624-4955-A398-6F6B1C215A27}" type="pres">
      <dgm:prSet presAssocID="{4BEBE68B-02C7-4A83-8047-49973F6D7C22}" presName="RightNode" presStyleLbl="bgImgPlace1" presStyleIdx="1" presStyleCnt="2">
        <dgm:presLayoutVars>
          <dgm:chMax val="0"/>
          <dgm:chPref val="0"/>
        </dgm:presLayoutVars>
      </dgm:prSet>
      <dgm:spPr/>
      <dgm:t>
        <a:bodyPr/>
        <a:lstStyle/>
        <a:p>
          <a:endParaRPr lang="ru-RU"/>
        </a:p>
      </dgm:t>
    </dgm:pt>
    <dgm:pt modelId="{AEB694F1-85DA-4C36-AA22-607EC4E665E1}" type="pres">
      <dgm:prSet presAssocID="{4BEBE68B-02C7-4A83-8047-49973F6D7C22}" presName="TopArrow" presStyleLbl="node1" presStyleIdx="0" presStyleCnt="2"/>
      <dgm:spPr/>
      <dgm:t>
        <a:bodyPr/>
        <a:lstStyle/>
        <a:p>
          <a:endParaRPr lang="ru-RU"/>
        </a:p>
      </dgm:t>
    </dgm:pt>
    <dgm:pt modelId="{3ADC286B-9CCC-473E-BA4B-430183CFA1F6}" type="pres">
      <dgm:prSet presAssocID="{4BEBE68B-02C7-4A83-8047-49973F6D7C22}" presName="BottomArrow" presStyleLbl="node1" presStyleIdx="1" presStyleCnt="2" custLinFactNeighborX="-96880" custLinFactNeighborY="0"/>
      <dgm:spPr/>
      <dgm:t>
        <a:bodyPr/>
        <a:lstStyle/>
        <a:p>
          <a:endParaRPr lang="ru-RU"/>
        </a:p>
      </dgm:t>
    </dgm:pt>
  </dgm:ptLst>
  <dgm:cxnLst>
    <dgm:cxn modelId="{C87EC7E1-BE50-4BBE-9112-DB7C32B537F1}" type="presOf" srcId="{2AD12A3E-3F77-4621-BBD7-97D0ABB5B5A4}" destId="{0F19DAE1-008D-4AA8-A160-82F811D5AC0D}" srcOrd="0" destOrd="0" presId="urn:microsoft.com/office/officeart/2009/layout/ReverseList"/>
    <dgm:cxn modelId="{F090AB70-243F-4CAF-9CD5-0DC8A14DA327}" srcId="{4BEBE68B-02C7-4A83-8047-49973F6D7C22}" destId="{2AD12A3E-3F77-4621-BBD7-97D0ABB5B5A4}" srcOrd="1" destOrd="0" parTransId="{73E6D9D7-97C1-4090-9D4A-2C240D16F7D4}" sibTransId="{0A5B2D9F-9F8D-4F69-952E-75E3C10D492C}"/>
    <dgm:cxn modelId="{51AA66EF-501B-4394-940A-E0FF865AD22A}" type="presOf" srcId="{4BEBE68B-02C7-4A83-8047-49973F6D7C22}" destId="{13B2D848-CD94-41ED-A1B7-DF1E5BCEA804}" srcOrd="0" destOrd="0" presId="urn:microsoft.com/office/officeart/2009/layout/ReverseList"/>
    <dgm:cxn modelId="{BA44771F-0A01-42DF-A8A5-B1FBC7C011BD}" type="presOf" srcId="{2AD12A3E-3F77-4621-BBD7-97D0ABB5B5A4}" destId="{C096C4E1-4624-4955-A398-6F6B1C215A27}" srcOrd="1" destOrd="0" presId="urn:microsoft.com/office/officeart/2009/layout/ReverseList"/>
    <dgm:cxn modelId="{8D7F3F2F-189E-4D78-8B15-A7036CDFAEA9}" type="presOf" srcId="{C32876BF-60FE-4E1C-8D94-CDAD67835BF0}" destId="{76727BAE-1F3D-4727-922D-BE975A2C4CBE}" srcOrd="0" destOrd="0" presId="urn:microsoft.com/office/officeart/2009/layout/ReverseList"/>
    <dgm:cxn modelId="{26F9B967-0B7E-4DA9-BF93-0B2F57B1E033}" type="presOf" srcId="{C32876BF-60FE-4E1C-8D94-CDAD67835BF0}" destId="{EE0070BC-720A-42D3-920C-0D7CBDD83C36}" srcOrd="1" destOrd="0" presId="urn:microsoft.com/office/officeart/2009/layout/ReverseList"/>
    <dgm:cxn modelId="{00A46C3A-E79D-4E01-B7B4-00B71D3DF533}" srcId="{4BEBE68B-02C7-4A83-8047-49973F6D7C22}" destId="{C32876BF-60FE-4E1C-8D94-CDAD67835BF0}" srcOrd="0" destOrd="0" parTransId="{B4CC6E04-5022-4262-8158-E50D5CFBD691}" sibTransId="{E1D5BD0D-F91C-4D60-B6AC-04926E729659}"/>
    <dgm:cxn modelId="{180CC2D1-5D61-4BCD-A1B3-C53DF71B0943}" type="presParOf" srcId="{13B2D848-CD94-41ED-A1B7-DF1E5BCEA804}" destId="{76727BAE-1F3D-4727-922D-BE975A2C4CBE}" srcOrd="0" destOrd="0" presId="urn:microsoft.com/office/officeart/2009/layout/ReverseList"/>
    <dgm:cxn modelId="{CE88D332-E11B-4CCD-9382-9346B6F59944}" type="presParOf" srcId="{13B2D848-CD94-41ED-A1B7-DF1E5BCEA804}" destId="{EE0070BC-720A-42D3-920C-0D7CBDD83C36}" srcOrd="1" destOrd="0" presId="urn:microsoft.com/office/officeart/2009/layout/ReverseList"/>
    <dgm:cxn modelId="{52EF2383-5658-420C-8983-0ED361AF2BA1}" type="presParOf" srcId="{13B2D848-CD94-41ED-A1B7-DF1E5BCEA804}" destId="{0F19DAE1-008D-4AA8-A160-82F811D5AC0D}" srcOrd="2" destOrd="0" presId="urn:microsoft.com/office/officeart/2009/layout/ReverseList"/>
    <dgm:cxn modelId="{C9589708-12B9-4778-A201-8758A7D17CD8}" type="presParOf" srcId="{13B2D848-CD94-41ED-A1B7-DF1E5BCEA804}" destId="{C096C4E1-4624-4955-A398-6F6B1C215A27}" srcOrd="3" destOrd="0" presId="urn:microsoft.com/office/officeart/2009/layout/ReverseList"/>
    <dgm:cxn modelId="{83E83ED1-0E24-467C-A882-5EB7D47BCB04}" type="presParOf" srcId="{13B2D848-CD94-41ED-A1B7-DF1E5BCEA804}" destId="{AEB694F1-85DA-4C36-AA22-607EC4E665E1}" srcOrd="4" destOrd="0" presId="urn:microsoft.com/office/officeart/2009/layout/ReverseList"/>
    <dgm:cxn modelId="{7CD146D7-CBFF-42B2-B3FC-DF85D024C8AD}" type="presParOf" srcId="{13B2D848-CD94-41ED-A1B7-DF1E5BCEA804}" destId="{3ADC286B-9CCC-473E-BA4B-430183CFA1F6}" srcOrd="5" destOrd="0" presId="urn:microsoft.com/office/officeart/2009/layout/Reverse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DB52F68-B50B-49FE-9A33-B88674A22191}" type="doc">
      <dgm:prSet loTypeId="urn:microsoft.com/office/officeart/2011/layout/HexagonRadial" loCatId="officeonline" qsTypeId="urn:microsoft.com/office/officeart/2005/8/quickstyle/simple3" qsCatId="simple" csTypeId="urn:microsoft.com/office/officeart/2005/8/colors/colorful5" csCatId="colorful" phldr="1"/>
      <dgm:spPr/>
      <dgm:t>
        <a:bodyPr/>
        <a:lstStyle/>
        <a:p>
          <a:endParaRPr lang="ru-RU"/>
        </a:p>
      </dgm:t>
    </dgm:pt>
    <dgm:pt modelId="{EB7AE3A8-02E1-4B10-932C-F3117DCE0869}">
      <dgm:prSet phldrT="[Текст]" custT="1"/>
      <dgm:spPr/>
      <dgm:t>
        <a:bodyPr/>
        <a:lstStyle/>
        <a:p>
          <a:r>
            <a:rPr lang="ru-RU" sz="1200" b="1">
              <a:latin typeface="Times New Roman" panose="02020603050405020304" pitchFamily="18" charset="0"/>
              <a:cs typeface="Times New Roman" panose="02020603050405020304" pitchFamily="18" charset="0"/>
            </a:rPr>
            <a:t>стоимость фондирования</a:t>
          </a:r>
        </a:p>
      </dgm:t>
    </dgm:pt>
    <dgm:pt modelId="{71804982-BA8D-4648-836B-ECE6A43CE1BD}" type="parTrans" cxnId="{DE0D89DD-B252-4291-8817-72649B15D6E2}">
      <dgm:prSet/>
      <dgm:spPr/>
      <dgm:t>
        <a:bodyPr/>
        <a:lstStyle/>
        <a:p>
          <a:endParaRPr lang="ru-RU" sz="1200">
            <a:latin typeface="Times New Roman" panose="02020603050405020304" pitchFamily="18" charset="0"/>
            <a:cs typeface="Times New Roman" panose="02020603050405020304" pitchFamily="18" charset="0"/>
          </a:endParaRPr>
        </a:p>
      </dgm:t>
    </dgm:pt>
    <dgm:pt modelId="{5BCECFAE-DB78-4A0F-BE66-507BA8F2CCE5}" type="sibTrans" cxnId="{DE0D89DD-B252-4291-8817-72649B15D6E2}">
      <dgm:prSet/>
      <dgm:spPr/>
      <dgm:t>
        <a:bodyPr/>
        <a:lstStyle/>
        <a:p>
          <a:endParaRPr lang="ru-RU" sz="1200">
            <a:latin typeface="Times New Roman" panose="02020603050405020304" pitchFamily="18" charset="0"/>
            <a:cs typeface="Times New Roman" panose="02020603050405020304" pitchFamily="18" charset="0"/>
          </a:endParaRPr>
        </a:p>
      </dgm:t>
    </dgm:pt>
    <dgm:pt modelId="{B4D9BB47-176B-4541-9425-17E1A7E84042}">
      <dgm:prSet phldrT="[Текст]" custT="1"/>
      <dgm:spPr/>
      <dgm:t>
        <a:bodyPr/>
        <a:lstStyle/>
        <a:p>
          <a:r>
            <a:rPr lang="ru-RU" sz="1200">
              <a:latin typeface="Times New Roman" panose="02020603050405020304" pitchFamily="18" charset="0"/>
              <a:cs typeface="Times New Roman" panose="02020603050405020304" pitchFamily="18" charset="0"/>
            </a:rPr>
            <a:t>капитализация банка</a:t>
          </a:r>
        </a:p>
      </dgm:t>
    </dgm:pt>
    <dgm:pt modelId="{3F8738BF-3FF3-4202-AA74-03E8447E2F94}" type="parTrans" cxnId="{D6E00FE3-9D64-41FE-BB26-CA5B0C191D8E}">
      <dgm:prSet/>
      <dgm:spPr/>
      <dgm:t>
        <a:bodyPr/>
        <a:lstStyle/>
        <a:p>
          <a:endParaRPr lang="ru-RU" sz="1200">
            <a:latin typeface="Times New Roman" panose="02020603050405020304" pitchFamily="18" charset="0"/>
            <a:cs typeface="Times New Roman" panose="02020603050405020304" pitchFamily="18" charset="0"/>
          </a:endParaRPr>
        </a:p>
      </dgm:t>
    </dgm:pt>
    <dgm:pt modelId="{1C900A5C-29F3-4C29-90A4-5B962B99964E}" type="sibTrans" cxnId="{D6E00FE3-9D64-41FE-BB26-CA5B0C191D8E}">
      <dgm:prSet/>
      <dgm:spPr/>
      <dgm:t>
        <a:bodyPr/>
        <a:lstStyle/>
        <a:p>
          <a:endParaRPr lang="ru-RU" sz="1200">
            <a:latin typeface="Times New Roman" panose="02020603050405020304" pitchFamily="18" charset="0"/>
            <a:cs typeface="Times New Roman" panose="02020603050405020304" pitchFamily="18" charset="0"/>
          </a:endParaRPr>
        </a:p>
      </dgm:t>
    </dgm:pt>
    <dgm:pt modelId="{0E1A5504-B73E-46D0-BEEA-5B907B0C8FFF}">
      <dgm:prSet phldrT="[Текст]" custT="1"/>
      <dgm:spPr/>
      <dgm:t>
        <a:bodyPr/>
        <a:lstStyle/>
        <a:p>
          <a:r>
            <a:rPr lang="ru-RU" sz="1200">
              <a:latin typeface="Times New Roman" panose="02020603050405020304" pitchFamily="18" charset="0"/>
              <a:cs typeface="Times New Roman" panose="02020603050405020304" pitchFamily="18" charset="0"/>
            </a:rPr>
            <a:t>политика НБРК</a:t>
          </a:r>
        </a:p>
      </dgm:t>
    </dgm:pt>
    <dgm:pt modelId="{35904512-FF32-4C6A-8549-56F5F8A43B7B}" type="parTrans" cxnId="{E6952E5D-9532-40A8-93F9-A8464683463B}">
      <dgm:prSet/>
      <dgm:spPr/>
      <dgm:t>
        <a:bodyPr/>
        <a:lstStyle/>
        <a:p>
          <a:endParaRPr lang="ru-RU" sz="1200">
            <a:latin typeface="Times New Roman" panose="02020603050405020304" pitchFamily="18" charset="0"/>
            <a:cs typeface="Times New Roman" panose="02020603050405020304" pitchFamily="18" charset="0"/>
          </a:endParaRPr>
        </a:p>
      </dgm:t>
    </dgm:pt>
    <dgm:pt modelId="{AF83D28C-9A07-471D-9DA3-ECDD141BE23C}" type="sibTrans" cxnId="{E6952E5D-9532-40A8-93F9-A8464683463B}">
      <dgm:prSet/>
      <dgm:spPr/>
      <dgm:t>
        <a:bodyPr/>
        <a:lstStyle/>
        <a:p>
          <a:endParaRPr lang="ru-RU" sz="1200">
            <a:latin typeface="Times New Roman" panose="02020603050405020304" pitchFamily="18" charset="0"/>
            <a:cs typeface="Times New Roman" panose="02020603050405020304" pitchFamily="18" charset="0"/>
          </a:endParaRPr>
        </a:p>
      </dgm:t>
    </dgm:pt>
    <dgm:pt modelId="{E1920BCB-748C-4CC8-936A-9A170BDB5D7A}">
      <dgm:prSet phldrT="[Текст]" custT="1"/>
      <dgm:spPr/>
      <dgm:t>
        <a:bodyPr/>
        <a:lstStyle/>
        <a:p>
          <a:r>
            <a:rPr lang="ru-RU" sz="1200">
              <a:latin typeface="Times New Roman" panose="02020603050405020304" pitchFamily="18" charset="0"/>
              <a:cs typeface="Times New Roman" panose="02020603050405020304" pitchFamily="18" charset="0"/>
            </a:rPr>
            <a:t>рейтинг банка</a:t>
          </a:r>
        </a:p>
      </dgm:t>
    </dgm:pt>
    <dgm:pt modelId="{50DAA8B1-A2CE-4BE9-91A1-31F39A81CAD5}" type="parTrans" cxnId="{FBA9F678-65FD-4142-9C68-5BAB6454A914}">
      <dgm:prSet/>
      <dgm:spPr/>
      <dgm:t>
        <a:bodyPr/>
        <a:lstStyle/>
        <a:p>
          <a:endParaRPr lang="ru-RU" sz="1200">
            <a:latin typeface="Times New Roman" panose="02020603050405020304" pitchFamily="18" charset="0"/>
            <a:cs typeface="Times New Roman" panose="02020603050405020304" pitchFamily="18" charset="0"/>
          </a:endParaRPr>
        </a:p>
      </dgm:t>
    </dgm:pt>
    <dgm:pt modelId="{8C22CE43-6D53-4FF6-A6B8-EB9E348980E6}" type="sibTrans" cxnId="{FBA9F678-65FD-4142-9C68-5BAB6454A914}">
      <dgm:prSet/>
      <dgm:spPr/>
      <dgm:t>
        <a:bodyPr/>
        <a:lstStyle/>
        <a:p>
          <a:endParaRPr lang="ru-RU" sz="1200">
            <a:latin typeface="Times New Roman" panose="02020603050405020304" pitchFamily="18" charset="0"/>
            <a:cs typeface="Times New Roman" panose="02020603050405020304" pitchFamily="18" charset="0"/>
          </a:endParaRPr>
        </a:p>
      </dgm:t>
    </dgm:pt>
    <dgm:pt modelId="{44ACEC81-F49D-4E8E-A432-7234CB5F746A}">
      <dgm:prSet phldrT="[Текст]" custT="1"/>
      <dgm:spPr/>
      <dgm:t>
        <a:bodyPr/>
        <a:lstStyle/>
        <a:p>
          <a:r>
            <a:rPr lang="ru-RU" sz="1200">
              <a:latin typeface="Times New Roman" panose="02020603050405020304" pitchFamily="18" charset="0"/>
              <a:cs typeface="Times New Roman" panose="02020603050405020304" pitchFamily="18" charset="0"/>
            </a:rPr>
            <a:t>затраты на фондирование</a:t>
          </a:r>
        </a:p>
      </dgm:t>
    </dgm:pt>
    <dgm:pt modelId="{A1833C91-9823-407B-BB7D-787D7AB66E0D}" type="parTrans" cxnId="{5021ECEE-FEB3-41A0-975E-099A961C961B}">
      <dgm:prSet/>
      <dgm:spPr/>
      <dgm:t>
        <a:bodyPr/>
        <a:lstStyle/>
        <a:p>
          <a:endParaRPr lang="ru-RU" sz="1200">
            <a:latin typeface="Times New Roman" panose="02020603050405020304" pitchFamily="18" charset="0"/>
            <a:cs typeface="Times New Roman" panose="02020603050405020304" pitchFamily="18" charset="0"/>
          </a:endParaRPr>
        </a:p>
      </dgm:t>
    </dgm:pt>
    <dgm:pt modelId="{98671E83-0E87-4574-A1E3-DBFE6149B6F6}" type="sibTrans" cxnId="{5021ECEE-FEB3-41A0-975E-099A961C961B}">
      <dgm:prSet/>
      <dgm:spPr/>
      <dgm:t>
        <a:bodyPr/>
        <a:lstStyle/>
        <a:p>
          <a:endParaRPr lang="ru-RU" sz="1200">
            <a:latin typeface="Times New Roman" panose="02020603050405020304" pitchFamily="18" charset="0"/>
            <a:cs typeface="Times New Roman" panose="02020603050405020304" pitchFamily="18" charset="0"/>
          </a:endParaRPr>
        </a:p>
      </dgm:t>
    </dgm:pt>
    <dgm:pt modelId="{11A7BC08-0C7F-4E6E-943C-651CCD63BFF1}">
      <dgm:prSet phldrT="[Текст]" custT="1"/>
      <dgm:spPr/>
      <dgm:t>
        <a:bodyPr/>
        <a:lstStyle/>
        <a:p>
          <a:r>
            <a:rPr lang="ru-RU" sz="1200">
              <a:latin typeface="Times New Roman" panose="02020603050405020304" pitchFamily="18" charset="0"/>
              <a:cs typeface="Times New Roman" panose="02020603050405020304" pitchFamily="18" charset="0"/>
            </a:rPr>
            <a:t>банковская конкуренция</a:t>
          </a:r>
        </a:p>
      </dgm:t>
    </dgm:pt>
    <dgm:pt modelId="{22438C7E-75B5-450B-9420-349021463962}" type="parTrans" cxnId="{B1C5F190-5D70-4945-A0CE-F1C05E6E423D}">
      <dgm:prSet/>
      <dgm:spPr/>
      <dgm:t>
        <a:bodyPr/>
        <a:lstStyle/>
        <a:p>
          <a:endParaRPr lang="ru-RU" sz="1200">
            <a:latin typeface="Times New Roman" panose="02020603050405020304" pitchFamily="18" charset="0"/>
            <a:cs typeface="Times New Roman" panose="02020603050405020304" pitchFamily="18" charset="0"/>
          </a:endParaRPr>
        </a:p>
      </dgm:t>
    </dgm:pt>
    <dgm:pt modelId="{446AA95D-D830-4E62-B47C-0F5DFBE91EC8}" type="sibTrans" cxnId="{B1C5F190-5D70-4945-A0CE-F1C05E6E423D}">
      <dgm:prSet/>
      <dgm:spPr/>
      <dgm:t>
        <a:bodyPr/>
        <a:lstStyle/>
        <a:p>
          <a:endParaRPr lang="ru-RU" sz="1200">
            <a:latin typeface="Times New Roman" panose="02020603050405020304" pitchFamily="18" charset="0"/>
            <a:cs typeface="Times New Roman" panose="02020603050405020304" pitchFamily="18" charset="0"/>
          </a:endParaRPr>
        </a:p>
      </dgm:t>
    </dgm:pt>
    <dgm:pt modelId="{DCD00DA5-E61F-4AD6-B237-D67ED59FE469}">
      <dgm:prSet phldrT="[Текст]" custT="1"/>
      <dgm:spPr/>
      <dgm:t>
        <a:bodyPr/>
        <a:lstStyle/>
        <a:p>
          <a:r>
            <a:rPr lang="ru-RU" sz="1200">
              <a:latin typeface="Times New Roman" panose="02020603050405020304" pitchFamily="18" charset="0"/>
              <a:cs typeface="Times New Roman" panose="02020603050405020304" pitchFamily="18" charset="0"/>
            </a:rPr>
            <a:t>доходность альтернативных инструментов</a:t>
          </a:r>
        </a:p>
      </dgm:t>
    </dgm:pt>
    <dgm:pt modelId="{649F6C26-585F-49E6-890D-E35EED9B83B6}" type="parTrans" cxnId="{E177036F-AA8F-4C86-BD8F-F5CC4B700F74}">
      <dgm:prSet/>
      <dgm:spPr/>
      <dgm:t>
        <a:bodyPr/>
        <a:lstStyle/>
        <a:p>
          <a:endParaRPr lang="ru-RU" sz="1200">
            <a:latin typeface="Times New Roman" panose="02020603050405020304" pitchFamily="18" charset="0"/>
            <a:cs typeface="Times New Roman" panose="02020603050405020304" pitchFamily="18" charset="0"/>
          </a:endParaRPr>
        </a:p>
      </dgm:t>
    </dgm:pt>
    <dgm:pt modelId="{0E966626-C8F0-4F4A-9CC4-BBFA038FCA76}" type="sibTrans" cxnId="{E177036F-AA8F-4C86-BD8F-F5CC4B700F74}">
      <dgm:prSet/>
      <dgm:spPr/>
      <dgm:t>
        <a:bodyPr/>
        <a:lstStyle/>
        <a:p>
          <a:endParaRPr lang="ru-RU" sz="1200">
            <a:latin typeface="Times New Roman" panose="02020603050405020304" pitchFamily="18" charset="0"/>
            <a:cs typeface="Times New Roman" panose="02020603050405020304" pitchFamily="18" charset="0"/>
          </a:endParaRPr>
        </a:p>
      </dgm:t>
    </dgm:pt>
    <dgm:pt modelId="{61D62118-7EDC-403F-85B2-FA7C0B2BC552}" type="pres">
      <dgm:prSet presAssocID="{1DB52F68-B50B-49FE-9A33-B88674A22191}" presName="Name0" presStyleCnt="0">
        <dgm:presLayoutVars>
          <dgm:chMax val="1"/>
          <dgm:chPref val="1"/>
          <dgm:dir/>
          <dgm:animOne val="branch"/>
          <dgm:animLvl val="lvl"/>
        </dgm:presLayoutVars>
      </dgm:prSet>
      <dgm:spPr/>
      <dgm:t>
        <a:bodyPr/>
        <a:lstStyle/>
        <a:p>
          <a:endParaRPr lang="ru-RU"/>
        </a:p>
      </dgm:t>
    </dgm:pt>
    <dgm:pt modelId="{53DDCAC2-B1DD-4463-9D05-3EA66792B43A}" type="pres">
      <dgm:prSet presAssocID="{EB7AE3A8-02E1-4B10-932C-F3117DCE0869}" presName="Parent" presStyleLbl="node0" presStyleIdx="0" presStyleCnt="1" custScaleX="127293">
        <dgm:presLayoutVars>
          <dgm:chMax val="6"/>
          <dgm:chPref val="6"/>
        </dgm:presLayoutVars>
      </dgm:prSet>
      <dgm:spPr/>
      <dgm:t>
        <a:bodyPr/>
        <a:lstStyle/>
        <a:p>
          <a:endParaRPr lang="ru-RU"/>
        </a:p>
      </dgm:t>
    </dgm:pt>
    <dgm:pt modelId="{E331D078-3C7F-495B-BF63-85BD9F4E494B}" type="pres">
      <dgm:prSet presAssocID="{B4D9BB47-176B-4541-9425-17E1A7E84042}" presName="Accent1" presStyleCnt="0"/>
      <dgm:spPr/>
    </dgm:pt>
    <dgm:pt modelId="{844247F7-6119-468D-9A5D-C599EFA2CE61}" type="pres">
      <dgm:prSet presAssocID="{B4D9BB47-176B-4541-9425-17E1A7E84042}" presName="Accent" presStyleLbl="bgShp" presStyleIdx="0" presStyleCnt="6"/>
      <dgm:spPr/>
    </dgm:pt>
    <dgm:pt modelId="{6BC4BFA3-E0B9-42A8-8C72-2091979FF89D}" type="pres">
      <dgm:prSet presAssocID="{B4D9BB47-176B-4541-9425-17E1A7E84042}" presName="Child1" presStyleLbl="node1" presStyleIdx="0" presStyleCnt="6" custScaleX="142593">
        <dgm:presLayoutVars>
          <dgm:chMax val="0"/>
          <dgm:chPref val="0"/>
          <dgm:bulletEnabled val="1"/>
        </dgm:presLayoutVars>
      </dgm:prSet>
      <dgm:spPr/>
      <dgm:t>
        <a:bodyPr/>
        <a:lstStyle/>
        <a:p>
          <a:endParaRPr lang="ru-RU"/>
        </a:p>
      </dgm:t>
    </dgm:pt>
    <dgm:pt modelId="{865C94E6-9AED-483D-9D76-2199E9620C99}" type="pres">
      <dgm:prSet presAssocID="{0E1A5504-B73E-46D0-BEEA-5B907B0C8FFF}" presName="Accent2" presStyleCnt="0"/>
      <dgm:spPr/>
    </dgm:pt>
    <dgm:pt modelId="{2766A179-7CF8-4B0C-9171-57AA4EFD6AD4}" type="pres">
      <dgm:prSet presAssocID="{0E1A5504-B73E-46D0-BEEA-5B907B0C8FFF}" presName="Accent" presStyleLbl="bgShp" presStyleIdx="1" presStyleCnt="6"/>
      <dgm:spPr/>
    </dgm:pt>
    <dgm:pt modelId="{F03B22F0-A43D-48B9-B982-414327807D8E}" type="pres">
      <dgm:prSet presAssocID="{0E1A5504-B73E-46D0-BEEA-5B907B0C8FFF}" presName="Child2" presStyleLbl="node1" presStyleIdx="1" presStyleCnt="6" custScaleX="146711" custLinFactNeighborX="28120" custLinFactNeighborY="-2709">
        <dgm:presLayoutVars>
          <dgm:chMax val="0"/>
          <dgm:chPref val="0"/>
          <dgm:bulletEnabled val="1"/>
        </dgm:presLayoutVars>
      </dgm:prSet>
      <dgm:spPr/>
      <dgm:t>
        <a:bodyPr/>
        <a:lstStyle/>
        <a:p>
          <a:endParaRPr lang="ru-RU"/>
        </a:p>
      </dgm:t>
    </dgm:pt>
    <dgm:pt modelId="{4B500DBE-F822-4452-B303-514ED722EDBA}" type="pres">
      <dgm:prSet presAssocID="{E1920BCB-748C-4CC8-936A-9A170BDB5D7A}" presName="Accent3" presStyleCnt="0"/>
      <dgm:spPr/>
    </dgm:pt>
    <dgm:pt modelId="{D023014D-8714-46B4-A333-7B244E37D36F}" type="pres">
      <dgm:prSet presAssocID="{E1920BCB-748C-4CC8-936A-9A170BDB5D7A}" presName="Accent" presStyleLbl="bgShp" presStyleIdx="2" presStyleCnt="6"/>
      <dgm:spPr/>
    </dgm:pt>
    <dgm:pt modelId="{70B5740A-600A-4CA4-82B0-C85B7E4FD4CA}" type="pres">
      <dgm:prSet presAssocID="{E1920BCB-748C-4CC8-936A-9A170BDB5D7A}" presName="Child3" presStyleLbl="node1" presStyleIdx="2" presStyleCnt="6" custScaleX="146633" custLinFactNeighborX="33587" custLinFactNeighborY="-2709">
        <dgm:presLayoutVars>
          <dgm:chMax val="0"/>
          <dgm:chPref val="0"/>
          <dgm:bulletEnabled val="1"/>
        </dgm:presLayoutVars>
      </dgm:prSet>
      <dgm:spPr/>
      <dgm:t>
        <a:bodyPr/>
        <a:lstStyle/>
        <a:p>
          <a:endParaRPr lang="ru-RU"/>
        </a:p>
      </dgm:t>
    </dgm:pt>
    <dgm:pt modelId="{AC8069DA-0445-4BB3-A284-8E97927FE684}" type="pres">
      <dgm:prSet presAssocID="{44ACEC81-F49D-4E8E-A432-7234CB5F746A}" presName="Accent4" presStyleCnt="0"/>
      <dgm:spPr/>
    </dgm:pt>
    <dgm:pt modelId="{021A8D00-DEE6-45D6-91AA-0F53C74F972A}" type="pres">
      <dgm:prSet presAssocID="{44ACEC81-F49D-4E8E-A432-7234CB5F746A}" presName="Accent" presStyleLbl="bgShp" presStyleIdx="3" presStyleCnt="6"/>
      <dgm:spPr/>
    </dgm:pt>
    <dgm:pt modelId="{E93A9BB2-B945-4FD8-BFD5-D59DE76E7825}" type="pres">
      <dgm:prSet presAssocID="{44ACEC81-F49D-4E8E-A432-7234CB5F746A}" presName="Child4" presStyleLbl="node1" presStyleIdx="3" presStyleCnt="6" custScaleX="149537">
        <dgm:presLayoutVars>
          <dgm:chMax val="0"/>
          <dgm:chPref val="0"/>
          <dgm:bulletEnabled val="1"/>
        </dgm:presLayoutVars>
      </dgm:prSet>
      <dgm:spPr/>
      <dgm:t>
        <a:bodyPr/>
        <a:lstStyle/>
        <a:p>
          <a:endParaRPr lang="ru-RU"/>
        </a:p>
      </dgm:t>
    </dgm:pt>
    <dgm:pt modelId="{9681973C-E1AB-40EE-8B82-C02C9105CAA5}" type="pres">
      <dgm:prSet presAssocID="{11A7BC08-0C7F-4E6E-943C-651CCD63BFF1}" presName="Accent5" presStyleCnt="0"/>
      <dgm:spPr/>
    </dgm:pt>
    <dgm:pt modelId="{96E9DE56-F769-4104-8125-3CA787FD4131}" type="pres">
      <dgm:prSet presAssocID="{11A7BC08-0C7F-4E6E-943C-651CCD63BFF1}" presName="Accent" presStyleLbl="bgShp" presStyleIdx="4" presStyleCnt="6"/>
      <dgm:spPr/>
    </dgm:pt>
    <dgm:pt modelId="{6F8EAA46-F532-4C68-AEFD-1211B298103D}" type="pres">
      <dgm:prSet presAssocID="{11A7BC08-0C7F-4E6E-943C-651CCD63BFF1}" presName="Child5" presStyleLbl="node1" presStyleIdx="4" presStyleCnt="6" custScaleX="143353" custLinFactNeighborX="-34368" custLinFactNeighborY="-903">
        <dgm:presLayoutVars>
          <dgm:chMax val="0"/>
          <dgm:chPref val="0"/>
          <dgm:bulletEnabled val="1"/>
        </dgm:presLayoutVars>
      </dgm:prSet>
      <dgm:spPr/>
      <dgm:t>
        <a:bodyPr/>
        <a:lstStyle/>
        <a:p>
          <a:endParaRPr lang="ru-RU"/>
        </a:p>
      </dgm:t>
    </dgm:pt>
    <dgm:pt modelId="{DEA453C4-7FCE-4516-8C15-2A4A30381ADE}" type="pres">
      <dgm:prSet presAssocID="{DCD00DA5-E61F-4AD6-B237-D67ED59FE469}" presName="Accent6" presStyleCnt="0"/>
      <dgm:spPr/>
    </dgm:pt>
    <dgm:pt modelId="{6C4DDBFC-09B7-464B-ACD6-A87880DB0088}" type="pres">
      <dgm:prSet presAssocID="{DCD00DA5-E61F-4AD6-B237-D67ED59FE469}" presName="Accent" presStyleLbl="bgShp" presStyleIdx="5" presStyleCnt="6"/>
      <dgm:spPr/>
    </dgm:pt>
    <dgm:pt modelId="{BD99484E-1D3C-40EB-918C-56261D78F975}" type="pres">
      <dgm:prSet presAssocID="{DCD00DA5-E61F-4AD6-B237-D67ED59FE469}" presName="Child6" presStyleLbl="node1" presStyleIdx="5" presStyleCnt="6" custScaleX="146555" custLinFactNeighborX="-30463" custLinFactNeighborY="-3612">
        <dgm:presLayoutVars>
          <dgm:chMax val="0"/>
          <dgm:chPref val="0"/>
          <dgm:bulletEnabled val="1"/>
        </dgm:presLayoutVars>
      </dgm:prSet>
      <dgm:spPr/>
      <dgm:t>
        <a:bodyPr/>
        <a:lstStyle/>
        <a:p>
          <a:endParaRPr lang="ru-RU"/>
        </a:p>
      </dgm:t>
    </dgm:pt>
  </dgm:ptLst>
  <dgm:cxnLst>
    <dgm:cxn modelId="{72A948D2-47B4-45BD-A1F1-C65EBAEAF91E}" type="presOf" srcId="{DCD00DA5-E61F-4AD6-B237-D67ED59FE469}" destId="{BD99484E-1D3C-40EB-918C-56261D78F975}" srcOrd="0" destOrd="0" presId="urn:microsoft.com/office/officeart/2011/layout/HexagonRadial"/>
    <dgm:cxn modelId="{E6952E5D-9532-40A8-93F9-A8464683463B}" srcId="{EB7AE3A8-02E1-4B10-932C-F3117DCE0869}" destId="{0E1A5504-B73E-46D0-BEEA-5B907B0C8FFF}" srcOrd="1" destOrd="0" parTransId="{35904512-FF32-4C6A-8549-56F5F8A43B7B}" sibTransId="{AF83D28C-9A07-471D-9DA3-ECDD141BE23C}"/>
    <dgm:cxn modelId="{6BCCC4E2-EEF3-4E28-9C3D-AF295FA592FA}" type="presOf" srcId="{11A7BC08-0C7F-4E6E-943C-651CCD63BFF1}" destId="{6F8EAA46-F532-4C68-AEFD-1211B298103D}" srcOrd="0" destOrd="0" presId="urn:microsoft.com/office/officeart/2011/layout/HexagonRadial"/>
    <dgm:cxn modelId="{FBA9F678-65FD-4142-9C68-5BAB6454A914}" srcId="{EB7AE3A8-02E1-4B10-932C-F3117DCE0869}" destId="{E1920BCB-748C-4CC8-936A-9A170BDB5D7A}" srcOrd="2" destOrd="0" parTransId="{50DAA8B1-A2CE-4BE9-91A1-31F39A81CAD5}" sibTransId="{8C22CE43-6D53-4FF6-A6B8-EB9E348980E6}"/>
    <dgm:cxn modelId="{0AAF1176-F51E-4154-8730-E452F2709C0B}" type="presOf" srcId="{44ACEC81-F49D-4E8E-A432-7234CB5F746A}" destId="{E93A9BB2-B945-4FD8-BFD5-D59DE76E7825}" srcOrd="0" destOrd="0" presId="urn:microsoft.com/office/officeart/2011/layout/HexagonRadial"/>
    <dgm:cxn modelId="{255E500C-28F8-4B40-AC62-DC49BFF1CD41}" type="presOf" srcId="{E1920BCB-748C-4CC8-936A-9A170BDB5D7A}" destId="{70B5740A-600A-4CA4-82B0-C85B7E4FD4CA}" srcOrd="0" destOrd="0" presId="urn:microsoft.com/office/officeart/2011/layout/HexagonRadial"/>
    <dgm:cxn modelId="{9CC0F604-B6E3-4C4D-9FCC-829C8E1DD0CA}" type="presOf" srcId="{0E1A5504-B73E-46D0-BEEA-5B907B0C8FFF}" destId="{F03B22F0-A43D-48B9-B982-414327807D8E}" srcOrd="0" destOrd="0" presId="urn:microsoft.com/office/officeart/2011/layout/HexagonRadial"/>
    <dgm:cxn modelId="{6A9ADAAD-CAD8-4DD7-8F13-BE10614D7006}" type="presOf" srcId="{1DB52F68-B50B-49FE-9A33-B88674A22191}" destId="{61D62118-7EDC-403F-85B2-FA7C0B2BC552}" srcOrd="0" destOrd="0" presId="urn:microsoft.com/office/officeart/2011/layout/HexagonRadial"/>
    <dgm:cxn modelId="{B1C5F190-5D70-4945-A0CE-F1C05E6E423D}" srcId="{EB7AE3A8-02E1-4B10-932C-F3117DCE0869}" destId="{11A7BC08-0C7F-4E6E-943C-651CCD63BFF1}" srcOrd="4" destOrd="0" parTransId="{22438C7E-75B5-450B-9420-349021463962}" sibTransId="{446AA95D-D830-4E62-B47C-0F5DFBE91EC8}"/>
    <dgm:cxn modelId="{211A4E29-EB93-4C07-A475-ACF2F55E0785}" type="presOf" srcId="{B4D9BB47-176B-4541-9425-17E1A7E84042}" destId="{6BC4BFA3-E0B9-42A8-8C72-2091979FF89D}" srcOrd="0" destOrd="0" presId="urn:microsoft.com/office/officeart/2011/layout/HexagonRadial"/>
    <dgm:cxn modelId="{D6E00FE3-9D64-41FE-BB26-CA5B0C191D8E}" srcId="{EB7AE3A8-02E1-4B10-932C-F3117DCE0869}" destId="{B4D9BB47-176B-4541-9425-17E1A7E84042}" srcOrd="0" destOrd="0" parTransId="{3F8738BF-3FF3-4202-AA74-03E8447E2F94}" sibTransId="{1C900A5C-29F3-4C29-90A4-5B962B99964E}"/>
    <dgm:cxn modelId="{E177036F-AA8F-4C86-BD8F-F5CC4B700F74}" srcId="{EB7AE3A8-02E1-4B10-932C-F3117DCE0869}" destId="{DCD00DA5-E61F-4AD6-B237-D67ED59FE469}" srcOrd="5" destOrd="0" parTransId="{649F6C26-585F-49E6-890D-E35EED9B83B6}" sibTransId="{0E966626-C8F0-4F4A-9CC4-BBFA038FCA76}"/>
    <dgm:cxn modelId="{DE0D89DD-B252-4291-8817-72649B15D6E2}" srcId="{1DB52F68-B50B-49FE-9A33-B88674A22191}" destId="{EB7AE3A8-02E1-4B10-932C-F3117DCE0869}" srcOrd="0" destOrd="0" parTransId="{71804982-BA8D-4648-836B-ECE6A43CE1BD}" sibTransId="{5BCECFAE-DB78-4A0F-BE66-507BA8F2CCE5}"/>
    <dgm:cxn modelId="{5021ECEE-FEB3-41A0-975E-099A961C961B}" srcId="{EB7AE3A8-02E1-4B10-932C-F3117DCE0869}" destId="{44ACEC81-F49D-4E8E-A432-7234CB5F746A}" srcOrd="3" destOrd="0" parTransId="{A1833C91-9823-407B-BB7D-787D7AB66E0D}" sibTransId="{98671E83-0E87-4574-A1E3-DBFE6149B6F6}"/>
    <dgm:cxn modelId="{1F60276D-3219-4A59-AF39-798AE714D7A4}" type="presOf" srcId="{EB7AE3A8-02E1-4B10-932C-F3117DCE0869}" destId="{53DDCAC2-B1DD-4463-9D05-3EA66792B43A}" srcOrd="0" destOrd="0" presId="urn:microsoft.com/office/officeart/2011/layout/HexagonRadial"/>
    <dgm:cxn modelId="{8B26F896-1163-4F78-8287-87AA06775D86}" type="presParOf" srcId="{61D62118-7EDC-403F-85B2-FA7C0B2BC552}" destId="{53DDCAC2-B1DD-4463-9D05-3EA66792B43A}" srcOrd="0" destOrd="0" presId="urn:microsoft.com/office/officeart/2011/layout/HexagonRadial"/>
    <dgm:cxn modelId="{036CA4D2-36C9-426F-A174-5B95B4F7D5D8}" type="presParOf" srcId="{61D62118-7EDC-403F-85B2-FA7C0B2BC552}" destId="{E331D078-3C7F-495B-BF63-85BD9F4E494B}" srcOrd="1" destOrd="0" presId="urn:microsoft.com/office/officeart/2011/layout/HexagonRadial"/>
    <dgm:cxn modelId="{BB108F54-7DA6-4E0E-B8AC-0C7EA605EEA8}" type="presParOf" srcId="{E331D078-3C7F-495B-BF63-85BD9F4E494B}" destId="{844247F7-6119-468D-9A5D-C599EFA2CE61}" srcOrd="0" destOrd="0" presId="urn:microsoft.com/office/officeart/2011/layout/HexagonRadial"/>
    <dgm:cxn modelId="{FEF85CCE-4F65-4909-AE84-7CE9B79010E5}" type="presParOf" srcId="{61D62118-7EDC-403F-85B2-FA7C0B2BC552}" destId="{6BC4BFA3-E0B9-42A8-8C72-2091979FF89D}" srcOrd="2" destOrd="0" presId="urn:microsoft.com/office/officeart/2011/layout/HexagonRadial"/>
    <dgm:cxn modelId="{1BC69F95-1C9E-4E3D-8091-AEA27421A2E5}" type="presParOf" srcId="{61D62118-7EDC-403F-85B2-FA7C0B2BC552}" destId="{865C94E6-9AED-483D-9D76-2199E9620C99}" srcOrd="3" destOrd="0" presId="urn:microsoft.com/office/officeart/2011/layout/HexagonRadial"/>
    <dgm:cxn modelId="{E69D5B56-3B4D-480B-A7A6-CCBB2A929D64}" type="presParOf" srcId="{865C94E6-9AED-483D-9D76-2199E9620C99}" destId="{2766A179-7CF8-4B0C-9171-57AA4EFD6AD4}" srcOrd="0" destOrd="0" presId="urn:microsoft.com/office/officeart/2011/layout/HexagonRadial"/>
    <dgm:cxn modelId="{F954F257-6932-44D0-87B0-E95136497121}" type="presParOf" srcId="{61D62118-7EDC-403F-85B2-FA7C0B2BC552}" destId="{F03B22F0-A43D-48B9-B982-414327807D8E}" srcOrd="4" destOrd="0" presId="urn:microsoft.com/office/officeart/2011/layout/HexagonRadial"/>
    <dgm:cxn modelId="{FA4D3EA7-ADE2-46F9-8C76-18BF0903C71B}" type="presParOf" srcId="{61D62118-7EDC-403F-85B2-FA7C0B2BC552}" destId="{4B500DBE-F822-4452-B303-514ED722EDBA}" srcOrd="5" destOrd="0" presId="urn:microsoft.com/office/officeart/2011/layout/HexagonRadial"/>
    <dgm:cxn modelId="{74E3F444-E3CF-4EF1-AAF2-9F7EE69397EA}" type="presParOf" srcId="{4B500DBE-F822-4452-B303-514ED722EDBA}" destId="{D023014D-8714-46B4-A333-7B244E37D36F}" srcOrd="0" destOrd="0" presId="urn:microsoft.com/office/officeart/2011/layout/HexagonRadial"/>
    <dgm:cxn modelId="{E61338CC-5EBA-45B1-A5BB-38AE2059D4DE}" type="presParOf" srcId="{61D62118-7EDC-403F-85B2-FA7C0B2BC552}" destId="{70B5740A-600A-4CA4-82B0-C85B7E4FD4CA}" srcOrd="6" destOrd="0" presId="urn:microsoft.com/office/officeart/2011/layout/HexagonRadial"/>
    <dgm:cxn modelId="{608A252D-C75E-4C8C-923E-CF1777B31461}" type="presParOf" srcId="{61D62118-7EDC-403F-85B2-FA7C0B2BC552}" destId="{AC8069DA-0445-4BB3-A284-8E97927FE684}" srcOrd="7" destOrd="0" presId="urn:microsoft.com/office/officeart/2011/layout/HexagonRadial"/>
    <dgm:cxn modelId="{3A41A588-7771-4027-B2C8-2683255F6EEB}" type="presParOf" srcId="{AC8069DA-0445-4BB3-A284-8E97927FE684}" destId="{021A8D00-DEE6-45D6-91AA-0F53C74F972A}" srcOrd="0" destOrd="0" presId="urn:microsoft.com/office/officeart/2011/layout/HexagonRadial"/>
    <dgm:cxn modelId="{9BE49241-1458-4EB7-BF40-A813F8DC3747}" type="presParOf" srcId="{61D62118-7EDC-403F-85B2-FA7C0B2BC552}" destId="{E93A9BB2-B945-4FD8-BFD5-D59DE76E7825}" srcOrd="8" destOrd="0" presId="urn:microsoft.com/office/officeart/2011/layout/HexagonRadial"/>
    <dgm:cxn modelId="{40EA4D90-9037-4ED3-858C-9C1DC55B7E9A}" type="presParOf" srcId="{61D62118-7EDC-403F-85B2-FA7C0B2BC552}" destId="{9681973C-E1AB-40EE-8B82-C02C9105CAA5}" srcOrd="9" destOrd="0" presId="urn:microsoft.com/office/officeart/2011/layout/HexagonRadial"/>
    <dgm:cxn modelId="{FC887429-9712-4477-9275-87BCE55CE7BB}" type="presParOf" srcId="{9681973C-E1AB-40EE-8B82-C02C9105CAA5}" destId="{96E9DE56-F769-4104-8125-3CA787FD4131}" srcOrd="0" destOrd="0" presId="urn:microsoft.com/office/officeart/2011/layout/HexagonRadial"/>
    <dgm:cxn modelId="{EF13E6D7-9A65-47EE-AC32-A2E1782342E8}" type="presParOf" srcId="{61D62118-7EDC-403F-85B2-FA7C0B2BC552}" destId="{6F8EAA46-F532-4C68-AEFD-1211B298103D}" srcOrd="10" destOrd="0" presId="urn:microsoft.com/office/officeart/2011/layout/HexagonRadial"/>
    <dgm:cxn modelId="{85730646-3411-4188-BFBB-0496517C1EB6}" type="presParOf" srcId="{61D62118-7EDC-403F-85B2-FA7C0B2BC552}" destId="{DEA453C4-7FCE-4516-8C15-2A4A30381ADE}" srcOrd="11" destOrd="0" presId="urn:microsoft.com/office/officeart/2011/layout/HexagonRadial"/>
    <dgm:cxn modelId="{177B8C48-7F08-4DF9-87D4-16301ADA983B}" type="presParOf" srcId="{DEA453C4-7FCE-4516-8C15-2A4A30381ADE}" destId="{6C4DDBFC-09B7-464B-ACD6-A87880DB0088}" srcOrd="0" destOrd="0" presId="urn:microsoft.com/office/officeart/2011/layout/HexagonRadial"/>
    <dgm:cxn modelId="{F6C265A9-7FD1-443E-B8F3-EE8DAA45629E}" type="presParOf" srcId="{61D62118-7EDC-403F-85B2-FA7C0B2BC552}" destId="{BD99484E-1D3C-40EB-918C-56261D78F975}" srcOrd="12" destOrd="0" presId="urn:microsoft.com/office/officeart/2011/layout/HexagonRadial"/>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6911E62-C062-45F0-9488-7EF5F4D956E8}" type="doc">
      <dgm:prSet loTypeId="urn:microsoft.com/office/officeart/2005/8/layout/pyramid1" loCatId="pyramid" qsTypeId="urn:microsoft.com/office/officeart/2005/8/quickstyle/simple3" qsCatId="simple" csTypeId="urn:microsoft.com/office/officeart/2005/8/colors/colorful1#3" csCatId="colorful" phldr="1"/>
      <dgm:spPr/>
    </dgm:pt>
    <dgm:pt modelId="{DC8CC806-B870-46ED-91BE-9333A5F370C1}">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косвенные </a:t>
          </a:r>
        </a:p>
        <a:p>
          <a:pPr>
            <a:lnSpc>
              <a:spcPct val="100000"/>
            </a:lnSpc>
            <a:spcAft>
              <a:spcPts val="0"/>
            </a:spcAft>
          </a:pPr>
          <a:r>
            <a:rPr lang="ru-RU" sz="1200">
              <a:latin typeface="Times New Roman" panose="02020603050405020304" pitchFamily="18" charset="0"/>
              <a:cs typeface="Times New Roman" panose="02020603050405020304" pitchFamily="18" charset="0"/>
            </a:rPr>
            <a:t>расходы</a:t>
          </a:r>
        </a:p>
      </dgm:t>
    </dgm:pt>
    <dgm:pt modelId="{D2959D9D-F8ED-4079-A866-FDCCDA1B0076}" type="parTrans" cxnId="{EC1A5154-C4FE-48EB-995C-77B256B916C3}">
      <dgm:prSet/>
      <dgm:spPr/>
      <dgm:t>
        <a:bodyPr/>
        <a:lstStyle/>
        <a:p>
          <a:endParaRPr lang="ru-RU" sz="1200">
            <a:latin typeface="Times New Roman" panose="02020603050405020304" pitchFamily="18" charset="0"/>
            <a:cs typeface="Times New Roman" panose="02020603050405020304" pitchFamily="18" charset="0"/>
          </a:endParaRPr>
        </a:p>
      </dgm:t>
    </dgm:pt>
    <dgm:pt modelId="{97CEA9CF-9D17-4B64-92A4-79967DDFD670}" type="sibTrans" cxnId="{EC1A5154-C4FE-48EB-995C-77B256B916C3}">
      <dgm:prSet/>
      <dgm:spPr/>
      <dgm:t>
        <a:bodyPr/>
        <a:lstStyle/>
        <a:p>
          <a:endParaRPr lang="ru-RU" sz="1200">
            <a:latin typeface="Times New Roman" panose="02020603050405020304" pitchFamily="18" charset="0"/>
            <a:cs typeface="Times New Roman" panose="02020603050405020304" pitchFamily="18" charset="0"/>
          </a:endParaRPr>
        </a:p>
      </dgm:t>
    </dgm:pt>
    <dgm:pt modelId="{CA73476A-764E-4E87-9DE3-0B261CE0917C}">
      <dgm:prSet phldrT="[Текст]" custT="1"/>
      <dgm:spPr/>
      <dgm:t>
        <a:bodyPr/>
        <a:lstStyle/>
        <a:p>
          <a:r>
            <a:rPr lang="ru-RU" sz="1200">
              <a:latin typeface="Times New Roman" panose="02020603050405020304" pitchFamily="18" charset="0"/>
              <a:cs typeface="Times New Roman" panose="02020603050405020304" pitchFamily="18" charset="0"/>
            </a:rPr>
            <a:t>премия за риск (рыночная и нерыночная)</a:t>
          </a:r>
        </a:p>
      </dgm:t>
    </dgm:pt>
    <dgm:pt modelId="{CD2A58F8-238C-4AF8-98A0-E8669CDA8F74}" type="parTrans" cxnId="{8B14A055-1B6A-4329-9E17-63879E02636C}">
      <dgm:prSet/>
      <dgm:spPr/>
      <dgm:t>
        <a:bodyPr/>
        <a:lstStyle/>
        <a:p>
          <a:endParaRPr lang="ru-RU" sz="1200">
            <a:latin typeface="Times New Roman" panose="02020603050405020304" pitchFamily="18" charset="0"/>
            <a:cs typeface="Times New Roman" panose="02020603050405020304" pitchFamily="18" charset="0"/>
          </a:endParaRPr>
        </a:p>
      </dgm:t>
    </dgm:pt>
    <dgm:pt modelId="{8C034DC1-02CA-4367-A048-363C3F7935D9}" type="sibTrans" cxnId="{8B14A055-1B6A-4329-9E17-63879E02636C}">
      <dgm:prSet/>
      <dgm:spPr/>
      <dgm:t>
        <a:bodyPr/>
        <a:lstStyle/>
        <a:p>
          <a:endParaRPr lang="ru-RU" sz="1200">
            <a:latin typeface="Times New Roman" panose="02020603050405020304" pitchFamily="18" charset="0"/>
            <a:cs typeface="Times New Roman" panose="02020603050405020304" pitchFamily="18" charset="0"/>
          </a:endParaRPr>
        </a:p>
      </dgm:t>
    </dgm:pt>
    <dgm:pt modelId="{9684C738-C32D-436B-8558-300807E3BF59}">
      <dgm:prSet phldrT="[Текст]" custT="1"/>
      <dgm:spPr/>
      <dgm:t>
        <a:bodyPr/>
        <a:lstStyle/>
        <a:p>
          <a:r>
            <a:rPr lang="ru-RU" sz="1200">
              <a:latin typeface="Times New Roman" panose="02020603050405020304" pitchFamily="18" charset="0"/>
              <a:cs typeface="Times New Roman" panose="02020603050405020304" pitchFamily="18" charset="0"/>
            </a:rPr>
            <a:t>ставка рефинансирования (безрисковая ставка)</a:t>
          </a:r>
        </a:p>
      </dgm:t>
    </dgm:pt>
    <dgm:pt modelId="{DE3E91B5-2095-4CA4-BF5B-06B412D90869}" type="parTrans" cxnId="{255459C7-C6AF-4FC7-A125-8C6BF9A24F34}">
      <dgm:prSet/>
      <dgm:spPr/>
      <dgm:t>
        <a:bodyPr/>
        <a:lstStyle/>
        <a:p>
          <a:endParaRPr lang="ru-RU" sz="1200">
            <a:latin typeface="Times New Roman" panose="02020603050405020304" pitchFamily="18" charset="0"/>
            <a:cs typeface="Times New Roman" panose="02020603050405020304" pitchFamily="18" charset="0"/>
          </a:endParaRPr>
        </a:p>
      </dgm:t>
    </dgm:pt>
    <dgm:pt modelId="{D8B05F8E-08E2-4F4F-A702-12ED78538EE6}" type="sibTrans" cxnId="{255459C7-C6AF-4FC7-A125-8C6BF9A24F34}">
      <dgm:prSet/>
      <dgm:spPr/>
      <dgm:t>
        <a:bodyPr/>
        <a:lstStyle/>
        <a:p>
          <a:endParaRPr lang="ru-RU" sz="1200">
            <a:latin typeface="Times New Roman" panose="02020603050405020304" pitchFamily="18" charset="0"/>
            <a:cs typeface="Times New Roman" panose="02020603050405020304" pitchFamily="18" charset="0"/>
          </a:endParaRPr>
        </a:p>
      </dgm:t>
    </dgm:pt>
    <dgm:pt modelId="{7B7D398F-83BE-43A8-95FE-AE9DCACEE398}" type="pres">
      <dgm:prSet presAssocID="{06911E62-C062-45F0-9488-7EF5F4D956E8}" presName="Name0" presStyleCnt="0">
        <dgm:presLayoutVars>
          <dgm:dir/>
          <dgm:animLvl val="lvl"/>
          <dgm:resizeHandles val="exact"/>
        </dgm:presLayoutVars>
      </dgm:prSet>
      <dgm:spPr/>
    </dgm:pt>
    <dgm:pt modelId="{4CEB1742-F3F2-41E7-807D-388249FCED92}" type="pres">
      <dgm:prSet presAssocID="{DC8CC806-B870-46ED-91BE-9333A5F370C1}" presName="Name8" presStyleCnt="0"/>
      <dgm:spPr/>
    </dgm:pt>
    <dgm:pt modelId="{C2F38D28-74DB-44C6-8D41-03E09BFA75B0}" type="pres">
      <dgm:prSet presAssocID="{DC8CC806-B870-46ED-91BE-9333A5F370C1}" presName="level" presStyleLbl="node1" presStyleIdx="0" presStyleCnt="3">
        <dgm:presLayoutVars>
          <dgm:chMax val="1"/>
          <dgm:bulletEnabled val="1"/>
        </dgm:presLayoutVars>
      </dgm:prSet>
      <dgm:spPr/>
      <dgm:t>
        <a:bodyPr/>
        <a:lstStyle/>
        <a:p>
          <a:endParaRPr lang="ru-RU"/>
        </a:p>
      </dgm:t>
    </dgm:pt>
    <dgm:pt modelId="{DC64BA0C-1E20-41CD-B728-3D992F47C05E}" type="pres">
      <dgm:prSet presAssocID="{DC8CC806-B870-46ED-91BE-9333A5F370C1}" presName="levelTx" presStyleLbl="revTx" presStyleIdx="0" presStyleCnt="0">
        <dgm:presLayoutVars>
          <dgm:chMax val="1"/>
          <dgm:bulletEnabled val="1"/>
        </dgm:presLayoutVars>
      </dgm:prSet>
      <dgm:spPr/>
      <dgm:t>
        <a:bodyPr/>
        <a:lstStyle/>
        <a:p>
          <a:endParaRPr lang="ru-RU"/>
        </a:p>
      </dgm:t>
    </dgm:pt>
    <dgm:pt modelId="{2346F123-60E1-422A-AC96-7D96EEBF6EB2}" type="pres">
      <dgm:prSet presAssocID="{CA73476A-764E-4E87-9DE3-0B261CE0917C}" presName="Name8" presStyleCnt="0"/>
      <dgm:spPr/>
    </dgm:pt>
    <dgm:pt modelId="{B54D5119-E044-4292-8CB6-68A946C253D1}" type="pres">
      <dgm:prSet presAssocID="{CA73476A-764E-4E87-9DE3-0B261CE0917C}" presName="level" presStyleLbl="node1" presStyleIdx="1" presStyleCnt="3">
        <dgm:presLayoutVars>
          <dgm:chMax val="1"/>
          <dgm:bulletEnabled val="1"/>
        </dgm:presLayoutVars>
      </dgm:prSet>
      <dgm:spPr/>
      <dgm:t>
        <a:bodyPr/>
        <a:lstStyle/>
        <a:p>
          <a:endParaRPr lang="ru-RU"/>
        </a:p>
      </dgm:t>
    </dgm:pt>
    <dgm:pt modelId="{508194DA-E88D-4DA3-83A9-4A8C8DDC3D75}" type="pres">
      <dgm:prSet presAssocID="{CA73476A-764E-4E87-9DE3-0B261CE0917C}" presName="levelTx" presStyleLbl="revTx" presStyleIdx="0" presStyleCnt="0">
        <dgm:presLayoutVars>
          <dgm:chMax val="1"/>
          <dgm:bulletEnabled val="1"/>
        </dgm:presLayoutVars>
      </dgm:prSet>
      <dgm:spPr/>
      <dgm:t>
        <a:bodyPr/>
        <a:lstStyle/>
        <a:p>
          <a:endParaRPr lang="ru-RU"/>
        </a:p>
      </dgm:t>
    </dgm:pt>
    <dgm:pt modelId="{BAB824B3-4F2E-4F48-A262-F5E142E0DEA8}" type="pres">
      <dgm:prSet presAssocID="{9684C738-C32D-436B-8558-300807E3BF59}" presName="Name8" presStyleCnt="0"/>
      <dgm:spPr/>
    </dgm:pt>
    <dgm:pt modelId="{3C4FB6AF-D58C-473A-8891-232591F13CE0}" type="pres">
      <dgm:prSet presAssocID="{9684C738-C32D-436B-8558-300807E3BF59}" presName="level" presStyleLbl="node1" presStyleIdx="2" presStyleCnt="3">
        <dgm:presLayoutVars>
          <dgm:chMax val="1"/>
          <dgm:bulletEnabled val="1"/>
        </dgm:presLayoutVars>
      </dgm:prSet>
      <dgm:spPr/>
      <dgm:t>
        <a:bodyPr/>
        <a:lstStyle/>
        <a:p>
          <a:endParaRPr lang="ru-RU"/>
        </a:p>
      </dgm:t>
    </dgm:pt>
    <dgm:pt modelId="{63B80469-4AE5-46B1-89E5-C0CAC79A7D33}" type="pres">
      <dgm:prSet presAssocID="{9684C738-C32D-436B-8558-300807E3BF59}" presName="levelTx" presStyleLbl="revTx" presStyleIdx="0" presStyleCnt="0">
        <dgm:presLayoutVars>
          <dgm:chMax val="1"/>
          <dgm:bulletEnabled val="1"/>
        </dgm:presLayoutVars>
      </dgm:prSet>
      <dgm:spPr/>
      <dgm:t>
        <a:bodyPr/>
        <a:lstStyle/>
        <a:p>
          <a:endParaRPr lang="ru-RU"/>
        </a:p>
      </dgm:t>
    </dgm:pt>
  </dgm:ptLst>
  <dgm:cxnLst>
    <dgm:cxn modelId="{76B0B90C-C373-4466-ADFB-CB55E9809A90}" type="presOf" srcId="{CA73476A-764E-4E87-9DE3-0B261CE0917C}" destId="{508194DA-E88D-4DA3-83A9-4A8C8DDC3D75}" srcOrd="1" destOrd="0" presId="urn:microsoft.com/office/officeart/2005/8/layout/pyramid1"/>
    <dgm:cxn modelId="{0DBED656-74B3-453F-BD05-2BF09F82F65E}" type="presOf" srcId="{9684C738-C32D-436B-8558-300807E3BF59}" destId="{3C4FB6AF-D58C-473A-8891-232591F13CE0}" srcOrd="0" destOrd="0" presId="urn:microsoft.com/office/officeart/2005/8/layout/pyramid1"/>
    <dgm:cxn modelId="{57E8A774-3AD3-42CC-8A51-00E5A23B443D}" type="presOf" srcId="{DC8CC806-B870-46ED-91BE-9333A5F370C1}" destId="{C2F38D28-74DB-44C6-8D41-03E09BFA75B0}" srcOrd="0" destOrd="0" presId="urn:microsoft.com/office/officeart/2005/8/layout/pyramid1"/>
    <dgm:cxn modelId="{255459C7-C6AF-4FC7-A125-8C6BF9A24F34}" srcId="{06911E62-C062-45F0-9488-7EF5F4D956E8}" destId="{9684C738-C32D-436B-8558-300807E3BF59}" srcOrd="2" destOrd="0" parTransId="{DE3E91B5-2095-4CA4-BF5B-06B412D90869}" sibTransId="{D8B05F8E-08E2-4F4F-A702-12ED78538EE6}"/>
    <dgm:cxn modelId="{97B1B543-9B30-47C0-911A-D0F6F8201A7C}" type="presOf" srcId="{CA73476A-764E-4E87-9DE3-0B261CE0917C}" destId="{B54D5119-E044-4292-8CB6-68A946C253D1}" srcOrd="0" destOrd="0" presId="urn:microsoft.com/office/officeart/2005/8/layout/pyramid1"/>
    <dgm:cxn modelId="{014EABBD-F576-4F4C-89BF-3562DA4B6AB3}" type="presOf" srcId="{9684C738-C32D-436B-8558-300807E3BF59}" destId="{63B80469-4AE5-46B1-89E5-C0CAC79A7D33}" srcOrd="1" destOrd="0" presId="urn:microsoft.com/office/officeart/2005/8/layout/pyramid1"/>
    <dgm:cxn modelId="{8B14A055-1B6A-4329-9E17-63879E02636C}" srcId="{06911E62-C062-45F0-9488-7EF5F4D956E8}" destId="{CA73476A-764E-4E87-9DE3-0B261CE0917C}" srcOrd="1" destOrd="0" parTransId="{CD2A58F8-238C-4AF8-98A0-E8669CDA8F74}" sibTransId="{8C034DC1-02CA-4367-A048-363C3F7935D9}"/>
    <dgm:cxn modelId="{EC1A5154-C4FE-48EB-995C-77B256B916C3}" srcId="{06911E62-C062-45F0-9488-7EF5F4D956E8}" destId="{DC8CC806-B870-46ED-91BE-9333A5F370C1}" srcOrd="0" destOrd="0" parTransId="{D2959D9D-F8ED-4079-A866-FDCCDA1B0076}" sibTransId="{97CEA9CF-9D17-4B64-92A4-79967DDFD670}"/>
    <dgm:cxn modelId="{E3F807B8-3F98-4A21-8345-F22ED1E71BAC}" type="presOf" srcId="{06911E62-C062-45F0-9488-7EF5F4D956E8}" destId="{7B7D398F-83BE-43A8-95FE-AE9DCACEE398}" srcOrd="0" destOrd="0" presId="urn:microsoft.com/office/officeart/2005/8/layout/pyramid1"/>
    <dgm:cxn modelId="{21DB8B58-9A6C-4A56-BFC3-5FCF548A0391}" type="presOf" srcId="{DC8CC806-B870-46ED-91BE-9333A5F370C1}" destId="{DC64BA0C-1E20-41CD-B728-3D992F47C05E}" srcOrd="1" destOrd="0" presId="urn:microsoft.com/office/officeart/2005/8/layout/pyramid1"/>
    <dgm:cxn modelId="{3FE56428-8AE1-4ADB-86BA-B828037E7818}" type="presParOf" srcId="{7B7D398F-83BE-43A8-95FE-AE9DCACEE398}" destId="{4CEB1742-F3F2-41E7-807D-388249FCED92}" srcOrd="0" destOrd="0" presId="urn:microsoft.com/office/officeart/2005/8/layout/pyramid1"/>
    <dgm:cxn modelId="{969E6A57-5637-4FF5-81B6-3D7E7FD0DAAF}" type="presParOf" srcId="{4CEB1742-F3F2-41E7-807D-388249FCED92}" destId="{C2F38D28-74DB-44C6-8D41-03E09BFA75B0}" srcOrd="0" destOrd="0" presId="urn:microsoft.com/office/officeart/2005/8/layout/pyramid1"/>
    <dgm:cxn modelId="{5009F05C-D70C-4AB6-8654-3EB18F2FFAE1}" type="presParOf" srcId="{4CEB1742-F3F2-41E7-807D-388249FCED92}" destId="{DC64BA0C-1E20-41CD-B728-3D992F47C05E}" srcOrd="1" destOrd="0" presId="urn:microsoft.com/office/officeart/2005/8/layout/pyramid1"/>
    <dgm:cxn modelId="{02AC84B1-0BEA-4F3C-9589-6AC470F3FA76}" type="presParOf" srcId="{7B7D398F-83BE-43A8-95FE-AE9DCACEE398}" destId="{2346F123-60E1-422A-AC96-7D96EEBF6EB2}" srcOrd="1" destOrd="0" presId="urn:microsoft.com/office/officeart/2005/8/layout/pyramid1"/>
    <dgm:cxn modelId="{3D6CBEF7-B749-4C70-BBF4-F2FEE3069A58}" type="presParOf" srcId="{2346F123-60E1-422A-AC96-7D96EEBF6EB2}" destId="{B54D5119-E044-4292-8CB6-68A946C253D1}" srcOrd="0" destOrd="0" presId="urn:microsoft.com/office/officeart/2005/8/layout/pyramid1"/>
    <dgm:cxn modelId="{6C03A4E9-7400-431C-9AF0-DB52F3247CA4}" type="presParOf" srcId="{2346F123-60E1-422A-AC96-7D96EEBF6EB2}" destId="{508194DA-E88D-4DA3-83A9-4A8C8DDC3D75}" srcOrd="1" destOrd="0" presId="urn:microsoft.com/office/officeart/2005/8/layout/pyramid1"/>
    <dgm:cxn modelId="{96C4B103-B6B3-4055-BEF8-3EC08AAE31B6}" type="presParOf" srcId="{7B7D398F-83BE-43A8-95FE-AE9DCACEE398}" destId="{BAB824B3-4F2E-4F48-A262-F5E142E0DEA8}" srcOrd="2" destOrd="0" presId="urn:microsoft.com/office/officeart/2005/8/layout/pyramid1"/>
    <dgm:cxn modelId="{83BF2904-441B-4378-8C07-568648BDE5F8}" type="presParOf" srcId="{BAB824B3-4F2E-4F48-A262-F5E142E0DEA8}" destId="{3C4FB6AF-D58C-473A-8891-232591F13CE0}" srcOrd="0" destOrd="0" presId="urn:microsoft.com/office/officeart/2005/8/layout/pyramid1"/>
    <dgm:cxn modelId="{A8D00D51-EB3D-4D29-AA51-FEA85B05DCAA}" type="presParOf" srcId="{BAB824B3-4F2E-4F48-A262-F5E142E0DEA8}" destId="{63B80469-4AE5-46B1-89E5-C0CAC79A7D33}" srcOrd="1" destOrd="0" presId="urn:microsoft.com/office/officeart/2005/8/layout/pyramid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2560B54-3C33-4DCC-8AB5-EE0409A843AD}" type="doc">
      <dgm:prSet loTypeId="urn:microsoft.com/office/officeart/2005/8/layout/cycle3" loCatId="cycle" qsTypeId="urn:microsoft.com/office/officeart/2005/8/quickstyle/simple3" qsCatId="simple" csTypeId="urn:microsoft.com/office/officeart/2005/8/colors/colorful1#4" csCatId="colorful" phldr="1"/>
      <dgm:spPr/>
      <dgm:t>
        <a:bodyPr/>
        <a:lstStyle/>
        <a:p>
          <a:endParaRPr lang="ru-RU"/>
        </a:p>
      </dgm:t>
    </dgm:pt>
    <dgm:pt modelId="{947939BD-8B35-4EEE-8D59-5975DCCC47BC}">
      <dgm:prSet phldrT="[Текст]" custT="1"/>
      <dgm:spPr/>
      <dgm:t>
        <a:bodyPr/>
        <a:lstStyle/>
        <a:p>
          <a:r>
            <a:rPr lang="ru-RU" sz="1100">
              <a:latin typeface="Times New Roman" panose="02020603050405020304" pitchFamily="18" charset="0"/>
              <a:cs typeface="Times New Roman" panose="02020603050405020304" pitchFamily="18" charset="0"/>
            </a:rPr>
            <a:t>использование всех доступных инструментов фондирования</a:t>
          </a:r>
        </a:p>
      </dgm:t>
    </dgm:pt>
    <dgm:pt modelId="{49C749AE-89D3-4DB4-86C1-F10D54BAA806}" type="parTrans" cxnId="{85FA0B4E-B363-4541-8233-957C96239076}">
      <dgm:prSet/>
      <dgm:spPr/>
      <dgm:t>
        <a:bodyPr/>
        <a:lstStyle/>
        <a:p>
          <a:endParaRPr lang="ru-RU" sz="1100">
            <a:latin typeface="Times New Roman" panose="02020603050405020304" pitchFamily="18" charset="0"/>
            <a:cs typeface="Times New Roman" panose="02020603050405020304" pitchFamily="18" charset="0"/>
          </a:endParaRPr>
        </a:p>
      </dgm:t>
    </dgm:pt>
    <dgm:pt modelId="{69440A92-2369-45B5-B9BA-4F269F858D66}" type="sibTrans" cxnId="{85FA0B4E-B363-4541-8233-957C96239076}">
      <dgm:prSet/>
      <dgm:spPr/>
      <dgm:t>
        <a:bodyPr/>
        <a:lstStyle/>
        <a:p>
          <a:endParaRPr lang="ru-RU" sz="1100">
            <a:latin typeface="Times New Roman" panose="02020603050405020304" pitchFamily="18" charset="0"/>
            <a:cs typeface="Times New Roman" panose="02020603050405020304" pitchFamily="18" charset="0"/>
          </a:endParaRPr>
        </a:p>
      </dgm:t>
    </dgm:pt>
    <dgm:pt modelId="{FC023A63-AEDF-4749-8DE1-9DE6597C4E24}">
      <dgm:prSet phldrT="[Текст]" custT="1"/>
      <dgm:spPr/>
      <dgm:t>
        <a:bodyPr/>
        <a:lstStyle/>
        <a:p>
          <a:r>
            <a:rPr lang="ru-RU" sz="1100">
              <a:latin typeface="Times New Roman" panose="02020603050405020304" pitchFamily="18" charset="0"/>
              <a:cs typeface="Times New Roman" panose="02020603050405020304" pitchFamily="18" charset="0"/>
            </a:rPr>
            <a:t>диверсификация источников и сроков фондирования</a:t>
          </a:r>
        </a:p>
      </dgm:t>
    </dgm:pt>
    <dgm:pt modelId="{FD3403F9-252C-4C8F-82D3-8FD38DD2A1E0}" type="parTrans" cxnId="{2EE03CAF-C514-4E45-B63E-0378984385E1}">
      <dgm:prSet/>
      <dgm:spPr/>
      <dgm:t>
        <a:bodyPr/>
        <a:lstStyle/>
        <a:p>
          <a:endParaRPr lang="ru-RU" sz="1100">
            <a:latin typeface="Times New Roman" panose="02020603050405020304" pitchFamily="18" charset="0"/>
            <a:cs typeface="Times New Roman" panose="02020603050405020304" pitchFamily="18" charset="0"/>
          </a:endParaRPr>
        </a:p>
      </dgm:t>
    </dgm:pt>
    <dgm:pt modelId="{C4D09728-43AF-4AFB-BB33-17F583CBD17B}" type="sibTrans" cxnId="{2EE03CAF-C514-4E45-B63E-0378984385E1}">
      <dgm:prSet/>
      <dgm:spPr/>
      <dgm:t>
        <a:bodyPr/>
        <a:lstStyle/>
        <a:p>
          <a:endParaRPr lang="ru-RU" sz="1100">
            <a:latin typeface="Times New Roman" panose="02020603050405020304" pitchFamily="18" charset="0"/>
            <a:cs typeface="Times New Roman" panose="02020603050405020304" pitchFamily="18" charset="0"/>
          </a:endParaRPr>
        </a:p>
      </dgm:t>
    </dgm:pt>
    <dgm:pt modelId="{CA01CE9D-FD32-4EC0-BD2E-200C1623CAE5}">
      <dgm:prSet phldrT="[Текст]" custT="1"/>
      <dgm:spPr/>
      <dgm:t>
        <a:bodyPr/>
        <a:lstStyle/>
        <a:p>
          <a:r>
            <a:rPr lang="ru-RU" sz="1100">
              <a:latin typeface="Times New Roman" panose="02020603050405020304" pitchFamily="18" charset="0"/>
              <a:cs typeface="Times New Roman" panose="02020603050405020304" pitchFamily="18" charset="0"/>
            </a:rPr>
            <a:t>обеспечение нетто стабильного фондирования выше требуемого значения</a:t>
          </a:r>
        </a:p>
      </dgm:t>
    </dgm:pt>
    <dgm:pt modelId="{D42D8E02-75C3-45C0-BB91-C3234FC3AF75}" type="parTrans" cxnId="{72E31CB3-1B71-483F-B906-E0C692E9F53D}">
      <dgm:prSet/>
      <dgm:spPr/>
      <dgm:t>
        <a:bodyPr/>
        <a:lstStyle/>
        <a:p>
          <a:endParaRPr lang="ru-RU" sz="1100">
            <a:latin typeface="Times New Roman" panose="02020603050405020304" pitchFamily="18" charset="0"/>
            <a:cs typeface="Times New Roman" panose="02020603050405020304" pitchFamily="18" charset="0"/>
          </a:endParaRPr>
        </a:p>
      </dgm:t>
    </dgm:pt>
    <dgm:pt modelId="{6D6BC9EA-944D-455F-96EA-F23336199838}" type="sibTrans" cxnId="{72E31CB3-1B71-483F-B906-E0C692E9F53D}">
      <dgm:prSet/>
      <dgm:spPr/>
      <dgm:t>
        <a:bodyPr/>
        <a:lstStyle/>
        <a:p>
          <a:endParaRPr lang="ru-RU" sz="1100">
            <a:latin typeface="Times New Roman" panose="02020603050405020304" pitchFamily="18" charset="0"/>
            <a:cs typeface="Times New Roman" panose="02020603050405020304" pitchFamily="18" charset="0"/>
          </a:endParaRPr>
        </a:p>
      </dgm:t>
    </dgm:pt>
    <dgm:pt modelId="{D9678762-DA08-4F66-AAA0-1F387BF0EB6E}">
      <dgm:prSet phldrT="[Текст]" custT="1"/>
      <dgm:spPr/>
      <dgm:t>
        <a:bodyPr/>
        <a:lstStyle/>
        <a:p>
          <a:r>
            <a:rPr lang="ru-RU" sz="1100">
              <a:latin typeface="Times New Roman" panose="02020603050405020304" pitchFamily="18" charset="0"/>
              <a:cs typeface="Times New Roman" panose="02020603050405020304" pitchFamily="18" charset="0"/>
            </a:rPr>
            <a:t>мониторинг рынка и структуры портфеля фондирования</a:t>
          </a:r>
        </a:p>
      </dgm:t>
    </dgm:pt>
    <dgm:pt modelId="{C921B9EB-C0C6-423E-9B8E-1F22848470D5}" type="parTrans" cxnId="{22D5A67C-9B53-4736-8940-A23EDC39D529}">
      <dgm:prSet/>
      <dgm:spPr/>
      <dgm:t>
        <a:bodyPr/>
        <a:lstStyle/>
        <a:p>
          <a:endParaRPr lang="ru-RU" sz="1100">
            <a:latin typeface="Times New Roman" panose="02020603050405020304" pitchFamily="18" charset="0"/>
            <a:cs typeface="Times New Roman" panose="02020603050405020304" pitchFamily="18" charset="0"/>
          </a:endParaRPr>
        </a:p>
      </dgm:t>
    </dgm:pt>
    <dgm:pt modelId="{9BB11155-2954-409E-9490-6F0C96CD3157}" type="sibTrans" cxnId="{22D5A67C-9B53-4736-8940-A23EDC39D529}">
      <dgm:prSet/>
      <dgm:spPr/>
      <dgm:t>
        <a:bodyPr/>
        <a:lstStyle/>
        <a:p>
          <a:endParaRPr lang="ru-RU" sz="1100">
            <a:latin typeface="Times New Roman" panose="02020603050405020304" pitchFamily="18" charset="0"/>
            <a:cs typeface="Times New Roman" panose="02020603050405020304" pitchFamily="18" charset="0"/>
          </a:endParaRPr>
        </a:p>
      </dgm:t>
    </dgm:pt>
    <dgm:pt modelId="{39CE49DE-8F53-48D6-BA39-07C7ED204E06}">
      <dgm:prSet phldrT="[Текст]" custT="1"/>
      <dgm:spPr/>
      <dgm:t>
        <a:bodyPr/>
        <a:lstStyle/>
        <a:p>
          <a:r>
            <a:rPr lang="ru-RU" sz="1100">
              <a:latin typeface="Times New Roman" panose="02020603050405020304" pitchFamily="18" charset="0"/>
              <a:cs typeface="Times New Roman" panose="02020603050405020304" pitchFamily="18" charset="0"/>
            </a:rPr>
            <a:t>постоянный поиск новых источников и инструментов фондирования</a:t>
          </a:r>
        </a:p>
      </dgm:t>
    </dgm:pt>
    <dgm:pt modelId="{4C5E11A0-C042-4B8D-B955-D255710BD878}" type="parTrans" cxnId="{570420ED-F383-46C8-A5B5-7753BA5BDCDB}">
      <dgm:prSet/>
      <dgm:spPr/>
      <dgm:t>
        <a:bodyPr/>
        <a:lstStyle/>
        <a:p>
          <a:endParaRPr lang="ru-RU" sz="1100">
            <a:latin typeface="Times New Roman" panose="02020603050405020304" pitchFamily="18" charset="0"/>
            <a:cs typeface="Times New Roman" panose="02020603050405020304" pitchFamily="18" charset="0"/>
          </a:endParaRPr>
        </a:p>
      </dgm:t>
    </dgm:pt>
    <dgm:pt modelId="{7FC0C28D-975C-4A9C-A5A3-6D02A9275882}" type="sibTrans" cxnId="{570420ED-F383-46C8-A5B5-7753BA5BDCDB}">
      <dgm:prSet/>
      <dgm:spPr/>
      <dgm:t>
        <a:bodyPr/>
        <a:lstStyle/>
        <a:p>
          <a:endParaRPr lang="ru-RU" sz="1100">
            <a:latin typeface="Times New Roman" panose="02020603050405020304" pitchFamily="18" charset="0"/>
            <a:cs typeface="Times New Roman" panose="02020603050405020304" pitchFamily="18" charset="0"/>
          </a:endParaRPr>
        </a:p>
      </dgm:t>
    </dgm:pt>
    <dgm:pt modelId="{5D7EB97F-E643-4152-8AF6-04EA82E7BEA2}">
      <dgm:prSet custT="1"/>
      <dgm:spPr/>
      <dgm:t>
        <a:bodyPr/>
        <a:lstStyle/>
        <a:p>
          <a:r>
            <a:rPr lang="ru-RU" sz="1100">
              <a:latin typeface="Times New Roman" panose="02020603050405020304" pitchFamily="18" charset="0"/>
              <a:cs typeface="Times New Roman" panose="02020603050405020304" pitchFamily="18" charset="0"/>
            </a:rPr>
            <a:t>соблюдение лимитов плотности фондирования</a:t>
          </a:r>
        </a:p>
      </dgm:t>
    </dgm:pt>
    <dgm:pt modelId="{672B5EAA-13E5-4F40-BC20-D34DF2BF75D7}" type="parTrans" cxnId="{407CF394-8877-4CFD-964D-B036620495B8}">
      <dgm:prSet/>
      <dgm:spPr/>
      <dgm:t>
        <a:bodyPr/>
        <a:lstStyle/>
        <a:p>
          <a:endParaRPr lang="ru-RU" sz="1100">
            <a:latin typeface="Times New Roman" panose="02020603050405020304" pitchFamily="18" charset="0"/>
            <a:cs typeface="Times New Roman" panose="02020603050405020304" pitchFamily="18" charset="0"/>
          </a:endParaRPr>
        </a:p>
      </dgm:t>
    </dgm:pt>
    <dgm:pt modelId="{5B388659-FE89-45DB-A51D-EF1C9C67E19C}" type="sibTrans" cxnId="{407CF394-8877-4CFD-964D-B036620495B8}">
      <dgm:prSet/>
      <dgm:spPr/>
      <dgm:t>
        <a:bodyPr/>
        <a:lstStyle/>
        <a:p>
          <a:endParaRPr lang="ru-RU" sz="1100">
            <a:latin typeface="Times New Roman" panose="02020603050405020304" pitchFamily="18" charset="0"/>
            <a:cs typeface="Times New Roman" panose="02020603050405020304" pitchFamily="18" charset="0"/>
          </a:endParaRPr>
        </a:p>
      </dgm:t>
    </dgm:pt>
    <dgm:pt modelId="{7520893B-2A56-408E-AB51-5B9ADE4ED702}" type="pres">
      <dgm:prSet presAssocID="{E2560B54-3C33-4DCC-8AB5-EE0409A843AD}" presName="Name0" presStyleCnt="0">
        <dgm:presLayoutVars>
          <dgm:dir/>
          <dgm:resizeHandles val="exact"/>
        </dgm:presLayoutVars>
      </dgm:prSet>
      <dgm:spPr/>
      <dgm:t>
        <a:bodyPr/>
        <a:lstStyle/>
        <a:p>
          <a:endParaRPr lang="ru-RU"/>
        </a:p>
      </dgm:t>
    </dgm:pt>
    <dgm:pt modelId="{B047164E-3BC8-41F8-B57A-0758BCFA796D}" type="pres">
      <dgm:prSet presAssocID="{E2560B54-3C33-4DCC-8AB5-EE0409A843AD}" presName="cycle" presStyleCnt="0"/>
      <dgm:spPr/>
    </dgm:pt>
    <dgm:pt modelId="{02D48661-8AA2-4CB7-B19E-687E03BE3985}" type="pres">
      <dgm:prSet presAssocID="{947939BD-8B35-4EEE-8D59-5975DCCC47BC}" presName="nodeFirstNode" presStyleLbl="node1" presStyleIdx="0" presStyleCnt="6" custScaleX="184884">
        <dgm:presLayoutVars>
          <dgm:bulletEnabled val="1"/>
        </dgm:presLayoutVars>
      </dgm:prSet>
      <dgm:spPr/>
      <dgm:t>
        <a:bodyPr/>
        <a:lstStyle/>
        <a:p>
          <a:endParaRPr lang="ru-RU"/>
        </a:p>
      </dgm:t>
    </dgm:pt>
    <dgm:pt modelId="{EB46E0E0-5C55-4F53-97C8-D05C7112AC7D}" type="pres">
      <dgm:prSet presAssocID="{69440A92-2369-45B5-B9BA-4F269F858D66}" presName="sibTransFirstNode" presStyleLbl="bgShp" presStyleIdx="0" presStyleCnt="1"/>
      <dgm:spPr/>
      <dgm:t>
        <a:bodyPr/>
        <a:lstStyle/>
        <a:p>
          <a:endParaRPr lang="ru-RU"/>
        </a:p>
      </dgm:t>
    </dgm:pt>
    <dgm:pt modelId="{9AB6D336-5332-4F56-8017-1FA66D8F30C2}" type="pres">
      <dgm:prSet presAssocID="{FC023A63-AEDF-4749-8DE1-9DE6597C4E24}" presName="nodeFollowingNodes" presStyleLbl="node1" presStyleIdx="1" presStyleCnt="6" custScaleX="201302" custRadScaleRad="122940" custRadScaleInc="10389">
        <dgm:presLayoutVars>
          <dgm:bulletEnabled val="1"/>
        </dgm:presLayoutVars>
      </dgm:prSet>
      <dgm:spPr/>
      <dgm:t>
        <a:bodyPr/>
        <a:lstStyle/>
        <a:p>
          <a:endParaRPr lang="ru-RU"/>
        </a:p>
      </dgm:t>
    </dgm:pt>
    <dgm:pt modelId="{70AACEAF-44E0-486B-BC06-E56E390B5EB1}" type="pres">
      <dgm:prSet presAssocID="{CA01CE9D-FD32-4EC0-BD2E-200C1623CAE5}" presName="nodeFollowingNodes" presStyleLbl="node1" presStyleIdx="2" presStyleCnt="6" custScaleX="198234" custRadScaleRad="118691" custRadScaleInc="-27960">
        <dgm:presLayoutVars>
          <dgm:bulletEnabled val="1"/>
        </dgm:presLayoutVars>
      </dgm:prSet>
      <dgm:spPr/>
      <dgm:t>
        <a:bodyPr/>
        <a:lstStyle/>
        <a:p>
          <a:endParaRPr lang="ru-RU"/>
        </a:p>
      </dgm:t>
    </dgm:pt>
    <dgm:pt modelId="{6DFAEDB6-CECE-415C-8631-3BF74534BF40}" type="pres">
      <dgm:prSet presAssocID="{D9678762-DA08-4F66-AAA0-1F387BF0EB6E}" presName="nodeFollowingNodes" presStyleLbl="node1" presStyleIdx="3" presStyleCnt="6" custScaleX="161295">
        <dgm:presLayoutVars>
          <dgm:bulletEnabled val="1"/>
        </dgm:presLayoutVars>
      </dgm:prSet>
      <dgm:spPr/>
      <dgm:t>
        <a:bodyPr/>
        <a:lstStyle/>
        <a:p>
          <a:endParaRPr lang="ru-RU"/>
        </a:p>
      </dgm:t>
    </dgm:pt>
    <dgm:pt modelId="{C821A36A-B627-414F-8490-06D55BD5F19F}" type="pres">
      <dgm:prSet presAssocID="{39CE49DE-8F53-48D6-BA39-07C7ED204E06}" presName="nodeFollowingNodes" presStyleLbl="node1" presStyleIdx="4" presStyleCnt="6" custScaleX="207769" custRadScaleRad="116758" custRadScaleInc="25522">
        <dgm:presLayoutVars>
          <dgm:bulletEnabled val="1"/>
        </dgm:presLayoutVars>
      </dgm:prSet>
      <dgm:spPr/>
      <dgm:t>
        <a:bodyPr/>
        <a:lstStyle/>
        <a:p>
          <a:endParaRPr lang="ru-RU"/>
        </a:p>
      </dgm:t>
    </dgm:pt>
    <dgm:pt modelId="{54B037FE-C0BB-458E-9608-8AE2CBEE119D}" type="pres">
      <dgm:prSet presAssocID="{5D7EB97F-E643-4152-8AF6-04EA82E7BEA2}" presName="nodeFollowingNodes" presStyleLbl="node1" presStyleIdx="5" presStyleCnt="6" custScaleX="203899" custRadScaleRad="122478" custRadScaleInc="-12765">
        <dgm:presLayoutVars>
          <dgm:bulletEnabled val="1"/>
        </dgm:presLayoutVars>
      </dgm:prSet>
      <dgm:spPr/>
      <dgm:t>
        <a:bodyPr/>
        <a:lstStyle/>
        <a:p>
          <a:endParaRPr lang="ru-RU"/>
        </a:p>
      </dgm:t>
    </dgm:pt>
  </dgm:ptLst>
  <dgm:cxnLst>
    <dgm:cxn modelId="{0F836DF4-305B-474B-BF84-AF51997A3C94}" type="presOf" srcId="{E2560B54-3C33-4DCC-8AB5-EE0409A843AD}" destId="{7520893B-2A56-408E-AB51-5B9ADE4ED702}" srcOrd="0" destOrd="0" presId="urn:microsoft.com/office/officeart/2005/8/layout/cycle3"/>
    <dgm:cxn modelId="{EC90492A-4DFF-4AD7-85BB-C4FCA1CF0DA8}" type="presOf" srcId="{947939BD-8B35-4EEE-8D59-5975DCCC47BC}" destId="{02D48661-8AA2-4CB7-B19E-687E03BE3985}" srcOrd="0" destOrd="0" presId="urn:microsoft.com/office/officeart/2005/8/layout/cycle3"/>
    <dgm:cxn modelId="{570420ED-F383-46C8-A5B5-7753BA5BDCDB}" srcId="{E2560B54-3C33-4DCC-8AB5-EE0409A843AD}" destId="{39CE49DE-8F53-48D6-BA39-07C7ED204E06}" srcOrd="4" destOrd="0" parTransId="{4C5E11A0-C042-4B8D-B955-D255710BD878}" sibTransId="{7FC0C28D-975C-4A9C-A5A3-6D02A9275882}"/>
    <dgm:cxn modelId="{451F4AF8-B1A6-47D7-81FD-EAA0C690089F}" type="presOf" srcId="{39CE49DE-8F53-48D6-BA39-07C7ED204E06}" destId="{C821A36A-B627-414F-8490-06D55BD5F19F}" srcOrd="0" destOrd="0" presId="urn:microsoft.com/office/officeart/2005/8/layout/cycle3"/>
    <dgm:cxn modelId="{4013D090-8698-4AEB-B3AC-4B33C3C2194E}" type="presOf" srcId="{D9678762-DA08-4F66-AAA0-1F387BF0EB6E}" destId="{6DFAEDB6-CECE-415C-8631-3BF74534BF40}" srcOrd="0" destOrd="0" presId="urn:microsoft.com/office/officeart/2005/8/layout/cycle3"/>
    <dgm:cxn modelId="{2EE03CAF-C514-4E45-B63E-0378984385E1}" srcId="{E2560B54-3C33-4DCC-8AB5-EE0409A843AD}" destId="{FC023A63-AEDF-4749-8DE1-9DE6597C4E24}" srcOrd="1" destOrd="0" parTransId="{FD3403F9-252C-4C8F-82D3-8FD38DD2A1E0}" sibTransId="{C4D09728-43AF-4AFB-BB33-17F583CBD17B}"/>
    <dgm:cxn modelId="{4E51B37D-B8E8-4BAA-A61C-721F51863215}" type="presOf" srcId="{FC023A63-AEDF-4749-8DE1-9DE6597C4E24}" destId="{9AB6D336-5332-4F56-8017-1FA66D8F30C2}" srcOrd="0" destOrd="0" presId="urn:microsoft.com/office/officeart/2005/8/layout/cycle3"/>
    <dgm:cxn modelId="{22D5A67C-9B53-4736-8940-A23EDC39D529}" srcId="{E2560B54-3C33-4DCC-8AB5-EE0409A843AD}" destId="{D9678762-DA08-4F66-AAA0-1F387BF0EB6E}" srcOrd="3" destOrd="0" parTransId="{C921B9EB-C0C6-423E-9B8E-1F22848470D5}" sibTransId="{9BB11155-2954-409E-9490-6F0C96CD3157}"/>
    <dgm:cxn modelId="{407CF394-8877-4CFD-964D-B036620495B8}" srcId="{E2560B54-3C33-4DCC-8AB5-EE0409A843AD}" destId="{5D7EB97F-E643-4152-8AF6-04EA82E7BEA2}" srcOrd="5" destOrd="0" parTransId="{672B5EAA-13E5-4F40-BC20-D34DF2BF75D7}" sibTransId="{5B388659-FE89-45DB-A51D-EF1C9C67E19C}"/>
    <dgm:cxn modelId="{72E31CB3-1B71-483F-B906-E0C692E9F53D}" srcId="{E2560B54-3C33-4DCC-8AB5-EE0409A843AD}" destId="{CA01CE9D-FD32-4EC0-BD2E-200C1623CAE5}" srcOrd="2" destOrd="0" parTransId="{D42D8E02-75C3-45C0-BB91-C3234FC3AF75}" sibTransId="{6D6BC9EA-944D-455F-96EA-F23336199838}"/>
    <dgm:cxn modelId="{F0AAB04D-81C6-4167-BB02-D829E204B35A}" type="presOf" srcId="{69440A92-2369-45B5-B9BA-4F269F858D66}" destId="{EB46E0E0-5C55-4F53-97C8-D05C7112AC7D}" srcOrd="0" destOrd="0" presId="urn:microsoft.com/office/officeart/2005/8/layout/cycle3"/>
    <dgm:cxn modelId="{85FA0B4E-B363-4541-8233-957C96239076}" srcId="{E2560B54-3C33-4DCC-8AB5-EE0409A843AD}" destId="{947939BD-8B35-4EEE-8D59-5975DCCC47BC}" srcOrd="0" destOrd="0" parTransId="{49C749AE-89D3-4DB4-86C1-F10D54BAA806}" sibTransId="{69440A92-2369-45B5-B9BA-4F269F858D66}"/>
    <dgm:cxn modelId="{86E2B307-9D94-4F05-B654-381DADB2CCEC}" type="presOf" srcId="{CA01CE9D-FD32-4EC0-BD2E-200C1623CAE5}" destId="{70AACEAF-44E0-486B-BC06-E56E390B5EB1}" srcOrd="0" destOrd="0" presId="urn:microsoft.com/office/officeart/2005/8/layout/cycle3"/>
    <dgm:cxn modelId="{86EFF023-4ED1-4C6E-BC85-9B92D3BE129A}" type="presOf" srcId="{5D7EB97F-E643-4152-8AF6-04EA82E7BEA2}" destId="{54B037FE-C0BB-458E-9608-8AE2CBEE119D}" srcOrd="0" destOrd="0" presId="urn:microsoft.com/office/officeart/2005/8/layout/cycle3"/>
    <dgm:cxn modelId="{1FDC3CCE-D148-450A-9BBF-F35C30E42D4A}" type="presParOf" srcId="{7520893B-2A56-408E-AB51-5B9ADE4ED702}" destId="{B047164E-3BC8-41F8-B57A-0758BCFA796D}" srcOrd="0" destOrd="0" presId="urn:microsoft.com/office/officeart/2005/8/layout/cycle3"/>
    <dgm:cxn modelId="{6951F723-9D62-41A4-A2B4-0A5C1668419D}" type="presParOf" srcId="{B047164E-3BC8-41F8-B57A-0758BCFA796D}" destId="{02D48661-8AA2-4CB7-B19E-687E03BE3985}" srcOrd="0" destOrd="0" presId="urn:microsoft.com/office/officeart/2005/8/layout/cycle3"/>
    <dgm:cxn modelId="{689D7B4F-D3C2-43FD-8B09-2FADDA21BC01}" type="presParOf" srcId="{B047164E-3BC8-41F8-B57A-0758BCFA796D}" destId="{EB46E0E0-5C55-4F53-97C8-D05C7112AC7D}" srcOrd="1" destOrd="0" presId="urn:microsoft.com/office/officeart/2005/8/layout/cycle3"/>
    <dgm:cxn modelId="{6C8B710A-2584-4EB5-82C1-7260BC784EC2}" type="presParOf" srcId="{B047164E-3BC8-41F8-B57A-0758BCFA796D}" destId="{9AB6D336-5332-4F56-8017-1FA66D8F30C2}" srcOrd="2" destOrd="0" presId="urn:microsoft.com/office/officeart/2005/8/layout/cycle3"/>
    <dgm:cxn modelId="{0FCE8054-7301-4852-91B8-EF3128F5BD30}" type="presParOf" srcId="{B047164E-3BC8-41F8-B57A-0758BCFA796D}" destId="{70AACEAF-44E0-486B-BC06-E56E390B5EB1}" srcOrd="3" destOrd="0" presId="urn:microsoft.com/office/officeart/2005/8/layout/cycle3"/>
    <dgm:cxn modelId="{56095BB0-E486-4FC9-AE32-D2DD3CD2A68F}" type="presParOf" srcId="{B047164E-3BC8-41F8-B57A-0758BCFA796D}" destId="{6DFAEDB6-CECE-415C-8631-3BF74534BF40}" srcOrd="4" destOrd="0" presId="urn:microsoft.com/office/officeart/2005/8/layout/cycle3"/>
    <dgm:cxn modelId="{94A0695D-2313-45AE-BD50-4C9B81FBB980}" type="presParOf" srcId="{B047164E-3BC8-41F8-B57A-0758BCFA796D}" destId="{C821A36A-B627-414F-8490-06D55BD5F19F}" srcOrd="5" destOrd="0" presId="urn:microsoft.com/office/officeart/2005/8/layout/cycle3"/>
    <dgm:cxn modelId="{22401CD8-AE5C-440A-98E8-54D2FEABFBCC}" type="presParOf" srcId="{B047164E-3BC8-41F8-B57A-0758BCFA796D}" destId="{54B037FE-C0BB-458E-9608-8AE2CBEE119D}" srcOrd="6" destOrd="0" presId="urn:microsoft.com/office/officeart/2005/8/layout/cycle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45EEA74-C107-4057-9BD4-C22E6631023D}" type="doc">
      <dgm:prSet loTypeId="urn:microsoft.com/office/officeart/2005/8/layout/vList5" loCatId="list" qsTypeId="urn:microsoft.com/office/officeart/2005/8/quickstyle/3d3" qsCatId="3D" csTypeId="urn:microsoft.com/office/officeart/2005/8/colors/accent1_2" csCatId="accent1" phldr="1"/>
      <dgm:spPr/>
      <dgm:t>
        <a:bodyPr/>
        <a:lstStyle/>
        <a:p>
          <a:endParaRPr lang="ru-RU"/>
        </a:p>
      </dgm:t>
    </dgm:pt>
    <dgm:pt modelId="{AAE903B1-CFE6-4943-9F3A-D829F9849A75}">
      <dgm:prSet phldrT="[Текст]" custT="1"/>
      <dgm:spPr/>
      <dgm:t>
        <a:bodyPr/>
        <a:lstStyle/>
        <a:p>
          <a:r>
            <a:rPr lang="ru-RU" sz="1400">
              <a:latin typeface="Times New Roman" panose="02020603050405020304" pitchFamily="18" charset="0"/>
              <a:cs typeface="Times New Roman" panose="02020603050405020304" pitchFamily="18" charset="0"/>
            </a:rPr>
            <a:t>в зависимости от направления </a:t>
          </a:r>
        </a:p>
      </dgm:t>
    </dgm:pt>
    <dgm:pt modelId="{BD9434D3-CC49-4833-AFEE-3A0F40970C31}" type="parTrans" cxnId="{AC76D271-E979-4883-B4FC-3963CF30F2CF}">
      <dgm:prSet/>
      <dgm:spPr/>
      <dgm:t>
        <a:bodyPr/>
        <a:lstStyle/>
        <a:p>
          <a:endParaRPr lang="ru-RU" sz="1400">
            <a:latin typeface="Times New Roman" panose="02020603050405020304" pitchFamily="18" charset="0"/>
            <a:cs typeface="Times New Roman" panose="02020603050405020304" pitchFamily="18" charset="0"/>
          </a:endParaRPr>
        </a:p>
      </dgm:t>
    </dgm:pt>
    <dgm:pt modelId="{11A2CD9C-B0D5-4FD5-B1E1-0FB87CF7231C}" type="sibTrans" cxnId="{AC76D271-E979-4883-B4FC-3963CF30F2CF}">
      <dgm:prSet/>
      <dgm:spPr/>
      <dgm:t>
        <a:bodyPr/>
        <a:lstStyle/>
        <a:p>
          <a:endParaRPr lang="ru-RU" sz="1400">
            <a:latin typeface="Times New Roman" panose="02020603050405020304" pitchFamily="18" charset="0"/>
            <a:cs typeface="Times New Roman" panose="02020603050405020304" pitchFamily="18" charset="0"/>
          </a:endParaRPr>
        </a:p>
      </dgm:t>
    </dgm:pt>
    <dgm:pt modelId="{85F041DB-87F6-4163-B416-2BC866C7A148}">
      <dgm:prSet phldrT="[Текст]" custT="1"/>
      <dgm:spPr/>
      <dgm:t>
        <a:bodyPr/>
        <a:lstStyle/>
        <a:p>
          <a:r>
            <a:rPr lang="ru-RU" sz="1400">
              <a:latin typeface="Times New Roman" panose="02020603050405020304" pitchFamily="18" charset="0"/>
              <a:cs typeface="Times New Roman" panose="02020603050405020304" pitchFamily="18" charset="0"/>
            </a:rPr>
            <a:t>в зависимости от сроков</a:t>
          </a:r>
        </a:p>
      </dgm:t>
    </dgm:pt>
    <dgm:pt modelId="{B29E20F0-50A8-4ABE-94C7-47ECEA870E83}" type="parTrans" cxnId="{4B6322C1-601B-40A0-822C-BADE6B72BDF9}">
      <dgm:prSet/>
      <dgm:spPr/>
      <dgm:t>
        <a:bodyPr/>
        <a:lstStyle/>
        <a:p>
          <a:endParaRPr lang="ru-RU" sz="1400">
            <a:latin typeface="Times New Roman" panose="02020603050405020304" pitchFamily="18" charset="0"/>
            <a:cs typeface="Times New Roman" panose="02020603050405020304" pitchFamily="18" charset="0"/>
          </a:endParaRPr>
        </a:p>
      </dgm:t>
    </dgm:pt>
    <dgm:pt modelId="{C011D3B9-6399-497C-BFF4-E60D5A3AFB26}" type="sibTrans" cxnId="{4B6322C1-601B-40A0-822C-BADE6B72BDF9}">
      <dgm:prSet/>
      <dgm:spPr/>
      <dgm:t>
        <a:bodyPr/>
        <a:lstStyle/>
        <a:p>
          <a:endParaRPr lang="ru-RU" sz="1400">
            <a:latin typeface="Times New Roman" panose="02020603050405020304" pitchFamily="18" charset="0"/>
            <a:cs typeface="Times New Roman" panose="02020603050405020304" pitchFamily="18" charset="0"/>
          </a:endParaRPr>
        </a:p>
      </dgm:t>
    </dgm:pt>
    <dgm:pt modelId="{63CFD5EE-A064-4694-BF0B-8B0422A694AE}">
      <dgm:prSet phldrT="[Текст]" custT="1"/>
      <dgm:spPr/>
      <dgm:t>
        <a:bodyPr/>
        <a:lstStyle/>
        <a:p>
          <a:r>
            <a:rPr lang="ru-RU" sz="1400">
              <a:latin typeface="Times New Roman" panose="02020603050405020304" pitchFamily="18" charset="0"/>
              <a:cs typeface="Times New Roman" panose="02020603050405020304" pitchFamily="18" charset="0"/>
            </a:rPr>
            <a:t> в зависимости от природы источника</a:t>
          </a:r>
        </a:p>
      </dgm:t>
    </dgm:pt>
    <dgm:pt modelId="{40497B68-5665-45FB-9944-CC8FDF0A8A79}" type="parTrans" cxnId="{FDFF9FF4-EE0C-4D09-B820-843591EBD14A}">
      <dgm:prSet/>
      <dgm:spPr/>
      <dgm:t>
        <a:bodyPr/>
        <a:lstStyle/>
        <a:p>
          <a:endParaRPr lang="ru-RU" sz="1400">
            <a:latin typeface="Times New Roman" panose="02020603050405020304" pitchFamily="18" charset="0"/>
            <a:cs typeface="Times New Roman" panose="02020603050405020304" pitchFamily="18" charset="0"/>
          </a:endParaRPr>
        </a:p>
      </dgm:t>
    </dgm:pt>
    <dgm:pt modelId="{E5E3D613-9549-4600-847E-B443DD12AEC1}" type="sibTrans" cxnId="{FDFF9FF4-EE0C-4D09-B820-843591EBD14A}">
      <dgm:prSet/>
      <dgm:spPr/>
      <dgm:t>
        <a:bodyPr/>
        <a:lstStyle/>
        <a:p>
          <a:endParaRPr lang="ru-RU" sz="1400">
            <a:latin typeface="Times New Roman" panose="02020603050405020304" pitchFamily="18" charset="0"/>
            <a:cs typeface="Times New Roman" panose="02020603050405020304" pitchFamily="18" charset="0"/>
          </a:endParaRPr>
        </a:p>
      </dgm:t>
    </dgm:pt>
    <dgm:pt modelId="{5D1D000C-7EF8-4F2B-9DED-4EA109A6BC88}">
      <dgm:prSet custT="1"/>
      <dgm:spPr/>
      <dgm:t>
        <a:bodyPr/>
        <a:lstStyle/>
        <a:p>
          <a:r>
            <a:rPr lang="ru-RU" sz="1200">
              <a:latin typeface="Times New Roman" panose="02020603050405020304" pitchFamily="18" charset="0"/>
              <a:cs typeface="Times New Roman" panose="02020603050405020304" pitchFamily="18" charset="0"/>
            </a:rPr>
            <a:t>внешнее, внутреннее и самофондирование</a:t>
          </a:r>
        </a:p>
      </dgm:t>
    </dgm:pt>
    <dgm:pt modelId="{42D23F1E-5029-4488-99B3-B07CE684A50A}" type="parTrans" cxnId="{132F7764-8947-4731-8693-3F3DB1345C02}">
      <dgm:prSet/>
      <dgm:spPr/>
      <dgm:t>
        <a:bodyPr/>
        <a:lstStyle/>
        <a:p>
          <a:endParaRPr lang="ru-RU" sz="1400">
            <a:latin typeface="Times New Roman" panose="02020603050405020304" pitchFamily="18" charset="0"/>
            <a:cs typeface="Times New Roman" panose="02020603050405020304" pitchFamily="18" charset="0"/>
          </a:endParaRPr>
        </a:p>
      </dgm:t>
    </dgm:pt>
    <dgm:pt modelId="{442839D5-7801-428F-A5A8-9CB807E8B333}" type="sibTrans" cxnId="{132F7764-8947-4731-8693-3F3DB1345C02}">
      <dgm:prSet/>
      <dgm:spPr/>
      <dgm:t>
        <a:bodyPr/>
        <a:lstStyle/>
        <a:p>
          <a:endParaRPr lang="ru-RU" sz="1400">
            <a:latin typeface="Times New Roman" panose="02020603050405020304" pitchFamily="18" charset="0"/>
            <a:cs typeface="Times New Roman" panose="02020603050405020304" pitchFamily="18" charset="0"/>
          </a:endParaRPr>
        </a:p>
      </dgm:t>
    </dgm:pt>
    <dgm:pt modelId="{E89A25BA-A447-4E09-818C-02279D42608F}">
      <dgm:prSet custT="1"/>
      <dgm:spPr/>
      <dgm:t>
        <a:bodyPr/>
        <a:lstStyle/>
        <a:p>
          <a:r>
            <a:rPr lang="ru-RU" sz="1200">
              <a:latin typeface="Times New Roman" panose="02020603050405020304" pitchFamily="18" charset="0"/>
              <a:cs typeface="Times New Roman" panose="02020603050405020304" pitchFamily="18" charset="0"/>
            </a:rPr>
            <a:t>срочное (краткосрочное, среднесрочнок и долгосрочное) и до востребования</a:t>
          </a:r>
        </a:p>
      </dgm:t>
    </dgm:pt>
    <dgm:pt modelId="{1F4CB15E-F627-42D4-AAA7-063BDF129745}" type="parTrans" cxnId="{25FF2DBF-03F5-40C2-A368-06B4B6AD8613}">
      <dgm:prSet/>
      <dgm:spPr/>
      <dgm:t>
        <a:bodyPr/>
        <a:lstStyle/>
        <a:p>
          <a:endParaRPr lang="ru-RU" sz="1400">
            <a:latin typeface="Times New Roman" panose="02020603050405020304" pitchFamily="18" charset="0"/>
            <a:cs typeface="Times New Roman" panose="02020603050405020304" pitchFamily="18" charset="0"/>
          </a:endParaRPr>
        </a:p>
      </dgm:t>
    </dgm:pt>
    <dgm:pt modelId="{3615CD24-C19A-4EBC-8E76-2FC7E794EA5F}" type="sibTrans" cxnId="{25FF2DBF-03F5-40C2-A368-06B4B6AD8613}">
      <dgm:prSet/>
      <dgm:spPr/>
      <dgm:t>
        <a:bodyPr/>
        <a:lstStyle/>
        <a:p>
          <a:endParaRPr lang="ru-RU" sz="1400">
            <a:latin typeface="Times New Roman" panose="02020603050405020304" pitchFamily="18" charset="0"/>
            <a:cs typeface="Times New Roman" panose="02020603050405020304" pitchFamily="18" charset="0"/>
          </a:endParaRPr>
        </a:p>
      </dgm:t>
    </dgm:pt>
    <dgm:pt modelId="{321C6C1B-2547-4387-A83A-B043F7C0AC21}">
      <dgm:prSet custT="1"/>
      <dgm:spPr/>
      <dgm:t>
        <a:bodyPr/>
        <a:lstStyle/>
        <a:p>
          <a:r>
            <a:rPr lang="ru-RU" sz="1200">
              <a:latin typeface="Times New Roman" panose="02020603050405020304" pitchFamily="18" charset="0"/>
              <a:cs typeface="Times New Roman" panose="02020603050405020304" pitchFamily="18" charset="0"/>
            </a:rPr>
            <a:t>розничное и оптовое</a:t>
          </a:r>
        </a:p>
      </dgm:t>
    </dgm:pt>
    <dgm:pt modelId="{DEB917AB-4F2A-4B66-BEBA-532CF2D09EB2}" type="parTrans" cxnId="{E82B05A8-8E7E-43FE-8ED0-4F8B7C622BEE}">
      <dgm:prSet/>
      <dgm:spPr/>
      <dgm:t>
        <a:bodyPr/>
        <a:lstStyle/>
        <a:p>
          <a:endParaRPr lang="ru-RU" sz="1400">
            <a:latin typeface="Times New Roman" panose="02020603050405020304" pitchFamily="18" charset="0"/>
            <a:cs typeface="Times New Roman" panose="02020603050405020304" pitchFamily="18" charset="0"/>
          </a:endParaRPr>
        </a:p>
      </dgm:t>
    </dgm:pt>
    <dgm:pt modelId="{D8195E50-78F3-478C-991A-D2388F39AC13}" type="sibTrans" cxnId="{E82B05A8-8E7E-43FE-8ED0-4F8B7C622BEE}">
      <dgm:prSet/>
      <dgm:spPr/>
      <dgm:t>
        <a:bodyPr/>
        <a:lstStyle/>
        <a:p>
          <a:endParaRPr lang="ru-RU" sz="1400">
            <a:latin typeface="Times New Roman" panose="02020603050405020304" pitchFamily="18" charset="0"/>
            <a:cs typeface="Times New Roman" panose="02020603050405020304" pitchFamily="18" charset="0"/>
          </a:endParaRPr>
        </a:p>
      </dgm:t>
    </dgm:pt>
    <dgm:pt modelId="{7376886B-6CAF-4233-87CA-F1FF1B7A822F}">
      <dgm:prSet custT="1"/>
      <dgm:spPr/>
      <dgm:t>
        <a:bodyPr/>
        <a:lstStyle/>
        <a:p>
          <a:r>
            <a:rPr lang="ru-RU" sz="1400">
              <a:latin typeface="Times New Roman" panose="02020603050405020304" pitchFamily="18" charset="0"/>
              <a:cs typeface="Times New Roman" panose="02020603050405020304" pitchFamily="18" charset="0"/>
            </a:rPr>
            <a:t>в зависимости от самого источника</a:t>
          </a:r>
        </a:p>
      </dgm:t>
    </dgm:pt>
    <dgm:pt modelId="{A5E7D2A8-9B35-4133-8ADB-170CBAD3CDFD}" type="parTrans" cxnId="{940D1AE6-7410-4F17-AC73-589F4B8736EB}">
      <dgm:prSet/>
      <dgm:spPr/>
      <dgm:t>
        <a:bodyPr/>
        <a:lstStyle/>
        <a:p>
          <a:endParaRPr lang="ru-RU" sz="1400">
            <a:latin typeface="Times New Roman" panose="02020603050405020304" pitchFamily="18" charset="0"/>
            <a:cs typeface="Times New Roman" panose="02020603050405020304" pitchFamily="18" charset="0"/>
          </a:endParaRPr>
        </a:p>
      </dgm:t>
    </dgm:pt>
    <dgm:pt modelId="{EB6F2DAB-FD62-40CD-9E17-6D1CBE22EC98}" type="sibTrans" cxnId="{940D1AE6-7410-4F17-AC73-589F4B8736EB}">
      <dgm:prSet/>
      <dgm:spPr/>
      <dgm:t>
        <a:bodyPr/>
        <a:lstStyle/>
        <a:p>
          <a:endParaRPr lang="ru-RU" sz="1400">
            <a:latin typeface="Times New Roman" panose="02020603050405020304" pitchFamily="18" charset="0"/>
            <a:cs typeface="Times New Roman" panose="02020603050405020304" pitchFamily="18" charset="0"/>
          </a:endParaRPr>
        </a:p>
      </dgm:t>
    </dgm:pt>
    <dgm:pt modelId="{4C5C1641-CC23-49D2-8A5C-4E77C3766509}">
      <dgm:prSet custT="1"/>
      <dgm:spPr/>
      <dgm:t>
        <a:bodyPr/>
        <a:lstStyle/>
        <a:p>
          <a:r>
            <a:rPr lang="ru-RU" sz="1200">
              <a:latin typeface="Times New Roman" panose="02020603050405020304" pitchFamily="18" charset="0"/>
              <a:cs typeface="Times New Roman" panose="02020603050405020304" pitchFamily="18" charset="0"/>
            </a:rPr>
            <a:t>собственные, привлеченные и заемные</a:t>
          </a:r>
        </a:p>
      </dgm:t>
    </dgm:pt>
    <dgm:pt modelId="{B13FB7A8-3F14-43D2-BED4-C5ADFDB6D4C8}" type="parTrans" cxnId="{52CC9CD7-94CD-4D97-AD6A-CB71A5F11DDD}">
      <dgm:prSet/>
      <dgm:spPr/>
      <dgm:t>
        <a:bodyPr/>
        <a:lstStyle/>
        <a:p>
          <a:endParaRPr lang="ru-RU" sz="1400">
            <a:latin typeface="Times New Roman" panose="02020603050405020304" pitchFamily="18" charset="0"/>
            <a:cs typeface="Times New Roman" panose="02020603050405020304" pitchFamily="18" charset="0"/>
          </a:endParaRPr>
        </a:p>
      </dgm:t>
    </dgm:pt>
    <dgm:pt modelId="{12CA3655-BC8D-47E2-A259-C16D2DC52A44}" type="sibTrans" cxnId="{52CC9CD7-94CD-4D97-AD6A-CB71A5F11DDD}">
      <dgm:prSet/>
      <dgm:spPr/>
      <dgm:t>
        <a:bodyPr/>
        <a:lstStyle/>
        <a:p>
          <a:endParaRPr lang="ru-RU" sz="1400">
            <a:latin typeface="Times New Roman" panose="02020603050405020304" pitchFamily="18" charset="0"/>
            <a:cs typeface="Times New Roman" panose="02020603050405020304" pitchFamily="18" charset="0"/>
          </a:endParaRPr>
        </a:p>
      </dgm:t>
    </dgm:pt>
    <dgm:pt modelId="{B14D02EE-D208-4717-AEC9-B714C4CAC9D2}" type="pres">
      <dgm:prSet presAssocID="{C45EEA74-C107-4057-9BD4-C22E6631023D}" presName="Name0" presStyleCnt="0">
        <dgm:presLayoutVars>
          <dgm:dir/>
          <dgm:animLvl val="lvl"/>
          <dgm:resizeHandles val="exact"/>
        </dgm:presLayoutVars>
      </dgm:prSet>
      <dgm:spPr/>
      <dgm:t>
        <a:bodyPr/>
        <a:lstStyle/>
        <a:p>
          <a:endParaRPr lang="ru-RU"/>
        </a:p>
      </dgm:t>
    </dgm:pt>
    <dgm:pt modelId="{6745C430-97FE-49A3-B603-2301FF2353D7}" type="pres">
      <dgm:prSet presAssocID="{AAE903B1-CFE6-4943-9F3A-D829F9849A75}" presName="linNode" presStyleCnt="0"/>
      <dgm:spPr/>
    </dgm:pt>
    <dgm:pt modelId="{D279E3C0-C63F-4BC3-846A-5B6767C66878}" type="pres">
      <dgm:prSet presAssocID="{AAE903B1-CFE6-4943-9F3A-D829F9849A75}" presName="parentText" presStyleLbl="node1" presStyleIdx="0" presStyleCnt="4">
        <dgm:presLayoutVars>
          <dgm:chMax val="1"/>
          <dgm:bulletEnabled val="1"/>
        </dgm:presLayoutVars>
      </dgm:prSet>
      <dgm:spPr/>
      <dgm:t>
        <a:bodyPr/>
        <a:lstStyle/>
        <a:p>
          <a:endParaRPr lang="ru-RU"/>
        </a:p>
      </dgm:t>
    </dgm:pt>
    <dgm:pt modelId="{3B124CE9-FA00-4361-8AAD-0A8AA01BD2D7}" type="pres">
      <dgm:prSet presAssocID="{AAE903B1-CFE6-4943-9F3A-D829F9849A75}" presName="descendantText" presStyleLbl="alignAccFollowNode1" presStyleIdx="0" presStyleCnt="4">
        <dgm:presLayoutVars>
          <dgm:bulletEnabled val="1"/>
        </dgm:presLayoutVars>
      </dgm:prSet>
      <dgm:spPr/>
      <dgm:t>
        <a:bodyPr/>
        <a:lstStyle/>
        <a:p>
          <a:endParaRPr lang="ru-RU"/>
        </a:p>
      </dgm:t>
    </dgm:pt>
    <dgm:pt modelId="{4A1C7C93-E182-4ECE-BE68-4A480A764E9E}" type="pres">
      <dgm:prSet presAssocID="{11A2CD9C-B0D5-4FD5-B1E1-0FB87CF7231C}" presName="sp" presStyleCnt="0"/>
      <dgm:spPr/>
    </dgm:pt>
    <dgm:pt modelId="{0629E94E-CAED-46CF-92D7-6ED95989867C}" type="pres">
      <dgm:prSet presAssocID="{85F041DB-87F6-4163-B416-2BC866C7A148}" presName="linNode" presStyleCnt="0"/>
      <dgm:spPr/>
    </dgm:pt>
    <dgm:pt modelId="{E372D6A3-0B59-43B4-9764-EF46BCC97C28}" type="pres">
      <dgm:prSet presAssocID="{85F041DB-87F6-4163-B416-2BC866C7A148}" presName="parentText" presStyleLbl="node1" presStyleIdx="1" presStyleCnt="4">
        <dgm:presLayoutVars>
          <dgm:chMax val="1"/>
          <dgm:bulletEnabled val="1"/>
        </dgm:presLayoutVars>
      </dgm:prSet>
      <dgm:spPr/>
      <dgm:t>
        <a:bodyPr/>
        <a:lstStyle/>
        <a:p>
          <a:endParaRPr lang="ru-RU"/>
        </a:p>
      </dgm:t>
    </dgm:pt>
    <dgm:pt modelId="{87E35EFB-DB48-47EA-87C7-2D8B0941DEE3}" type="pres">
      <dgm:prSet presAssocID="{85F041DB-87F6-4163-B416-2BC866C7A148}" presName="descendantText" presStyleLbl="alignAccFollowNode1" presStyleIdx="1" presStyleCnt="4">
        <dgm:presLayoutVars>
          <dgm:bulletEnabled val="1"/>
        </dgm:presLayoutVars>
      </dgm:prSet>
      <dgm:spPr/>
      <dgm:t>
        <a:bodyPr/>
        <a:lstStyle/>
        <a:p>
          <a:endParaRPr lang="ru-RU"/>
        </a:p>
      </dgm:t>
    </dgm:pt>
    <dgm:pt modelId="{29E2680F-5263-41A3-8AAD-B13CB51BAF30}" type="pres">
      <dgm:prSet presAssocID="{C011D3B9-6399-497C-BFF4-E60D5A3AFB26}" presName="sp" presStyleCnt="0"/>
      <dgm:spPr/>
    </dgm:pt>
    <dgm:pt modelId="{473D0067-4921-4C2F-B982-8380E5F0F924}" type="pres">
      <dgm:prSet presAssocID="{63CFD5EE-A064-4694-BF0B-8B0422A694AE}" presName="linNode" presStyleCnt="0"/>
      <dgm:spPr/>
    </dgm:pt>
    <dgm:pt modelId="{A8467259-4172-4C02-812F-BF2E33F624FB}" type="pres">
      <dgm:prSet presAssocID="{63CFD5EE-A064-4694-BF0B-8B0422A694AE}" presName="parentText" presStyleLbl="node1" presStyleIdx="2" presStyleCnt="4">
        <dgm:presLayoutVars>
          <dgm:chMax val="1"/>
          <dgm:bulletEnabled val="1"/>
        </dgm:presLayoutVars>
      </dgm:prSet>
      <dgm:spPr/>
      <dgm:t>
        <a:bodyPr/>
        <a:lstStyle/>
        <a:p>
          <a:endParaRPr lang="ru-RU"/>
        </a:p>
      </dgm:t>
    </dgm:pt>
    <dgm:pt modelId="{EDC27C08-8AEE-402B-9A06-192172D4B9D9}" type="pres">
      <dgm:prSet presAssocID="{63CFD5EE-A064-4694-BF0B-8B0422A694AE}" presName="descendantText" presStyleLbl="alignAccFollowNode1" presStyleIdx="2" presStyleCnt="4">
        <dgm:presLayoutVars>
          <dgm:bulletEnabled val="1"/>
        </dgm:presLayoutVars>
      </dgm:prSet>
      <dgm:spPr/>
      <dgm:t>
        <a:bodyPr/>
        <a:lstStyle/>
        <a:p>
          <a:endParaRPr lang="ru-RU"/>
        </a:p>
      </dgm:t>
    </dgm:pt>
    <dgm:pt modelId="{0B7721B6-A382-4BCD-8CA2-5ADECC53A7BE}" type="pres">
      <dgm:prSet presAssocID="{E5E3D613-9549-4600-847E-B443DD12AEC1}" presName="sp" presStyleCnt="0"/>
      <dgm:spPr/>
    </dgm:pt>
    <dgm:pt modelId="{648B9D4F-B08C-4946-82F7-D0A3A1A7515F}" type="pres">
      <dgm:prSet presAssocID="{7376886B-6CAF-4233-87CA-F1FF1B7A822F}" presName="linNode" presStyleCnt="0"/>
      <dgm:spPr/>
    </dgm:pt>
    <dgm:pt modelId="{E19C84CA-1B11-49B4-95B2-50340B6DAEE8}" type="pres">
      <dgm:prSet presAssocID="{7376886B-6CAF-4233-87CA-F1FF1B7A822F}" presName="parentText" presStyleLbl="node1" presStyleIdx="3" presStyleCnt="4">
        <dgm:presLayoutVars>
          <dgm:chMax val="1"/>
          <dgm:bulletEnabled val="1"/>
        </dgm:presLayoutVars>
      </dgm:prSet>
      <dgm:spPr/>
      <dgm:t>
        <a:bodyPr/>
        <a:lstStyle/>
        <a:p>
          <a:endParaRPr lang="ru-RU"/>
        </a:p>
      </dgm:t>
    </dgm:pt>
    <dgm:pt modelId="{C40D29CF-5AB1-4712-9200-23654E1BE507}" type="pres">
      <dgm:prSet presAssocID="{7376886B-6CAF-4233-87CA-F1FF1B7A822F}" presName="descendantText" presStyleLbl="alignAccFollowNode1" presStyleIdx="3" presStyleCnt="4">
        <dgm:presLayoutVars>
          <dgm:bulletEnabled val="1"/>
        </dgm:presLayoutVars>
      </dgm:prSet>
      <dgm:spPr/>
      <dgm:t>
        <a:bodyPr/>
        <a:lstStyle/>
        <a:p>
          <a:endParaRPr lang="ru-RU"/>
        </a:p>
      </dgm:t>
    </dgm:pt>
  </dgm:ptLst>
  <dgm:cxnLst>
    <dgm:cxn modelId="{1642F715-45F6-4F32-83C4-6BE2742AABD0}" type="presOf" srcId="{63CFD5EE-A064-4694-BF0B-8B0422A694AE}" destId="{A8467259-4172-4C02-812F-BF2E33F624FB}" srcOrd="0" destOrd="0" presId="urn:microsoft.com/office/officeart/2005/8/layout/vList5"/>
    <dgm:cxn modelId="{8056DD06-0F46-48D0-A180-CE2221D8389A}" type="presOf" srcId="{4C5C1641-CC23-49D2-8A5C-4E77C3766509}" destId="{C40D29CF-5AB1-4712-9200-23654E1BE507}" srcOrd="0" destOrd="0" presId="urn:microsoft.com/office/officeart/2005/8/layout/vList5"/>
    <dgm:cxn modelId="{4B6322C1-601B-40A0-822C-BADE6B72BDF9}" srcId="{C45EEA74-C107-4057-9BD4-C22E6631023D}" destId="{85F041DB-87F6-4163-B416-2BC866C7A148}" srcOrd="1" destOrd="0" parTransId="{B29E20F0-50A8-4ABE-94C7-47ECEA870E83}" sibTransId="{C011D3B9-6399-497C-BFF4-E60D5A3AFB26}"/>
    <dgm:cxn modelId="{25FF2DBF-03F5-40C2-A368-06B4B6AD8613}" srcId="{85F041DB-87F6-4163-B416-2BC866C7A148}" destId="{E89A25BA-A447-4E09-818C-02279D42608F}" srcOrd="0" destOrd="0" parTransId="{1F4CB15E-F627-42D4-AAA7-063BDF129745}" sibTransId="{3615CD24-C19A-4EBC-8E76-2FC7E794EA5F}"/>
    <dgm:cxn modelId="{48409E2A-9E07-499A-9AAF-6525C81FF984}" type="presOf" srcId="{E89A25BA-A447-4E09-818C-02279D42608F}" destId="{87E35EFB-DB48-47EA-87C7-2D8B0941DEE3}" srcOrd="0" destOrd="0" presId="urn:microsoft.com/office/officeart/2005/8/layout/vList5"/>
    <dgm:cxn modelId="{B12471D9-15E5-4BB5-91AE-06DD4F4D3860}" type="presOf" srcId="{C45EEA74-C107-4057-9BD4-C22E6631023D}" destId="{B14D02EE-D208-4717-AEC9-B714C4CAC9D2}" srcOrd="0" destOrd="0" presId="urn:microsoft.com/office/officeart/2005/8/layout/vList5"/>
    <dgm:cxn modelId="{CC5D2A16-45A9-4E48-8952-DDE6800D8E2B}" type="presOf" srcId="{85F041DB-87F6-4163-B416-2BC866C7A148}" destId="{E372D6A3-0B59-43B4-9764-EF46BCC97C28}" srcOrd="0" destOrd="0" presId="urn:microsoft.com/office/officeart/2005/8/layout/vList5"/>
    <dgm:cxn modelId="{6418D56E-BEDC-4A24-A1B4-6DDEDC57A067}" type="presOf" srcId="{AAE903B1-CFE6-4943-9F3A-D829F9849A75}" destId="{D279E3C0-C63F-4BC3-846A-5B6767C66878}" srcOrd="0" destOrd="0" presId="urn:microsoft.com/office/officeart/2005/8/layout/vList5"/>
    <dgm:cxn modelId="{52CC9CD7-94CD-4D97-AD6A-CB71A5F11DDD}" srcId="{7376886B-6CAF-4233-87CA-F1FF1B7A822F}" destId="{4C5C1641-CC23-49D2-8A5C-4E77C3766509}" srcOrd="0" destOrd="0" parTransId="{B13FB7A8-3F14-43D2-BED4-C5ADFDB6D4C8}" sibTransId="{12CA3655-BC8D-47E2-A259-C16D2DC52A44}"/>
    <dgm:cxn modelId="{E82B05A8-8E7E-43FE-8ED0-4F8B7C622BEE}" srcId="{63CFD5EE-A064-4694-BF0B-8B0422A694AE}" destId="{321C6C1B-2547-4387-A83A-B043F7C0AC21}" srcOrd="0" destOrd="0" parTransId="{DEB917AB-4F2A-4B66-BEBA-532CF2D09EB2}" sibTransId="{D8195E50-78F3-478C-991A-D2388F39AC13}"/>
    <dgm:cxn modelId="{B3BAB04C-19BB-40F0-B616-1395CF65443D}" type="presOf" srcId="{5D1D000C-7EF8-4F2B-9DED-4EA109A6BC88}" destId="{3B124CE9-FA00-4361-8AAD-0A8AA01BD2D7}" srcOrd="0" destOrd="0" presId="urn:microsoft.com/office/officeart/2005/8/layout/vList5"/>
    <dgm:cxn modelId="{132F7764-8947-4731-8693-3F3DB1345C02}" srcId="{AAE903B1-CFE6-4943-9F3A-D829F9849A75}" destId="{5D1D000C-7EF8-4F2B-9DED-4EA109A6BC88}" srcOrd="0" destOrd="0" parTransId="{42D23F1E-5029-4488-99B3-B07CE684A50A}" sibTransId="{442839D5-7801-428F-A5A8-9CB807E8B333}"/>
    <dgm:cxn modelId="{6C08D0A4-181A-4CCF-BCF0-68AAD3F3B404}" type="presOf" srcId="{321C6C1B-2547-4387-A83A-B043F7C0AC21}" destId="{EDC27C08-8AEE-402B-9A06-192172D4B9D9}" srcOrd="0" destOrd="0" presId="urn:microsoft.com/office/officeart/2005/8/layout/vList5"/>
    <dgm:cxn modelId="{940D1AE6-7410-4F17-AC73-589F4B8736EB}" srcId="{C45EEA74-C107-4057-9BD4-C22E6631023D}" destId="{7376886B-6CAF-4233-87CA-F1FF1B7A822F}" srcOrd="3" destOrd="0" parTransId="{A5E7D2A8-9B35-4133-8ADB-170CBAD3CDFD}" sibTransId="{EB6F2DAB-FD62-40CD-9E17-6D1CBE22EC98}"/>
    <dgm:cxn modelId="{AC76D271-E979-4883-B4FC-3963CF30F2CF}" srcId="{C45EEA74-C107-4057-9BD4-C22E6631023D}" destId="{AAE903B1-CFE6-4943-9F3A-D829F9849A75}" srcOrd="0" destOrd="0" parTransId="{BD9434D3-CC49-4833-AFEE-3A0F40970C31}" sibTransId="{11A2CD9C-B0D5-4FD5-B1E1-0FB87CF7231C}"/>
    <dgm:cxn modelId="{4ECCEA63-BE23-423E-9907-C4DC020AF6B1}" type="presOf" srcId="{7376886B-6CAF-4233-87CA-F1FF1B7A822F}" destId="{E19C84CA-1B11-49B4-95B2-50340B6DAEE8}" srcOrd="0" destOrd="0" presId="urn:microsoft.com/office/officeart/2005/8/layout/vList5"/>
    <dgm:cxn modelId="{FDFF9FF4-EE0C-4D09-B820-843591EBD14A}" srcId="{C45EEA74-C107-4057-9BD4-C22E6631023D}" destId="{63CFD5EE-A064-4694-BF0B-8B0422A694AE}" srcOrd="2" destOrd="0" parTransId="{40497B68-5665-45FB-9944-CC8FDF0A8A79}" sibTransId="{E5E3D613-9549-4600-847E-B443DD12AEC1}"/>
    <dgm:cxn modelId="{546949AF-D5C6-4598-B19D-E3109B02BD48}" type="presParOf" srcId="{B14D02EE-D208-4717-AEC9-B714C4CAC9D2}" destId="{6745C430-97FE-49A3-B603-2301FF2353D7}" srcOrd="0" destOrd="0" presId="urn:microsoft.com/office/officeart/2005/8/layout/vList5"/>
    <dgm:cxn modelId="{D41F230F-C852-4312-9147-9502FFFFE355}" type="presParOf" srcId="{6745C430-97FE-49A3-B603-2301FF2353D7}" destId="{D279E3C0-C63F-4BC3-846A-5B6767C66878}" srcOrd="0" destOrd="0" presId="urn:microsoft.com/office/officeart/2005/8/layout/vList5"/>
    <dgm:cxn modelId="{8A0F79F7-C309-49CD-9FA9-A844A32A514F}" type="presParOf" srcId="{6745C430-97FE-49A3-B603-2301FF2353D7}" destId="{3B124CE9-FA00-4361-8AAD-0A8AA01BD2D7}" srcOrd="1" destOrd="0" presId="urn:microsoft.com/office/officeart/2005/8/layout/vList5"/>
    <dgm:cxn modelId="{51B2FC6F-028E-4264-9A73-107DA9502906}" type="presParOf" srcId="{B14D02EE-D208-4717-AEC9-B714C4CAC9D2}" destId="{4A1C7C93-E182-4ECE-BE68-4A480A764E9E}" srcOrd="1" destOrd="0" presId="urn:microsoft.com/office/officeart/2005/8/layout/vList5"/>
    <dgm:cxn modelId="{D15F7D5C-4DBF-4B34-A2A3-A2DF5B90DCE5}" type="presParOf" srcId="{B14D02EE-D208-4717-AEC9-B714C4CAC9D2}" destId="{0629E94E-CAED-46CF-92D7-6ED95989867C}" srcOrd="2" destOrd="0" presId="urn:microsoft.com/office/officeart/2005/8/layout/vList5"/>
    <dgm:cxn modelId="{C2AF1114-C181-4299-B239-2FFC6D105F68}" type="presParOf" srcId="{0629E94E-CAED-46CF-92D7-6ED95989867C}" destId="{E372D6A3-0B59-43B4-9764-EF46BCC97C28}" srcOrd="0" destOrd="0" presId="urn:microsoft.com/office/officeart/2005/8/layout/vList5"/>
    <dgm:cxn modelId="{5FD077F4-FE5D-4611-815B-5F754CA0262E}" type="presParOf" srcId="{0629E94E-CAED-46CF-92D7-6ED95989867C}" destId="{87E35EFB-DB48-47EA-87C7-2D8B0941DEE3}" srcOrd="1" destOrd="0" presId="urn:microsoft.com/office/officeart/2005/8/layout/vList5"/>
    <dgm:cxn modelId="{C379B59C-9CFF-4269-B3C0-65B3E5B2578A}" type="presParOf" srcId="{B14D02EE-D208-4717-AEC9-B714C4CAC9D2}" destId="{29E2680F-5263-41A3-8AAD-B13CB51BAF30}" srcOrd="3" destOrd="0" presId="urn:microsoft.com/office/officeart/2005/8/layout/vList5"/>
    <dgm:cxn modelId="{2DA4B469-64E2-4147-AA18-6A75B8934F66}" type="presParOf" srcId="{B14D02EE-D208-4717-AEC9-B714C4CAC9D2}" destId="{473D0067-4921-4C2F-B982-8380E5F0F924}" srcOrd="4" destOrd="0" presId="urn:microsoft.com/office/officeart/2005/8/layout/vList5"/>
    <dgm:cxn modelId="{1A1A26E5-69E2-4289-BD0E-2C0C9E0F4E33}" type="presParOf" srcId="{473D0067-4921-4C2F-B982-8380E5F0F924}" destId="{A8467259-4172-4C02-812F-BF2E33F624FB}" srcOrd="0" destOrd="0" presId="urn:microsoft.com/office/officeart/2005/8/layout/vList5"/>
    <dgm:cxn modelId="{F7ED0321-7D23-4B10-B775-58DC628789BB}" type="presParOf" srcId="{473D0067-4921-4C2F-B982-8380E5F0F924}" destId="{EDC27C08-8AEE-402B-9A06-192172D4B9D9}" srcOrd="1" destOrd="0" presId="urn:microsoft.com/office/officeart/2005/8/layout/vList5"/>
    <dgm:cxn modelId="{E9CF389F-DCF9-4B1D-AC0B-F2D95B2ACAA6}" type="presParOf" srcId="{B14D02EE-D208-4717-AEC9-B714C4CAC9D2}" destId="{0B7721B6-A382-4BCD-8CA2-5ADECC53A7BE}" srcOrd="5" destOrd="0" presId="urn:microsoft.com/office/officeart/2005/8/layout/vList5"/>
    <dgm:cxn modelId="{0EA0D168-00B5-4A12-B26E-8147E815F5D3}" type="presParOf" srcId="{B14D02EE-D208-4717-AEC9-B714C4CAC9D2}" destId="{648B9D4F-B08C-4946-82F7-D0A3A1A7515F}" srcOrd="6" destOrd="0" presId="urn:microsoft.com/office/officeart/2005/8/layout/vList5"/>
    <dgm:cxn modelId="{5AF412C7-109A-45B3-914B-51964DD49F47}" type="presParOf" srcId="{648B9D4F-B08C-4946-82F7-D0A3A1A7515F}" destId="{E19C84CA-1B11-49B4-95B2-50340B6DAEE8}" srcOrd="0" destOrd="0" presId="urn:microsoft.com/office/officeart/2005/8/layout/vList5"/>
    <dgm:cxn modelId="{A212031B-5438-48B9-A499-D399170B2A8C}" type="presParOf" srcId="{648B9D4F-B08C-4946-82F7-D0A3A1A7515F}" destId="{C40D29CF-5AB1-4712-9200-23654E1BE507}" srcOrd="1" destOrd="0" presId="urn:microsoft.com/office/officeart/2005/8/layout/vList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E834ECC-1159-4BEB-95E5-F9E402A2729C}" type="doc">
      <dgm:prSet loTypeId="urn:microsoft.com/office/officeart/2005/8/layout/vList5" loCatId="list" qsTypeId="urn:microsoft.com/office/officeart/2005/8/quickstyle/simple3" qsCatId="simple" csTypeId="urn:microsoft.com/office/officeart/2005/8/colors/colorful1#6" csCatId="colorful" phldr="1"/>
      <dgm:spPr/>
      <dgm:t>
        <a:bodyPr/>
        <a:lstStyle/>
        <a:p>
          <a:endParaRPr lang="ru-RU"/>
        </a:p>
      </dgm:t>
    </dgm:pt>
    <dgm:pt modelId="{7AC21A03-E255-41EA-91C2-9035EF57E559}">
      <dgm:prSet phldrT="[Текст]" custT="1"/>
      <dgm:spPr/>
      <dgm:t>
        <a:bodyPr/>
        <a:lstStyle/>
        <a:p>
          <a:r>
            <a:rPr lang="ru-RU" sz="1100">
              <a:latin typeface="Times New Roman" panose="02020603050405020304" pitchFamily="18" charset="0"/>
              <a:cs typeface="Times New Roman" panose="02020603050405020304" pitchFamily="18" charset="0"/>
            </a:rPr>
            <a:t>&lt; 0,65</a:t>
          </a:r>
        </a:p>
        <a:p>
          <a:r>
            <a:rPr lang="ru-RU" sz="1100">
              <a:latin typeface="Times New Roman" panose="02020603050405020304" pitchFamily="18" charset="0"/>
              <a:cs typeface="Times New Roman" panose="02020603050405020304" pitchFamily="18" charset="0"/>
            </a:rPr>
            <a:t>Неблагоприятная зона</a:t>
          </a:r>
        </a:p>
      </dgm:t>
    </dgm:pt>
    <dgm:pt modelId="{B8D9E997-E6C9-426E-8336-6518B7608917}" type="parTrans" cxnId="{AD45D95F-93E8-43CD-9338-C36B07374C0E}">
      <dgm:prSet/>
      <dgm:spPr/>
      <dgm:t>
        <a:bodyPr/>
        <a:lstStyle/>
        <a:p>
          <a:endParaRPr lang="ru-RU" sz="1100">
            <a:latin typeface="Times New Roman" panose="02020603050405020304" pitchFamily="18" charset="0"/>
            <a:cs typeface="Times New Roman" panose="02020603050405020304" pitchFamily="18" charset="0"/>
          </a:endParaRPr>
        </a:p>
      </dgm:t>
    </dgm:pt>
    <dgm:pt modelId="{6005B75B-730C-4C47-9E49-E3739D2E655C}" type="sibTrans" cxnId="{AD45D95F-93E8-43CD-9338-C36B07374C0E}">
      <dgm:prSet/>
      <dgm:spPr/>
      <dgm:t>
        <a:bodyPr/>
        <a:lstStyle/>
        <a:p>
          <a:endParaRPr lang="ru-RU" sz="1100">
            <a:latin typeface="Times New Roman" panose="02020603050405020304" pitchFamily="18" charset="0"/>
            <a:cs typeface="Times New Roman" panose="02020603050405020304" pitchFamily="18" charset="0"/>
          </a:endParaRPr>
        </a:p>
      </dgm:t>
    </dgm:pt>
    <dgm:pt modelId="{F7F6F824-CCFD-4998-B768-E8510B9FF134}">
      <dgm:prSet phldrT="[Текст]" custT="1"/>
      <dgm:spPr/>
      <dgm:t>
        <a:bodyPr/>
        <a:lstStyle/>
        <a:p>
          <a:r>
            <a:rPr lang="ru-RU" sz="1100">
              <a:latin typeface="Times New Roman" panose="02020603050405020304" pitchFamily="18" charset="0"/>
              <a:cs typeface="Times New Roman" panose="02020603050405020304" pitchFamily="18" charset="0"/>
            </a:rPr>
            <a:t>Низкий уровень качества фондирования. Низкая диверсификация фондирования. Отсутствие сбалансированности портфеля фондирования. Низкий уровень использования привлеченных ресурсов. Возможно наличие запаса фондирования и (или) высокой стоимости фондирования. Возможно, стоимость размещения не покрывает стоимости фондирования.</a:t>
          </a:r>
        </a:p>
      </dgm:t>
    </dgm:pt>
    <dgm:pt modelId="{F03E6ED1-ABC2-4FC3-8878-4E0AA0BA1F84}" type="parTrans" cxnId="{19ECEC40-0566-41DD-8908-4089741D493C}">
      <dgm:prSet/>
      <dgm:spPr/>
      <dgm:t>
        <a:bodyPr/>
        <a:lstStyle/>
        <a:p>
          <a:endParaRPr lang="ru-RU" sz="1100">
            <a:latin typeface="Times New Roman" panose="02020603050405020304" pitchFamily="18" charset="0"/>
            <a:cs typeface="Times New Roman" panose="02020603050405020304" pitchFamily="18" charset="0"/>
          </a:endParaRPr>
        </a:p>
      </dgm:t>
    </dgm:pt>
    <dgm:pt modelId="{65CAB0FA-03D1-4B30-8C97-F8BA5278FFA6}" type="sibTrans" cxnId="{19ECEC40-0566-41DD-8908-4089741D493C}">
      <dgm:prSet/>
      <dgm:spPr/>
      <dgm:t>
        <a:bodyPr/>
        <a:lstStyle/>
        <a:p>
          <a:endParaRPr lang="ru-RU" sz="1100">
            <a:latin typeface="Times New Roman" panose="02020603050405020304" pitchFamily="18" charset="0"/>
            <a:cs typeface="Times New Roman" panose="02020603050405020304" pitchFamily="18" charset="0"/>
          </a:endParaRPr>
        </a:p>
      </dgm:t>
    </dgm:pt>
    <dgm:pt modelId="{7EC3C20D-714A-4AA9-98BF-DFB7EC876B66}">
      <dgm:prSet phldrT="[Текст]" custT="1"/>
      <dgm:spPr/>
      <dgm:t>
        <a:bodyPr/>
        <a:lstStyle/>
        <a:p>
          <a:r>
            <a:rPr lang="ru-RU" sz="1100" b="1" i="1">
              <a:latin typeface="Times New Roman" panose="02020603050405020304" pitchFamily="18" charset="0"/>
              <a:cs typeface="Times New Roman" panose="02020603050405020304" pitchFamily="18" charset="0"/>
            </a:rPr>
            <a:t>0,66-1,0</a:t>
          </a:r>
        </a:p>
        <a:p>
          <a:r>
            <a:rPr lang="ru-RU" sz="1100" b="1" i="1">
              <a:latin typeface="Times New Roman" panose="02020603050405020304" pitchFamily="18" charset="0"/>
              <a:cs typeface="Times New Roman" panose="02020603050405020304" pitchFamily="18" charset="0"/>
            </a:rPr>
            <a:t>Благоприятная зона</a:t>
          </a:r>
        </a:p>
      </dgm:t>
    </dgm:pt>
    <dgm:pt modelId="{FC86EF3C-1AC6-46E7-867B-D891E7292D93}" type="parTrans" cxnId="{28CE46DB-87D4-4EC2-8AD0-7D248D8770D4}">
      <dgm:prSet/>
      <dgm:spPr/>
      <dgm:t>
        <a:bodyPr/>
        <a:lstStyle/>
        <a:p>
          <a:endParaRPr lang="ru-RU" sz="1100">
            <a:latin typeface="Times New Roman" panose="02020603050405020304" pitchFamily="18" charset="0"/>
            <a:cs typeface="Times New Roman" panose="02020603050405020304" pitchFamily="18" charset="0"/>
          </a:endParaRPr>
        </a:p>
      </dgm:t>
    </dgm:pt>
    <dgm:pt modelId="{867B577E-78D8-4B2B-B566-4AC3D1FAE419}" type="sibTrans" cxnId="{28CE46DB-87D4-4EC2-8AD0-7D248D8770D4}">
      <dgm:prSet/>
      <dgm:spPr/>
      <dgm:t>
        <a:bodyPr/>
        <a:lstStyle/>
        <a:p>
          <a:endParaRPr lang="ru-RU" sz="1100">
            <a:latin typeface="Times New Roman" panose="02020603050405020304" pitchFamily="18" charset="0"/>
            <a:cs typeface="Times New Roman" panose="02020603050405020304" pitchFamily="18" charset="0"/>
          </a:endParaRPr>
        </a:p>
      </dgm:t>
    </dgm:pt>
    <dgm:pt modelId="{D431FA18-69A9-4D57-A6D3-F6081DD5EE6C}">
      <dgm:prSet phldrT="[Текст]" custT="1"/>
      <dgm:spPr/>
      <dgm:t>
        <a:bodyPr/>
        <a:lstStyle/>
        <a:p>
          <a:r>
            <a:rPr lang="ru-RU" sz="1100">
              <a:latin typeface="Times New Roman" panose="02020603050405020304" pitchFamily="18" charset="0"/>
              <a:cs typeface="Times New Roman" panose="02020603050405020304" pitchFamily="18" charset="0"/>
            </a:rPr>
            <a:t>Благоприятный уровень качества фондирования. Имеется достаточный уровень срочных вкладов, доля которых превышает остальные более затратные источники. Отсутствуют запасы фондирования. В случае повышения стоимости фондирования обеспечивается больший приток привлеченных средств. При приближении к 1 качество фондирования улучшается</a:t>
          </a:r>
        </a:p>
      </dgm:t>
    </dgm:pt>
    <dgm:pt modelId="{8C7FDA1D-66F1-4C8E-AE4E-551023A9AD8D}" type="parTrans" cxnId="{CC72ED02-9398-4A51-B864-E13D2526142E}">
      <dgm:prSet/>
      <dgm:spPr/>
      <dgm:t>
        <a:bodyPr/>
        <a:lstStyle/>
        <a:p>
          <a:endParaRPr lang="ru-RU" sz="1100">
            <a:latin typeface="Times New Roman" panose="02020603050405020304" pitchFamily="18" charset="0"/>
            <a:cs typeface="Times New Roman" panose="02020603050405020304" pitchFamily="18" charset="0"/>
          </a:endParaRPr>
        </a:p>
      </dgm:t>
    </dgm:pt>
    <dgm:pt modelId="{07ECB483-E6B8-4BE4-9592-B1C26482DA71}" type="sibTrans" cxnId="{CC72ED02-9398-4A51-B864-E13D2526142E}">
      <dgm:prSet/>
      <dgm:spPr/>
      <dgm:t>
        <a:bodyPr/>
        <a:lstStyle/>
        <a:p>
          <a:endParaRPr lang="ru-RU" sz="1100">
            <a:latin typeface="Times New Roman" panose="02020603050405020304" pitchFamily="18" charset="0"/>
            <a:cs typeface="Times New Roman" panose="02020603050405020304" pitchFamily="18" charset="0"/>
          </a:endParaRPr>
        </a:p>
      </dgm:t>
    </dgm:pt>
    <dgm:pt modelId="{F34CBEFF-849D-457A-86A9-CE3066564C27}">
      <dgm:prSet phldrT="[Текст]" custT="1"/>
      <dgm:spPr/>
      <dgm:t>
        <a:bodyPr/>
        <a:lstStyle/>
        <a:p>
          <a:r>
            <a:rPr lang="ru-RU" sz="1100">
              <a:latin typeface="Times New Roman" panose="02020603050405020304" pitchFamily="18" charset="0"/>
              <a:cs typeface="Times New Roman" panose="02020603050405020304" pitchFamily="18" charset="0"/>
            </a:rPr>
            <a:t>&gt;1,0</a:t>
          </a:r>
        </a:p>
        <a:p>
          <a:r>
            <a:rPr lang="ru-RU" sz="1100">
              <a:latin typeface="Times New Roman" panose="02020603050405020304" pitchFamily="18" charset="0"/>
              <a:cs typeface="Times New Roman" panose="02020603050405020304" pitchFamily="18" charset="0"/>
            </a:rPr>
            <a:t>Неблагоприятная зона</a:t>
          </a:r>
        </a:p>
      </dgm:t>
    </dgm:pt>
    <dgm:pt modelId="{CAEF0C04-4939-4CCA-A705-467A0609D4C8}" type="parTrans" cxnId="{708ADA9C-1A86-46B0-BF04-708A67031D28}">
      <dgm:prSet/>
      <dgm:spPr/>
      <dgm:t>
        <a:bodyPr/>
        <a:lstStyle/>
        <a:p>
          <a:endParaRPr lang="ru-RU" sz="1100">
            <a:latin typeface="Times New Roman" panose="02020603050405020304" pitchFamily="18" charset="0"/>
            <a:cs typeface="Times New Roman" panose="02020603050405020304" pitchFamily="18" charset="0"/>
          </a:endParaRPr>
        </a:p>
      </dgm:t>
    </dgm:pt>
    <dgm:pt modelId="{60C86BBA-675F-48CE-A337-9A8A9BDBCB24}" type="sibTrans" cxnId="{708ADA9C-1A86-46B0-BF04-708A67031D28}">
      <dgm:prSet/>
      <dgm:spPr/>
      <dgm:t>
        <a:bodyPr/>
        <a:lstStyle/>
        <a:p>
          <a:endParaRPr lang="ru-RU" sz="1100">
            <a:latin typeface="Times New Roman" panose="02020603050405020304" pitchFamily="18" charset="0"/>
            <a:cs typeface="Times New Roman" panose="02020603050405020304" pitchFamily="18" charset="0"/>
          </a:endParaRPr>
        </a:p>
      </dgm:t>
    </dgm:pt>
    <dgm:pt modelId="{482A0220-665F-42FC-B0B1-195B2E659E73}">
      <dgm:prSet phldrT="[Текст]" custT="1"/>
      <dgm:spPr/>
      <dgm:t>
        <a:bodyPr/>
        <a:lstStyle/>
        <a:p>
          <a:r>
            <a:rPr lang="ru-RU" sz="1100">
              <a:latin typeface="Times New Roman" panose="02020603050405020304" pitchFamily="18" charset="0"/>
              <a:cs typeface="Times New Roman" panose="02020603050405020304" pitchFamily="18" charset="0"/>
            </a:rPr>
            <a:t>Высокий уровень рисков фондирования. Высокая доля вкладов до востребования. Высокая доля привлечения средств через межбанковское кредитование, выпуск долговых обязательств по высокой стоимости фондирования. Возможно стоимость активов, приносящих доход, значительно превышает стоимость фондирования, что может говорить о высоких рисках активов и рисках потери доходов, из которых выплачиваются вознаграждения по инструментам фондирования.</a:t>
          </a:r>
        </a:p>
      </dgm:t>
    </dgm:pt>
    <dgm:pt modelId="{BD3F4EDC-A99E-4F4E-8FDB-658630753D0A}" type="parTrans" cxnId="{C186E897-136A-4642-BD0E-CC024F4A4C1D}">
      <dgm:prSet/>
      <dgm:spPr/>
      <dgm:t>
        <a:bodyPr/>
        <a:lstStyle/>
        <a:p>
          <a:endParaRPr lang="ru-RU" sz="1100">
            <a:latin typeface="Times New Roman" panose="02020603050405020304" pitchFamily="18" charset="0"/>
            <a:cs typeface="Times New Roman" panose="02020603050405020304" pitchFamily="18" charset="0"/>
          </a:endParaRPr>
        </a:p>
      </dgm:t>
    </dgm:pt>
    <dgm:pt modelId="{E2A2D9B9-FA32-428B-A5D4-49959FC8D0EB}" type="sibTrans" cxnId="{C186E897-136A-4642-BD0E-CC024F4A4C1D}">
      <dgm:prSet/>
      <dgm:spPr/>
      <dgm:t>
        <a:bodyPr/>
        <a:lstStyle/>
        <a:p>
          <a:endParaRPr lang="ru-RU" sz="1100">
            <a:latin typeface="Times New Roman" panose="02020603050405020304" pitchFamily="18" charset="0"/>
            <a:cs typeface="Times New Roman" panose="02020603050405020304" pitchFamily="18" charset="0"/>
          </a:endParaRPr>
        </a:p>
      </dgm:t>
    </dgm:pt>
    <dgm:pt modelId="{7C30DA38-F759-4760-9FA4-FF6A8E69E755}" type="pres">
      <dgm:prSet presAssocID="{9E834ECC-1159-4BEB-95E5-F9E402A2729C}" presName="Name0" presStyleCnt="0">
        <dgm:presLayoutVars>
          <dgm:dir/>
          <dgm:animLvl val="lvl"/>
          <dgm:resizeHandles val="exact"/>
        </dgm:presLayoutVars>
      </dgm:prSet>
      <dgm:spPr/>
      <dgm:t>
        <a:bodyPr/>
        <a:lstStyle/>
        <a:p>
          <a:endParaRPr lang="ru-RU"/>
        </a:p>
      </dgm:t>
    </dgm:pt>
    <dgm:pt modelId="{415DCBEA-B6DE-4549-9162-3DE3BD5FE92D}" type="pres">
      <dgm:prSet presAssocID="{7AC21A03-E255-41EA-91C2-9035EF57E559}" presName="linNode" presStyleCnt="0"/>
      <dgm:spPr/>
    </dgm:pt>
    <dgm:pt modelId="{5A500E77-0F3A-4C7D-A5B8-4C803B7CAD50}" type="pres">
      <dgm:prSet presAssocID="{7AC21A03-E255-41EA-91C2-9035EF57E559}" presName="parentText" presStyleLbl="node1" presStyleIdx="0" presStyleCnt="3">
        <dgm:presLayoutVars>
          <dgm:chMax val="1"/>
          <dgm:bulletEnabled val="1"/>
        </dgm:presLayoutVars>
      </dgm:prSet>
      <dgm:spPr/>
      <dgm:t>
        <a:bodyPr/>
        <a:lstStyle/>
        <a:p>
          <a:endParaRPr lang="ru-RU"/>
        </a:p>
      </dgm:t>
    </dgm:pt>
    <dgm:pt modelId="{8A2C6BF8-A6D7-4A07-BBE1-36289F76750D}" type="pres">
      <dgm:prSet presAssocID="{7AC21A03-E255-41EA-91C2-9035EF57E559}" presName="descendantText" presStyleLbl="alignAccFollowNode1" presStyleIdx="0" presStyleCnt="3" custScaleX="348231" custScaleY="118431">
        <dgm:presLayoutVars>
          <dgm:bulletEnabled val="1"/>
        </dgm:presLayoutVars>
      </dgm:prSet>
      <dgm:spPr/>
      <dgm:t>
        <a:bodyPr/>
        <a:lstStyle/>
        <a:p>
          <a:endParaRPr lang="ru-RU"/>
        </a:p>
      </dgm:t>
    </dgm:pt>
    <dgm:pt modelId="{7A52BEE8-1B94-4347-B03E-2E333E7B0C0A}" type="pres">
      <dgm:prSet presAssocID="{6005B75B-730C-4C47-9E49-E3739D2E655C}" presName="sp" presStyleCnt="0"/>
      <dgm:spPr/>
    </dgm:pt>
    <dgm:pt modelId="{FF1A151E-D971-42EA-8CBD-0218F46C32C6}" type="pres">
      <dgm:prSet presAssocID="{7EC3C20D-714A-4AA9-98BF-DFB7EC876B66}" presName="linNode" presStyleCnt="0"/>
      <dgm:spPr/>
    </dgm:pt>
    <dgm:pt modelId="{26082626-3199-43D2-9A6F-6193D70255B7}" type="pres">
      <dgm:prSet presAssocID="{7EC3C20D-714A-4AA9-98BF-DFB7EC876B66}" presName="parentText" presStyleLbl="node1" presStyleIdx="1" presStyleCnt="3">
        <dgm:presLayoutVars>
          <dgm:chMax val="1"/>
          <dgm:bulletEnabled val="1"/>
        </dgm:presLayoutVars>
      </dgm:prSet>
      <dgm:spPr/>
      <dgm:t>
        <a:bodyPr/>
        <a:lstStyle/>
        <a:p>
          <a:endParaRPr lang="ru-RU"/>
        </a:p>
      </dgm:t>
    </dgm:pt>
    <dgm:pt modelId="{EECDE185-9850-40DA-8658-0FD0ECD69FCA}" type="pres">
      <dgm:prSet presAssocID="{7EC3C20D-714A-4AA9-98BF-DFB7EC876B66}" presName="descendantText" presStyleLbl="alignAccFollowNode1" presStyleIdx="1" presStyleCnt="3" custScaleX="360931" custScaleY="116492">
        <dgm:presLayoutVars>
          <dgm:bulletEnabled val="1"/>
        </dgm:presLayoutVars>
      </dgm:prSet>
      <dgm:spPr/>
      <dgm:t>
        <a:bodyPr/>
        <a:lstStyle/>
        <a:p>
          <a:endParaRPr lang="ru-RU"/>
        </a:p>
      </dgm:t>
    </dgm:pt>
    <dgm:pt modelId="{A3D081A2-83C4-42DA-AFEE-FEBBF36C80F3}" type="pres">
      <dgm:prSet presAssocID="{867B577E-78D8-4B2B-B566-4AC3D1FAE419}" presName="sp" presStyleCnt="0"/>
      <dgm:spPr/>
    </dgm:pt>
    <dgm:pt modelId="{B290A26B-2434-41F1-9E54-B3741CB195A3}" type="pres">
      <dgm:prSet presAssocID="{F34CBEFF-849D-457A-86A9-CE3066564C27}" presName="linNode" presStyleCnt="0"/>
      <dgm:spPr/>
    </dgm:pt>
    <dgm:pt modelId="{591C320B-5220-467C-BBA9-799874ADE46F}" type="pres">
      <dgm:prSet presAssocID="{F34CBEFF-849D-457A-86A9-CE3066564C27}" presName="parentText" presStyleLbl="node1" presStyleIdx="2" presStyleCnt="3">
        <dgm:presLayoutVars>
          <dgm:chMax val="1"/>
          <dgm:bulletEnabled val="1"/>
        </dgm:presLayoutVars>
      </dgm:prSet>
      <dgm:spPr/>
      <dgm:t>
        <a:bodyPr/>
        <a:lstStyle/>
        <a:p>
          <a:endParaRPr lang="ru-RU"/>
        </a:p>
      </dgm:t>
    </dgm:pt>
    <dgm:pt modelId="{5618AAA8-FC3B-4C17-8633-1F13E4027C71}" type="pres">
      <dgm:prSet presAssocID="{F34CBEFF-849D-457A-86A9-CE3066564C27}" presName="descendantText" presStyleLbl="alignAccFollowNode1" presStyleIdx="2" presStyleCnt="3" custScaleX="378501" custScaleY="148102">
        <dgm:presLayoutVars>
          <dgm:bulletEnabled val="1"/>
        </dgm:presLayoutVars>
      </dgm:prSet>
      <dgm:spPr/>
      <dgm:t>
        <a:bodyPr/>
        <a:lstStyle/>
        <a:p>
          <a:endParaRPr lang="ru-RU"/>
        </a:p>
      </dgm:t>
    </dgm:pt>
  </dgm:ptLst>
  <dgm:cxnLst>
    <dgm:cxn modelId="{AE63A5AA-C5AA-4273-90F1-D03103DCF7BD}" type="presOf" srcId="{F7F6F824-CCFD-4998-B768-E8510B9FF134}" destId="{8A2C6BF8-A6D7-4A07-BBE1-36289F76750D}" srcOrd="0" destOrd="0" presId="urn:microsoft.com/office/officeart/2005/8/layout/vList5"/>
    <dgm:cxn modelId="{405CD0DF-8F53-42E5-BF79-5884DB986B3E}" type="presOf" srcId="{482A0220-665F-42FC-B0B1-195B2E659E73}" destId="{5618AAA8-FC3B-4C17-8633-1F13E4027C71}" srcOrd="0" destOrd="0" presId="urn:microsoft.com/office/officeart/2005/8/layout/vList5"/>
    <dgm:cxn modelId="{70AD7D4F-7EE4-4F93-875B-BCECDE3DF15D}" type="presOf" srcId="{7AC21A03-E255-41EA-91C2-9035EF57E559}" destId="{5A500E77-0F3A-4C7D-A5B8-4C803B7CAD50}" srcOrd="0" destOrd="0" presId="urn:microsoft.com/office/officeart/2005/8/layout/vList5"/>
    <dgm:cxn modelId="{C186E897-136A-4642-BD0E-CC024F4A4C1D}" srcId="{F34CBEFF-849D-457A-86A9-CE3066564C27}" destId="{482A0220-665F-42FC-B0B1-195B2E659E73}" srcOrd="0" destOrd="0" parTransId="{BD3F4EDC-A99E-4F4E-8FDB-658630753D0A}" sibTransId="{E2A2D9B9-FA32-428B-A5D4-49959FC8D0EB}"/>
    <dgm:cxn modelId="{AD45D95F-93E8-43CD-9338-C36B07374C0E}" srcId="{9E834ECC-1159-4BEB-95E5-F9E402A2729C}" destId="{7AC21A03-E255-41EA-91C2-9035EF57E559}" srcOrd="0" destOrd="0" parTransId="{B8D9E997-E6C9-426E-8336-6518B7608917}" sibTransId="{6005B75B-730C-4C47-9E49-E3739D2E655C}"/>
    <dgm:cxn modelId="{708ADA9C-1A86-46B0-BF04-708A67031D28}" srcId="{9E834ECC-1159-4BEB-95E5-F9E402A2729C}" destId="{F34CBEFF-849D-457A-86A9-CE3066564C27}" srcOrd="2" destOrd="0" parTransId="{CAEF0C04-4939-4CCA-A705-467A0609D4C8}" sibTransId="{60C86BBA-675F-48CE-A337-9A8A9BDBCB24}"/>
    <dgm:cxn modelId="{24C5A89E-CC50-4981-92FD-3954544873CB}" type="presOf" srcId="{F34CBEFF-849D-457A-86A9-CE3066564C27}" destId="{591C320B-5220-467C-BBA9-799874ADE46F}" srcOrd="0" destOrd="0" presId="urn:microsoft.com/office/officeart/2005/8/layout/vList5"/>
    <dgm:cxn modelId="{509C19AE-FFAD-4A27-BD9A-A869262F9BF2}" type="presOf" srcId="{9E834ECC-1159-4BEB-95E5-F9E402A2729C}" destId="{7C30DA38-F759-4760-9FA4-FF6A8E69E755}" srcOrd="0" destOrd="0" presId="urn:microsoft.com/office/officeart/2005/8/layout/vList5"/>
    <dgm:cxn modelId="{A263C8F8-1442-4D9D-8DF9-6B52C8D2EAFE}" type="presOf" srcId="{D431FA18-69A9-4D57-A6D3-F6081DD5EE6C}" destId="{EECDE185-9850-40DA-8658-0FD0ECD69FCA}" srcOrd="0" destOrd="0" presId="urn:microsoft.com/office/officeart/2005/8/layout/vList5"/>
    <dgm:cxn modelId="{28CE46DB-87D4-4EC2-8AD0-7D248D8770D4}" srcId="{9E834ECC-1159-4BEB-95E5-F9E402A2729C}" destId="{7EC3C20D-714A-4AA9-98BF-DFB7EC876B66}" srcOrd="1" destOrd="0" parTransId="{FC86EF3C-1AC6-46E7-867B-D891E7292D93}" sibTransId="{867B577E-78D8-4B2B-B566-4AC3D1FAE419}"/>
    <dgm:cxn modelId="{CC72ED02-9398-4A51-B864-E13D2526142E}" srcId="{7EC3C20D-714A-4AA9-98BF-DFB7EC876B66}" destId="{D431FA18-69A9-4D57-A6D3-F6081DD5EE6C}" srcOrd="0" destOrd="0" parTransId="{8C7FDA1D-66F1-4C8E-AE4E-551023A9AD8D}" sibTransId="{07ECB483-E6B8-4BE4-9592-B1C26482DA71}"/>
    <dgm:cxn modelId="{19ECEC40-0566-41DD-8908-4089741D493C}" srcId="{7AC21A03-E255-41EA-91C2-9035EF57E559}" destId="{F7F6F824-CCFD-4998-B768-E8510B9FF134}" srcOrd="0" destOrd="0" parTransId="{F03E6ED1-ABC2-4FC3-8878-4E0AA0BA1F84}" sibTransId="{65CAB0FA-03D1-4B30-8C97-F8BA5278FFA6}"/>
    <dgm:cxn modelId="{A2813498-4279-46E2-8C8C-225D7BC18961}" type="presOf" srcId="{7EC3C20D-714A-4AA9-98BF-DFB7EC876B66}" destId="{26082626-3199-43D2-9A6F-6193D70255B7}" srcOrd="0" destOrd="0" presId="urn:microsoft.com/office/officeart/2005/8/layout/vList5"/>
    <dgm:cxn modelId="{5C6B704C-1336-42FE-B5A7-751FF5B4CA26}" type="presParOf" srcId="{7C30DA38-F759-4760-9FA4-FF6A8E69E755}" destId="{415DCBEA-B6DE-4549-9162-3DE3BD5FE92D}" srcOrd="0" destOrd="0" presId="urn:microsoft.com/office/officeart/2005/8/layout/vList5"/>
    <dgm:cxn modelId="{EC8FB611-1160-4359-AAB3-FDD0749A7029}" type="presParOf" srcId="{415DCBEA-B6DE-4549-9162-3DE3BD5FE92D}" destId="{5A500E77-0F3A-4C7D-A5B8-4C803B7CAD50}" srcOrd="0" destOrd="0" presId="urn:microsoft.com/office/officeart/2005/8/layout/vList5"/>
    <dgm:cxn modelId="{8CFAA2F0-8445-4029-95E3-FC57ED9285FB}" type="presParOf" srcId="{415DCBEA-B6DE-4549-9162-3DE3BD5FE92D}" destId="{8A2C6BF8-A6D7-4A07-BBE1-36289F76750D}" srcOrd="1" destOrd="0" presId="urn:microsoft.com/office/officeart/2005/8/layout/vList5"/>
    <dgm:cxn modelId="{DBC5D73E-8BEE-4073-94EC-563A6A0AD97A}" type="presParOf" srcId="{7C30DA38-F759-4760-9FA4-FF6A8E69E755}" destId="{7A52BEE8-1B94-4347-B03E-2E333E7B0C0A}" srcOrd="1" destOrd="0" presId="urn:microsoft.com/office/officeart/2005/8/layout/vList5"/>
    <dgm:cxn modelId="{0D682A3E-B8F9-4284-ABF4-923D03E40063}" type="presParOf" srcId="{7C30DA38-F759-4760-9FA4-FF6A8E69E755}" destId="{FF1A151E-D971-42EA-8CBD-0218F46C32C6}" srcOrd="2" destOrd="0" presId="urn:microsoft.com/office/officeart/2005/8/layout/vList5"/>
    <dgm:cxn modelId="{5A6E2182-A66B-42D7-9548-6EB6C97B5B89}" type="presParOf" srcId="{FF1A151E-D971-42EA-8CBD-0218F46C32C6}" destId="{26082626-3199-43D2-9A6F-6193D70255B7}" srcOrd="0" destOrd="0" presId="urn:microsoft.com/office/officeart/2005/8/layout/vList5"/>
    <dgm:cxn modelId="{9F775F70-528B-4813-9A3D-30E814AA3A2B}" type="presParOf" srcId="{FF1A151E-D971-42EA-8CBD-0218F46C32C6}" destId="{EECDE185-9850-40DA-8658-0FD0ECD69FCA}" srcOrd="1" destOrd="0" presId="urn:microsoft.com/office/officeart/2005/8/layout/vList5"/>
    <dgm:cxn modelId="{A5C4F961-9E1D-46AA-B28C-5B210C0115C1}" type="presParOf" srcId="{7C30DA38-F759-4760-9FA4-FF6A8E69E755}" destId="{A3D081A2-83C4-42DA-AFEE-FEBBF36C80F3}" srcOrd="3" destOrd="0" presId="urn:microsoft.com/office/officeart/2005/8/layout/vList5"/>
    <dgm:cxn modelId="{C2822D65-6800-4446-BAC7-98D2B494CDC0}" type="presParOf" srcId="{7C30DA38-F759-4760-9FA4-FF6A8E69E755}" destId="{B290A26B-2434-41F1-9E54-B3741CB195A3}" srcOrd="4" destOrd="0" presId="urn:microsoft.com/office/officeart/2005/8/layout/vList5"/>
    <dgm:cxn modelId="{D9582573-C2A3-466F-B159-E1D7C9286130}" type="presParOf" srcId="{B290A26B-2434-41F1-9E54-B3741CB195A3}" destId="{591C320B-5220-467C-BBA9-799874ADE46F}" srcOrd="0" destOrd="0" presId="urn:microsoft.com/office/officeart/2005/8/layout/vList5"/>
    <dgm:cxn modelId="{371AFB1B-1290-4D59-9E55-81E61BADE05A}" type="presParOf" srcId="{B290A26B-2434-41F1-9E54-B3741CB195A3}" destId="{5618AAA8-FC3B-4C17-8633-1F13E4027C71}" srcOrd="1" destOrd="0" presId="urn:microsoft.com/office/officeart/2005/8/layout/vList5"/>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2B7F12-28F3-4A57-803C-FF22FF70A4AD}">
      <dsp:nvSpPr>
        <dsp:cNvPr id="0" name=""/>
        <dsp:cNvSpPr/>
      </dsp:nvSpPr>
      <dsp:spPr>
        <a:xfrm>
          <a:off x="2972" y="0"/>
          <a:ext cx="2859498" cy="2659310"/>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Фондирование</a:t>
          </a:r>
        </a:p>
      </dsp:txBody>
      <dsp:txXfrm>
        <a:off x="2972" y="0"/>
        <a:ext cx="2859498" cy="797793"/>
      </dsp:txXfrm>
    </dsp:sp>
    <dsp:sp modelId="{6B7EADF5-D7C0-4DDF-BE35-4E7D8C58662E}">
      <dsp:nvSpPr>
        <dsp:cNvPr id="0" name=""/>
        <dsp:cNvSpPr/>
      </dsp:nvSpPr>
      <dsp:spPr>
        <a:xfrm>
          <a:off x="288922" y="797857"/>
          <a:ext cx="2287598" cy="3874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формирование </a:t>
          </a:r>
          <a:r>
            <a:rPr lang="ru-RU" sz="1200" kern="1200">
              <a:latin typeface="Times New Roman" panose="02020603050405020304" pitchFamily="18" charset="0"/>
              <a:cs typeface="Times New Roman" panose="02020603050405020304" pitchFamily="18" charset="0"/>
            </a:rPr>
            <a:t>денежных ресурсов</a:t>
          </a:r>
        </a:p>
      </dsp:txBody>
      <dsp:txXfrm>
        <a:off x="300269" y="809204"/>
        <a:ext cx="2264904" cy="364710"/>
      </dsp:txXfrm>
    </dsp:sp>
    <dsp:sp modelId="{D9C1060D-4FB9-40D8-BD5A-75D116C6AB24}">
      <dsp:nvSpPr>
        <dsp:cNvPr id="0" name=""/>
        <dsp:cNvSpPr/>
      </dsp:nvSpPr>
      <dsp:spPr>
        <a:xfrm>
          <a:off x="288922" y="1244863"/>
          <a:ext cx="2287598" cy="3874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образование</a:t>
          </a:r>
          <a:r>
            <a:rPr lang="ru-RU" sz="1200" kern="1200">
              <a:latin typeface="Times New Roman" panose="02020603050405020304" pitchFamily="18" charset="0"/>
              <a:cs typeface="Times New Roman" panose="02020603050405020304" pitchFamily="18" charset="0"/>
            </a:rPr>
            <a:t> фонда, накоплений на основе сбережений</a:t>
          </a:r>
        </a:p>
      </dsp:txBody>
      <dsp:txXfrm>
        <a:off x="300269" y="1256210"/>
        <a:ext cx="2264904" cy="364710"/>
      </dsp:txXfrm>
    </dsp:sp>
    <dsp:sp modelId="{CB3CCB27-786F-47B9-B59D-A84A5B7C3D98}">
      <dsp:nvSpPr>
        <dsp:cNvPr id="0" name=""/>
        <dsp:cNvSpPr/>
      </dsp:nvSpPr>
      <dsp:spPr>
        <a:xfrm>
          <a:off x="288922" y="1691869"/>
          <a:ext cx="2287598" cy="3874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источники</a:t>
          </a:r>
          <a:r>
            <a:rPr lang="ru-RU" sz="1200" kern="1200">
              <a:latin typeface="Times New Roman" panose="02020603050405020304" pitchFamily="18" charset="0"/>
              <a:cs typeface="Times New Roman" panose="02020603050405020304" pitchFamily="18" charset="0"/>
            </a:rPr>
            <a:t> формирования ресурсов  </a:t>
          </a:r>
        </a:p>
      </dsp:txBody>
      <dsp:txXfrm>
        <a:off x="300269" y="1703216"/>
        <a:ext cx="2264904" cy="364710"/>
      </dsp:txXfrm>
    </dsp:sp>
    <dsp:sp modelId="{1A1C510D-A412-4691-B78F-D1C5F962C0B5}">
      <dsp:nvSpPr>
        <dsp:cNvPr id="0" name=""/>
        <dsp:cNvSpPr/>
      </dsp:nvSpPr>
      <dsp:spPr>
        <a:xfrm>
          <a:off x="288922" y="2138874"/>
          <a:ext cx="2287598" cy="3874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процесс обеспечения</a:t>
          </a:r>
          <a:r>
            <a:rPr lang="ru-RU" sz="1200" kern="1200">
              <a:latin typeface="Times New Roman" panose="02020603050405020304" pitchFamily="18" charset="0"/>
              <a:cs typeface="Times New Roman" panose="02020603050405020304" pitchFamily="18" charset="0"/>
            </a:rPr>
            <a:t> денежными средствами</a:t>
          </a:r>
        </a:p>
      </dsp:txBody>
      <dsp:txXfrm>
        <a:off x="300269" y="2150221"/>
        <a:ext cx="2264904" cy="364710"/>
      </dsp:txXfrm>
    </dsp:sp>
    <dsp:sp modelId="{7EAC4703-8971-4CCD-8A1F-562843AC3E94}">
      <dsp:nvSpPr>
        <dsp:cNvPr id="0" name=""/>
        <dsp:cNvSpPr/>
      </dsp:nvSpPr>
      <dsp:spPr>
        <a:xfrm>
          <a:off x="3076933" y="0"/>
          <a:ext cx="2859498" cy="2659310"/>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Финансирование </a:t>
          </a:r>
        </a:p>
      </dsp:txBody>
      <dsp:txXfrm>
        <a:off x="3076933" y="0"/>
        <a:ext cx="2859498" cy="797793"/>
      </dsp:txXfrm>
    </dsp:sp>
    <dsp:sp modelId="{584AC66D-D56A-4DA5-88E4-48761B7B7F03}">
      <dsp:nvSpPr>
        <dsp:cNvPr id="0" name=""/>
        <dsp:cNvSpPr/>
      </dsp:nvSpPr>
      <dsp:spPr>
        <a:xfrm>
          <a:off x="3362883" y="797857"/>
          <a:ext cx="2287598" cy="3874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размещение</a:t>
          </a:r>
          <a:r>
            <a:rPr lang="ru-RU" sz="1200" kern="1200">
              <a:latin typeface="Times New Roman" panose="02020603050405020304" pitchFamily="18" charset="0"/>
              <a:cs typeface="Times New Roman" panose="02020603050405020304" pitchFamily="18" charset="0"/>
            </a:rPr>
            <a:t> денежных ресурсов</a:t>
          </a:r>
        </a:p>
      </dsp:txBody>
      <dsp:txXfrm>
        <a:off x="3374230" y="809204"/>
        <a:ext cx="2264904" cy="364710"/>
      </dsp:txXfrm>
    </dsp:sp>
    <dsp:sp modelId="{0170DC21-E9A8-4B78-A7C8-C10677EDFBC9}">
      <dsp:nvSpPr>
        <dsp:cNvPr id="0" name=""/>
        <dsp:cNvSpPr/>
      </dsp:nvSpPr>
      <dsp:spPr>
        <a:xfrm>
          <a:off x="3362883" y="1244863"/>
          <a:ext cx="2287598" cy="3874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выделение</a:t>
          </a:r>
          <a:r>
            <a:rPr lang="ru-RU" sz="1200" kern="1200">
              <a:latin typeface="Times New Roman" panose="02020603050405020304" pitchFamily="18" charset="0"/>
              <a:cs typeface="Times New Roman" panose="02020603050405020304" pitchFamily="18" charset="0"/>
            </a:rPr>
            <a:t> ресурсов для достижения намеченных целей</a:t>
          </a:r>
        </a:p>
      </dsp:txBody>
      <dsp:txXfrm>
        <a:off x="3374230" y="1256210"/>
        <a:ext cx="2264904" cy="364710"/>
      </dsp:txXfrm>
    </dsp:sp>
    <dsp:sp modelId="{C0E7528E-0760-4AEA-85D3-3BC511C1CCC4}">
      <dsp:nvSpPr>
        <dsp:cNvPr id="0" name=""/>
        <dsp:cNvSpPr/>
      </dsp:nvSpPr>
      <dsp:spPr>
        <a:xfrm>
          <a:off x="3362883" y="1691869"/>
          <a:ext cx="2287598" cy="3874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инструменты </a:t>
          </a:r>
          <a:r>
            <a:rPr lang="ru-RU" sz="1200" kern="1200">
              <a:latin typeface="Times New Roman" panose="02020603050405020304" pitchFamily="18" charset="0"/>
              <a:cs typeface="Times New Roman" panose="02020603050405020304" pitchFamily="18" charset="0"/>
            </a:rPr>
            <a:t>распределения ресурсов</a:t>
          </a:r>
        </a:p>
      </dsp:txBody>
      <dsp:txXfrm>
        <a:off x="3374230" y="1703216"/>
        <a:ext cx="2264904" cy="364710"/>
      </dsp:txXfrm>
    </dsp:sp>
    <dsp:sp modelId="{0CBC0659-6AE2-4A76-93D6-06D84FA7BD10}">
      <dsp:nvSpPr>
        <dsp:cNvPr id="0" name=""/>
        <dsp:cNvSpPr/>
      </dsp:nvSpPr>
      <dsp:spPr>
        <a:xfrm>
          <a:off x="3362883" y="2138874"/>
          <a:ext cx="2287598" cy="3874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i="1" kern="1200">
              <a:latin typeface="Times New Roman" panose="02020603050405020304" pitchFamily="18" charset="0"/>
              <a:cs typeface="Times New Roman" panose="02020603050405020304" pitchFamily="18" charset="0"/>
            </a:rPr>
            <a:t>процесс предоставления</a:t>
          </a:r>
          <a:r>
            <a:rPr lang="ru-RU" sz="1200" kern="1200">
              <a:latin typeface="Times New Roman" panose="02020603050405020304" pitchFamily="18" charset="0"/>
              <a:cs typeface="Times New Roman" panose="02020603050405020304" pitchFamily="18" charset="0"/>
            </a:rPr>
            <a:t> денежных средств</a:t>
          </a:r>
        </a:p>
      </dsp:txBody>
      <dsp:txXfrm>
        <a:off x="3374230" y="2150221"/>
        <a:ext cx="2264904" cy="36471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E186F8-2CCD-49A7-B3B7-949E1E2F90EA}">
      <dsp:nvSpPr>
        <dsp:cNvPr id="0" name=""/>
        <dsp:cNvSpPr/>
      </dsp:nvSpPr>
      <dsp:spPr>
        <a:xfrm>
          <a:off x="1913619" y="2208"/>
          <a:ext cx="3633770" cy="470594"/>
        </a:xfrm>
        <a:prstGeom prst="rightArrow">
          <a:avLst>
            <a:gd name="adj1" fmla="val 75000"/>
            <a:gd name="adj2" fmla="val 50000"/>
          </a:avLst>
        </a:prstGeom>
        <a:solidFill>
          <a:schemeClr val="accent2">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низкая стоимость</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высокий срок</a:t>
          </a:r>
        </a:p>
      </dsp:txBody>
      <dsp:txXfrm>
        <a:off x="1913619" y="61032"/>
        <a:ext cx="3457297" cy="352946"/>
      </dsp:txXfrm>
    </dsp:sp>
    <dsp:sp modelId="{BABA858A-2152-4C8A-973A-CAEB3CD3E5E5}">
      <dsp:nvSpPr>
        <dsp:cNvPr id="0" name=""/>
        <dsp:cNvSpPr/>
      </dsp:nvSpPr>
      <dsp:spPr>
        <a:xfrm>
          <a:off x="1763" y="2208"/>
          <a:ext cx="1911856" cy="470594"/>
        </a:xfrm>
        <a:prstGeom prst="round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приоритеты фондирования</a:t>
          </a:r>
        </a:p>
      </dsp:txBody>
      <dsp:txXfrm>
        <a:off x="24736" y="25181"/>
        <a:ext cx="1865910" cy="424648"/>
      </dsp:txXfrm>
    </dsp:sp>
    <dsp:sp modelId="{2426EF09-EC31-4FEE-9576-A6AA0B3BDBA3}">
      <dsp:nvSpPr>
        <dsp:cNvPr id="0" name=""/>
        <dsp:cNvSpPr/>
      </dsp:nvSpPr>
      <dsp:spPr>
        <a:xfrm>
          <a:off x="1920218" y="523457"/>
          <a:ext cx="3628932" cy="470594"/>
        </a:xfrm>
        <a:prstGeom prst="rightArrow">
          <a:avLst>
            <a:gd name="adj1" fmla="val 75000"/>
            <a:gd name="adj2" fmla="val 50000"/>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высокое вознаграждение</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заранее определенный срок</a:t>
          </a:r>
        </a:p>
      </dsp:txBody>
      <dsp:txXfrm>
        <a:off x="1920218" y="582281"/>
        <a:ext cx="3452459" cy="352946"/>
      </dsp:txXfrm>
    </dsp:sp>
    <dsp:sp modelId="{3D7BA10A-D00D-414D-B65B-18D6AC6F7138}">
      <dsp:nvSpPr>
        <dsp:cNvPr id="0" name=""/>
        <dsp:cNvSpPr/>
      </dsp:nvSpPr>
      <dsp:spPr>
        <a:xfrm>
          <a:off x="2014" y="519862"/>
          <a:ext cx="1916191" cy="470594"/>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приоритеты вложений</a:t>
          </a:r>
        </a:p>
      </dsp:txBody>
      <dsp:txXfrm>
        <a:off x="24987" y="542835"/>
        <a:ext cx="1870245" cy="424648"/>
      </dsp:txXfrm>
    </dsp:sp>
    <dsp:sp modelId="{5E1F6436-DA42-4A42-A8F9-5F2FBB525974}">
      <dsp:nvSpPr>
        <dsp:cNvPr id="0" name=""/>
        <dsp:cNvSpPr/>
      </dsp:nvSpPr>
      <dsp:spPr>
        <a:xfrm>
          <a:off x="1929944" y="1037516"/>
          <a:ext cx="3618461" cy="470594"/>
        </a:xfrm>
        <a:prstGeom prst="rightArrow">
          <a:avLst>
            <a:gd name="adj1" fmla="val 75000"/>
            <a:gd name="adj2" fmla="val 50000"/>
          </a:avLst>
        </a:prstGeom>
        <a:solidFill>
          <a:schemeClr val="accent4">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плотность фондирования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качество фондирования</a:t>
          </a:r>
        </a:p>
      </dsp:txBody>
      <dsp:txXfrm>
        <a:off x="1929944" y="1096340"/>
        <a:ext cx="3441988" cy="352946"/>
      </dsp:txXfrm>
    </dsp:sp>
    <dsp:sp modelId="{9FF7CB14-D672-408A-A0E6-2CBEECD17BA0}">
      <dsp:nvSpPr>
        <dsp:cNvPr id="0" name=""/>
        <dsp:cNvSpPr/>
      </dsp:nvSpPr>
      <dsp:spPr>
        <a:xfrm>
          <a:off x="747" y="1037516"/>
          <a:ext cx="1929197" cy="470594"/>
        </a:xfrm>
        <a:prstGeom prst="round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оценка фондирования</a:t>
          </a:r>
        </a:p>
      </dsp:txBody>
      <dsp:txXfrm>
        <a:off x="23720" y="1060489"/>
        <a:ext cx="1883251" cy="424648"/>
      </dsp:txXfrm>
    </dsp:sp>
    <dsp:sp modelId="{5FF780B5-7234-4081-91EE-41FFA0B3EF6E}">
      <dsp:nvSpPr>
        <dsp:cNvPr id="0" name=""/>
        <dsp:cNvSpPr/>
      </dsp:nvSpPr>
      <dsp:spPr>
        <a:xfrm>
          <a:off x="1919151" y="1555170"/>
          <a:ext cx="3629210" cy="993599"/>
        </a:xfrm>
        <a:prstGeom prst="rightArrow">
          <a:avLst>
            <a:gd name="adj1" fmla="val 75000"/>
            <a:gd name="adj2" fmla="val 50000"/>
          </a:avLst>
        </a:prstGeom>
        <a:solidFill>
          <a:schemeClr val="accent5">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население</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компании</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финансовые институты</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МФО</a:t>
          </a:r>
        </a:p>
      </dsp:txBody>
      <dsp:txXfrm>
        <a:off x="1919151" y="1679370"/>
        <a:ext cx="3256610" cy="745199"/>
      </dsp:txXfrm>
    </dsp:sp>
    <dsp:sp modelId="{125267B9-84E2-4B6F-942A-A1D9B5E1B79E}">
      <dsp:nvSpPr>
        <dsp:cNvPr id="0" name=""/>
        <dsp:cNvSpPr/>
      </dsp:nvSpPr>
      <dsp:spPr>
        <a:xfrm>
          <a:off x="791" y="1816672"/>
          <a:ext cx="1918359" cy="470594"/>
        </a:xfrm>
        <a:prstGeom prst="round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источники фондирования</a:t>
          </a:r>
        </a:p>
      </dsp:txBody>
      <dsp:txXfrm>
        <a:off x="23764" y="1839645"/>
        <a:ext cx="1872413" cy="424648"/>
      </dsp:txXfrm>
    </dsp:sp>
    <dsp:sp modelId="{3452541E-435B-4547-AC3E-67C521D6B95B}">
      <dsp:nvSpPr>
        <dsp:cNvPr id="0" name=""/>
        <dsp:cNvSpPr/>
      </dsp:nvSpPr>
      <dsp:spPr>
        <a:xfrm>
          <a:off x="1915327" y="2595829"/>
          <a:ext cx="3632521" cy="1304172"/>
        </a:xfrm>
        <a:prstGeom prst="rightArrow">
          <a:avLst>
            <a:gd name="adj1" fmla="val 75000"/>
            <a:gd name="adj2" fmla="val 50000"/>
          </a:avLst>
        </a:prstGeom>
        <a:solidFill>
          <a:schemeClr val="accent6">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диверсификация предлагаемых инструментов (онлайн и  физические, разнообразие)</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адекватная процентная ставка (вознаграждение)</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разработка новых и совершенствование имеющихся банковских продуктов</a:t>
          </a:r>
        </a:p>
      </dsp:txBody>
      <dsp:txXfrm>
        <a:off x="1915327" y="2758851"/>
        <a:ext cx="3143457" cy="978129"/>
      </dsp:txXfrm>
    </dsp:sp>
    <dsp:sp modelId="{A46E86C7-33CD-44FA-8731-696D681F08B9}">
      <dsp:nvSpPr>
        <dsp:cNvPr id="0" name=""/>
        <dsp:cNvSpPr/>
      </dsp:nvSpPr>
      <dsp:spPr>
        <a:xfrm>
          <a:off x="1303" y="3012618"/>
          <a:ext cx="1914024" cy="470594"/>
        </a:xfrm>
        <a:prstGeom prst="round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инструменты фондирования</a:t>
          </a:r>
        </a:p>
      </dsp:txBody>
      <dsp:txXfrm>
        <a:off x="24276" y="3035591"/>
        <a:ext cx="1868078" cy="424648"/>
      </dsp:txXfrm>
    </dsp:sp>
    <dsp:sp modelId="{3470FD23-4406-4B22-A941-132CA06ED937}">
      <dsp:nvSpPr>
        <dsp:cNvPr id="0" name=""/>
        <dsp:cNvSpPr/>
      </dsp:nvSpPr>
      <dsp:spPr>
        <a:xfrm>
          <a:off x="1903421" y="3947061"/>
          <a:ext cx="3645495" cy="775130"/>
        </a:xfrm>
        <a:prstGeom prst="rightArrow">
          <a:avLst>
            <a:gd name="adj1" fmla="val 75000"/>
            <a:gd name="adj2" fmla="val 50000"/>
          </a:avLst>
        </a:prstGeom>
        <a:solidFill>
          <a:schemeClr val="accent2">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поддержка клиентских сетей</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бесплатный консалтинг</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перекрестные продажи</a:t>
          </a:r>
        </a:p>
      </dsp:txBody>
      <dsp:txXfrm>
        <a:off x="1903421" y="4043952"/>
        <a:ext cx="3354821" cy="581348"/>
      </dsp:txXfrm>
    </dsp:sp>
    <dsp:sp modelId="{C11BF5E6-2A0A-4243-AA4C-FFBC08BAEE19}">
      <dsp:nvSpPr>
        <dsp:cNvPr id="0" name=""/>
        <dsp:cNvSpPr/>
      </dsp:nvSpPr>
      <dsp:spPr>
        <a:xfrm>
          <a:off x="235" y="4099329"/>
          <a:ext cx="1903186" cy="470594"/>
        </a:xfrm>
        <a:prstGeom prst="round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качество обслуживания </a:t>
          </a:r>
        </a:p>
      </dsp:txBody>
      <dsp:txXfrm>
        <a:off x="23208" y="4122302"/>
        <a:ext cx="1857240" cy="4246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8EA211-BD17-4407-9733-A9CF0ED677B3}">
      <dsp:nvSpPr>
        <dsp:cNvPr id="0" name=""/>
        <dsp:cNvSpPr/>
      </dsp:nvSpPr>
      <dsp:spPr>
        <a:xfrm>
          <a:off x="763183" y="0"/>
          <a:ext cx="4408378" cy="2457975"/>
        </a:xfrm>
        <a:prstGeom prst="triangl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FFA1449-7454-47CF-A29A-87584E6AE0D4}">
      <dsp:nvSpPr>
        <dsp:cNvPr id="0" name=""/>
        <dsp:cNvSpPr/>
      </dsp:nvSpPr>
      <dsp:spPr>
        <a:xfrm>
          <a:off x="2189156" y="246037"/>
          <a:ext cx="3154115" cy="349493"/>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соответствие нормативам регулирования</a:t>
          </a:r>
        </a:p>
      </dsp:txBody>
      <dsp:txXfrm>
        <a:off x="2206217" y="263098"/>
        <a:ext cx="3119993" cy="315371"/>
      </dsp:txXfrm>
    </dsp:sp>
    <dsp:sp modelId="{E18CE2D9-C271-427D-B5E6-FC4C22BA9CB3}">
      <dsp:nvSpPr>
        <dsp:cNvPr id="0" name=""/>
        <dsp:cNvSpPr/>
      </dsp:nvSpPr>
      <dsp:spPr>
        <a:xfrm>
          <a:off x="2179066" y="639217"/>
          <a:ext cx="3174294" cy="349493"/>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соответствие срочности пассивов и активов</a:t>
          </a:r>
        </a:p>
      </dsp:txBody>
      <dsp:txXfrm>
        <a:off x="2196127" y="656278"/>
        <a:ext cx="3140172" cy="315371"/>
      </dsp:txXfrm>
    </dsp:sp>
    <dsp:sp modelId="{C41F87F4-AD1F-4FC4-AA9C-E4BA4582E799}">
      <dsp:nvSpPr>
        <dsp:cNvPr id="0" name=""/>
        <dsp:cNvSpPr/>
      </dsp:nvSpPr>
      <dsp:spPr>
        <a:xfrm>
          <a:off x="2174018" y="1032397"/>
          <a:ext cx="3184391" cy="349493"/>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снижение стоимости фондирования</a:t>
          </a:r>
        </a:p>
      </dsp:txBody>
      <dsp:txXfrm>
        <a:off x="2191079" y="1049458"/>
        <a:ext cx="3150269" cy="315371"/>
      </dsp:txXfrm>
    </dsp:sp>
    <dsp:sp modelId="{00C6621C-94F3-45D7-B3B8-3D6FD3C8F9F6}">
      <dsp:nvSpPr>
        <dsp:cNvPr id="0" name=""/>
        <dsp:cNvSpPr/>
      </dsp:nvSpPr>
      <dsp:spPr>
        <a:xfrm>
          <a:off x="2157610" y="1425577"/>
          <a:ext cx="3217207" cy="349493"/>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диверсификация структуры источников и инструментов</a:t>
          </a:r>
        </a:p>
      </dsp:txBody>
      <dsp:txXfrm>
        <a:off x="2174671" y="1442638"/>
        <a:ext cx="3183085" cy="315371"/>
      </dsp:txXfrm>
    </dsp:sp>
    <dsp:sp modelId="{BDAD9BE1-0DFB-4A0C-9CE7-B030421F8687}">
      <dsp:nvSpPr>
        <dsp:cNvPr id="0" name=""/>
        <dsp:cNvSpPr/>
      </dsp:nvSpPr>
      <dsp:spPr>
        <a:xfrm>
          <a:off x="2154870" y="1818757"/>
          <a:ext cx="3222687" cy="349493"/>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непрерывность поступления ресурсов</a:t>
          </a:r>
        </a:p>
      </dsp:txBody>
      <dsp:txXfrm>
        <a:off x="2171931" y="1835818"/>
        <a:ext cx="3188565" cy="3153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3CA54D-2BCA-4004-8179-9E850A7B866F}">
      <dsp:nvSpPr>
        <dsp:cNvPr id="0" name=""/>
        <dsp:cNvSpPr/>
      </dsp:nvSpPr>
      <dsp:spPr>
        <a:xfrm>
          <a:off x="1062" y="722008"/>
          <a:ext cx="1656534" cy="13662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вклады</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эмитированные ценные бумаги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межбанковские займы и др.</a:t>
          </a:r>
        </a:p>
      </dsp:txBody>
      <dsp:txXfrm>
        <a:off x="32504" y="753450"/>
        <a:ext cx="1593650" cy="1010633"/>
      </dsp:txXfrm>
    </dsp:sp>
    <dsp:sp modelId="{70B9EACF-241D-4530-9C10-D6ACD5397113}">
      <dsp:nvSpPr>
        <dsp:cNvPr id="0" name=""/>
        <dsp:cNvSpPr/>
      </dsp:nvSpPr>
      <dsp:spPr>
        <a:xfrm rot="20522479">
          <a:off x="922972" y="1015024"/>
          <a:ext cx="1874704" cy="1874704"/>
        </a:xfrm>
        <a:prstGeom prst="leftCircularArrow">
          <a:avLst>
            <a:gd name="adj1" fmla="val 3408"/>
            <a:gd name="adj2" fmla="val 421905"/>
            <a:gd name="adj3" fmla="val 2197416"/>
            <a:gd name="adj4" fmla="val 9024489"/>
            <a:gd name="adj5" fmla="val 3976"/>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19EFEDEB-6086-4E6A-ABBA-B813A1DC5161}">
      <dsp:nvSpPr>
        <dsp:cNvPr id="0" name=""/>
        <dsp:cNvSpPr/>
      </dsp:nvSpPr>
      <dsp:spPr>
        <a:xfrm>
          <a:off x="369181" y="1795525"/>
          <a:ext cx="1472475" cy="585554"/>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i="1" kern="1200">
              <a:latin typeface="Times New Roman" panose="02020603050405020304" pitchFamily="18" charset="0"/>
              <a:cs typeface="Times New Roman" panose="02020603050405020304" pitchFamily="18" charset="0"/>
            </a:rPr>
            <a:t>привлечение ресурсов</a:t>
          </a:r>
        </a:p>
      </dsp:txBody>
      <dsp:txXfrm>
        <a:off x="386331" y="1812675"/>
        <a:ext cx="1438175" cy="551254"/>
      </dsp:txXfrm>
    </dsp:sp>
    <dsp:sp modelId="{59B544C7-F6D0-4532-B634-79874A5BAA52}">
      <dsp:nvSpPr>
        <dsp:cNvPr id="0" name=""/>
        <dsp:cNvSpPr/>
      </dsp:nvSpPr>
      <dsp:spPr>
        <a:xfrm>
          <a:off x="2145878" y="722008"/>
          <a:ext cx="1656534" cy="13662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формирование диверсифицированного фонда денежных средств с учетом их срочности</a:t>
          </a:r>
        </a:p>
      </dsp:txBody>
      <dsp:txXfrm>
        <a:off x="2177320" y="1046228"/>
        <a:ext cx="1593650" cy="1010633"/>
      </dsp:txXfrm>
    </dsp:sp>
    <dsp:sp modelId="{69D39A66-AAD6-4BAA-B8FC-C8EB9F62DFBD}">
      <dsp:nvSpPr>
        <dsp:cNvPr id="0" name=""/>
        <dsp:cNvSpPr/>
      </dsp:nvSpPr>
      <dsp:spPr>
        <a:xfrm rot="921863">
          <a:off x="3053984" y="-132988"/>
          <a:ext cx="2086372" cy="2086372"/>
        </a:xfrm>
        <a:prstGeom prst="circularArrow">
          <a:avLst>
            <a:gd name="adj1" fmla="val 3062"/>
            <a:gd name="adj2" fmla="val 376012"/>
            <a:gd name="adj3" fmla="val 19448478"/>
            <a:gd name="adj4" fmla="val 12575511"/>
            <a:gd name="adj5" fmla="val 3572"/>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C6AFE9C7-D64B-4B82-81EB-BC96ECB43F22}">
      <dsp:nvSpPr>
        <dsp:cNvPr id="0" name=""/>
        <dsp:cNvSpPr/>
      </dsp:nvSpPr>
      <dsp:spPr>
        <a:xfrm>
          <a:off x="2513997" y="429231"/>
          <a:ext cx="1472475" cy="585554"/>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i="1" kern="1200">
              <a:latin typeface="Times New Roman" panose="02020603050405020304" pitchFamily="18" charset="0"/>
              <a:cs typeface="Times New Roman" panose="02020603050405020304" pitchFamily="18" charset="0"/>
            </a:rPr>
            <a:t>аккумулирование ресурсов</a:t>
          </a:r>
        </a:p>
      </dsp:txBody>
      <dsp:txXfrm>
        <a:off x="2531147" y="446381"/>
        <a:ext cx="1438175" cy="551254"/>
      </dsp:txXfrm>
    </dsp:sp>
    <dsp:sp modelId="{4EC00188-C856-49B5-B293-58EBC0CFEC00}">
      <dsp:nvSpPr>
        <dsp:cNvPr id="0" name=""/>
        <dsp:cNvSpPr/>
      </dsp:nvSpPr>
      <dsp:spPr>
        <a:xfrm>
          <a:off x="4290695" y="722008"/>
          <a:ext cx="1656534" cy="136629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инвестиционная деятельность</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выдача кредитов</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лизинговые операции и т.п.</a:t>
          </a:r>
        </a:p>
      </dsp:txBody>
      <dsp:txXfrm>
        <a:off x="4322137" y="753450"/>
        <a:ext cx="1593650" cy="1010633"/>
      </dsp:txXfrm>
    </dsp:sp>
    <dsp:sp modelId="{7B9F6096-E30A-4FC2-84C4-3AE258F54AFD}">
      <dsp:nvSpPr>
        <dsp:cNvPr id="0" name=""/>
        <dsp:cNvSpPr/>
      </dsp:nvSpPr>
      <dsp:spPr>
        <a:xfrm>
          <a:off x="4658814" y="1795525"/>
          <a:ext cx="1472475" cy="585554"/>
        </a:xfrm>
        <a:prstGeom prst="roundRect">
          <a:avLst>
            <a:gd name="adj" fmla="val 1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i="1" kern="1200">
              <a:latin typeface="Times New Roman" panose="02020603050405020304" pitchFamily="18" charset="0"/>
              <a:cs typeface="Times New Roman" panose="02020603050405020304" pitchFamily="18" charset="0"/>
            </a:rPr>
            <a:t>финансирование активных операций</a:t>
          </a:r>
        </a:p>
      </dsp:txBody>
      <dsp:txXfrm>
        <a:off x="4675964" y="1812675"/>
        <a:ext cx="1438175" cy="5512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0070BC-720A-42D3-920C-0D7CBDD83C36}">
      <dsp:nvSpPr>
        <dsp:cNvPr id="0" name=""/>
        <dsp:cNvSpPr/>
      </dsp:nvSpPr>
      <dsp:spPr>
        <a:xfrm rot="16200000">
          <a:off x="891402" y="972946"/>
          <a:ext cx="2060233" cy="1259021"/>
        </a:xfrm>
        <a:prstGeom prst="round2SameRect">
          <a:avLst>
            <a:gd name="adj1" fmla="val 16670"/>
            <a:gd name="adj2" fmla="val 0"/>
          </a:avLst>
        </a:prstGeom>
        <a:solidFill>
          <a:schemeClr val="accent1">
            <a:tint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60960" tIns="101600" rIns="91440" bIns="101600" numCol="1" spcCol="1270" anchor="t" anchorCtr="0">
          <a:noAutofit/>
        </a:bodyPr>
        <a:lstStyle/>
        <a:p>
          <a:pPr lvl="0" algn="ctr" defTabSz="711200">
            <a:lnSpc>
              <a:spcPct val="90000"/>
            </a:lnSpc>
            <a:spcBef>
              <a:spcPct val="0"/>
            </a:spcBef>
            <a:spcAft>
              <a:spcPct val="35000"/>
            </a:spcAft>
          </a:pPr>
          <a:endParaRPr lang="ru-RU" sz="1600" kern="1200">
            <a:latin typeface="Times New Roman" panose="02020603050405020304" pitchFamily="18" charset="0"/>
            <a:cs typeface="Times New Roman" panose="02020603050405020304" pitchFamily="18" charset="0"/>
          </a:endParaRPr>
        </a:p>
        <a:p>
          <a:pPr lvl="0" algn="ctr" defTabSz="711200">
            <a:lnSpc>
              <a:spcPct val="90000"/>
            </a:lnSpc>
            <a:spcBef>
              <a:spcPct val="0"/>
            </a:spcBef>
            <a:spcAft>
              <a:spcPct val="35000"/>
            </a:spcAft>
          </a:pPr>
          <a:endParaRPr lang="ru-RU" sz="1600" kern="1200">
            <a:latin typeface="Times New Roman" panose="02020603050405020304" pitchFamily="18" charset="0"/>
            <a:cs typeface="Times New Roman" panose="02020603050405020304" pitchFamily="18" charset="0"/>
          </a:endParaRPr>
        </a:p>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фонд ресурсов</a:t>
          </a:r>
        </a:p>
      </dsp:txBody>
      <dsp:txXfrm rot="5400000">
        <a:off x="1353479" y="633812"/>
        <a:ext cx="1197550" cy="1937291"/>
      </dsp:txXfrm>
    </dsp:sp>
    <dsp:sp modelId="{C096C4E1-4624-4955-A398-6F6B1C215A27}">
      <dsp:nvSpPr>
        <dsp:cNvPr id="0" name=""/>
        <dsp:cNvSpPr/>
      </dsp:nvSpPr>
      <dsp:spPr>
        <a:xfrm rot="5400000">
          <a:off x="2207593" y="972946"/>
          <a:ext cx="2060233" cy="1259021"/>
        </a:xfrm>
        <a:prstGeom prst="round2SameRect">
          <a:avLst>
            <a:gd name="adj1" fmla="val 16670"/>
            <a:gd name="adj2" fmla="val 0"/>
          </a:avLst>
        </a:prstGeom>
        <a:solidFill>
          <a:schemeClr val="accent1">
            <a:tint val="50000"/>
            <a:hueOff val="-13089513"/>
            <a:satOff val="-703"/>
            <a:lumOff val="11364"/>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91440" tIns="101600" rIns="60960" bIns="101600" numCol="1" spcCol="1270" anchor="t" anchorCtr="0">
          <a:noAutofit/>
        </a:bodyPr>
        <a:lstStyle/>
        <a:p>
          <a:pPr lvl="0" algn="l" defTabSz="711200">
            <a:lnSpc>
              <a:spcPct val="90000"/>
            </a:lnSpc>
            <a:spcBef>
              <a:spcPct val="0"/>
            </a:spcBef>
            <a:spcAft>
              <a:spcPct val="35000"/>
            </a:spcAft>
          </a:pPr>
          <a:endParaRPr lang="ru-RU" sz="1600" kern="1200">
            <a:latin typeface="Times New Roman" panose="02020603050405020304" pitchFamily="18" charset="0"/>
            <a:cs typeface="Times New Roman" panose="02020603050405020304" pitchFamily="18" charset="0"/>
          </a:endParaRPr>
        </a:p>
        <a:p>
          <a:pPr lvl="0" algn="l" defTabSz="711200">
            <a:lnSpc>
              <a:spcPct val="90000"/>
            </a:lnSpc>
            <a:spcBef>
              <a:spcPct val="0"/>
            </a:spcBef>
            <a:spcAft>
              <a:spcPct val="35000"/>
            </a:spcAft>
          </a:pPr>
          <a:endParaRPr lang="ru-RU" sz="1600" kern="1200">
            <a:latin typeface="Times New Roman" panose="02020603050405020304" pitchFamily="18" charset="0"/>
            <a:cs typeface="Times New Roman" panose="02020603050405020304" pitchFamily="18" charset="0"/>
          </a:endParaRPr>
        </a:p>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активные операции </a:t>
          </a:r>
        </a:p>
      </dsp:txBody>
      <dsp:txXfrm rot="-5400000">
        <a:off x="2608199" y="633812"/>
        <a:ext cx="1197550" cy="1937291"/>
      </dsp:txXfrm>
    </dsp:sp>
    <dsp:sp modelId="{AEB694F1-85DA-4C36-AA22-607EC4E665E1}">
      <dsp:nvSpPr>
        <dsp:cNvPr id="0" name=""/>
        <dsp:cNvSpPr/>
      </dsp:nvSpPr>
      <dsp:spPr>
        <a:xfrm>
          <a:off x="1921390" y="0"/>
          <a:ext cx="1316190" cy="1316126"/>
        </a:xfrm>
        <a:prstGeom prst="circularArrow">
          <a:avLst>
            <a:gd name="adj1" fmla="val 12500"/>
            <a:gd name="adj2" fmla="val 1142322"/>
            <a:gd name="adj3" fmla="val 20457678"/>
            <a:gd name="adj4" fmla="val 10800000"/>
            <a:gd name="adj5" fmla="val 125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ADC286B-9CCC-473E-BA4B-430183CFA1F6}">
      <dsp:nvSpPr>
        <dsp:cNvPr id="0" name=""/>
        <dsp:cNvSpPr/>
      </dsp:nvSpPr>
      <dsp:spPr>
        <a:xfrm rot="10800000">
          <a:off x="646264" y="1888467"/>
          <a:ext cx="1316190" cy="1316126"/>
        </a:xfrm>
        <a:prstGeom prst="circularArrow">
          <a:avLst>
            <a:gd name="adj1" fmla="val 12500"/>
            <a:gd name="adj2" fmla="val 1142322"/>
            <a:gd name="adj3" fmla="val 20457678"/>
            <a:gd name="adj4" fmla="val 10800000"/>
            <a:gd name="adj5" fmla="val 125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DCAC2-B1DD-4463-9D05-3EA66792B43A}">
      <dsp:nvSpPr>
        <dsp:cNvPr id="0" name=""/>
        <dsp:cNvSpPr/>
      </dsp:nvSpPr>
      <dsp:spPr>
        <a:xfrm>
          <a:off x="2272031" y="949907"/>
          <a:ext cx="1536901" cy="1044426"/>
        </a:xfrm>
        <a:prstGeom prst="hexagon">
          <a:avLst>
            <a:gd name="adj" fmla="val 28570"/>
            <a:gd name="vf" fmla="val 11547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стоимость фондирования</a:t>
          </a:r>
        </a:p>
      </dsp:txBody>
      <dsp:txXfrm>
        <a:off x="2499570" y="1104535"/>
        <a:ext cx="1081823" cy="735170"/>
      </dsp:txXfrm>
    </dsp:sp>
    <dsp:sp modelId="{2766A179-7CF8-4B0C-9171-57AA4EFD6AD4}">
      <dsp:nvSpPr>
        <dsp:cNvPr id="0" name=""/>
        <dsp:cNvSpPr/>
      </dsp:nvSpPr>
      <dsp:spPr>
        <a:xfrm>
          <a:off x="3192843" y="450219"/>
          <a:ext cx="455538" cy="392506"/>
        </a:xfrm>
        <a:prstGeom prst="hexagon">
          <a:avLst>
            <a:gd name="adj" fmla="val 28900"/>
            <a:gd name="vf" fmla="val 115470"/>
          </a:avLst>
        </a:prstGeom>
        <a:solidFill>
          <a:schemeClr val="accent5">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6BC4BFA3-E0B9-42A8-8C72-2091979FF89D}">
      <dsp:nvSpPr>
        <dsp:cNvPr id="0" name=""/>
        <dsp:cNvSpPr/>
      </dsp:nvSpPr>
      <dsp:spPr>
        <a:xfrm>
          <a:off x="2337297" y="0"/>
          <a:ext cx="1410863" cy="855976"/>
        </a:xfrm>
        <a:prstGeom prst="hexagon">
          <a:avLst>
            <a:gd name="adj" fmla="val 28570"/>
            <a:gd name="vf" fmla="val 11547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капитализация банка</a:t>
          </a:r>
        </a:p>
      </dsp:txBody>
      <dsp:txXfrm>
        <a:off x="2536386" y="120788"/>
        <a:ext cx="1012685" cy="614400"/>
      </dsp:txXfrm>
    </dsp:sp>
    <dsp:sp modelId="{D023014D-8714-46B4-A333-7B244E37D36F}">
      <dsp:nvSpPr>
        <dsp:cNvPr id="0" name=""/>
        <dsp:cNvSpPr/>
      </dsp:nvSpPr>
      <dsp:spPr>
        <a:xfrm>
          <a:off x="3724492" y="1183997"/>
          <a:ext cx="455538" cy="392506"/>
        </a:xfrm>
        <a:prstGeom prst="hexagon">
          <a:avLst>
            <a:gd name="adj" fmla="val 28900"/>
            <a:gd name="vf" fmla="val 115470"/>
          </a:avLst>
        </a:prstGeom>
        <a:solidFill>
          <a:schemeClr val="accent5">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F03B22F0-A43D-48B9-B982-414327807D8E}">
      <dsp:nvSpPr>
        <dsp:cNvPr id="0" name=""/>
        <dsp:cNvSpPr/>
      </dsp:nvSpPr>
      <dsp:spPr>
        <a:xfrm>
          <a:off x="3502579" y="503294"/>
          <a:ext cx="1451608" cy="855976"/>
        </a:xfrm>
        <a:prstGeom prst="hexagon">
          <a:avLst>
            <a:gd name="adj" fmla="val 28570"/>
            <a:gd name="vf" fmla="val 115470"/>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политика НБРК</a:t>
          </a:r>
        </a:p>
      </dsp:txBody>
      <dsp:txXfrm>
        <a:off x="3705064" y="622694"/>
        <a:ext cx="1046638" cy="617176"/>
      </dsp:txXfrm>
    </dsp:sp>
    <dsp:sp modelId="{021A8D00-DEE6-45D6-91AA-0F53C74F972A}">
      <dsp:nvSpPr>
        <dsp:cNvPr id="0" name=""/>
        <dsp:cNvSpPr/>
      </dsp:nvSpPr>
      <dsp:spPr>
        <a:xfrm>
          <a:off x="3355174" y="2012295"/>
          <a:ext cx="455538" cy="392506"/>
        </a:xfrm>
        <a:prstGeom prst="hexagon">
          <a:avLst>
            <a:gd name="adj" fmla="val 28900"/>
            <a:gd name="vf" fmla="val 115470"/>
          </a:avLst>
        </a:prstGeom>
        <a:solidFill>
          <a:schemeClr val="accent5">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70B5740A-600A-4CA4-82B0-C85B7E4FD4CA}">
      <dsp:nvSpPr>
        <dsp:cNvPr id="0" name=""/>
        <dsp:cNvSpPr/>
      </dsp:nvSpPr>
      <dsp:spPr>
        <a:xfrm>
          <a:off x="3557058" y="1538299"/>
          <a:ext cx="1450836" cy="855976"/>
        </a:xfrm>
        <a:prstGeom prst="hexagon">
          <a:avLst>
            <a:gd name="adj" fmla="val 28570"/>
            <a:gd name="vf" fmla="val 115470"/>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рейтинг банка</a:t>
          </a:r>
        </a:p>
      </dsp:txBody>
      <dsp:txXfrm>
        <a:off x="3759478" y="1657725"/>
        <a:ext cx="1045996" cy="617124"/>
      </dsp:txXfrm>
    </dsp:sp>
    <dsp:sp modelId="{96E9DE56-F769-4104-8125-3CA787FD4131}">
      <dsp:nvSpPr>
        <dsp:cNvPr id="0" name=""/>
        <dsp:cNvSpPr/>
      </dsp:nvSpPr>
      <dsp:spPr>
        <a:xfrm>
          <a:off x="2439042" y="2098276"/>
          <a:ext cx="455538" cy="392506"/>
        </a:xfrm>
        <a:prstGeom prst="hexagon">
          <a:avLst>
            <a:gd name="adj" fmla="val 28900"/>
            <a:gd name="vf" fmla="val 115470"/>
          </a:avLst>
        </a:prstGeom>
        <a:solidFill>
          <a:schemeClr val="accent5">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E93A9BB2-B945-4FD8-BFD5-D59DE76E7825}">
      <dsp:nvSpPr>
        <dsp:cNvPr id="0" name=""/>
        <dsp:cNvSpPr/>
      </dsp:nvSpPr>
      <dsp:spPr>
        <a:xfrm>
          <a:off x="2302944" y="2088559"/>
          <a:ext cx="1479569" cy="855976"/>
        </a:xfrm>
        <a:prstGeom prst="hexagon">
          <a:avLst>
            <a:gd name="adj" fmla="val 28570"/>
            <a:gd name="vf" fmla="val 115470"/>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затраты на фондирование</a:t>
          </a:r>
        </a:p>
      </dsp:txBody>
      <dsp:txXfrm>
        <a:off x="2507759" y="2207051"/>
        <a:ext cx="1069939" cy="618992"/>
      </dsp:txXfrm>
    </dsp:sp>
    <dsp:sp modelId="{6C4DDBFC-09B7-464B-ACD6-A87880DB0088}">
      <dsp:nvSpPr>
        <dsp:cNvPr id="0" name=""/>
        <dsp:cNvSpPr/>
      </dsp:nvSpPr>
      <dsp:spPr>
        <a:xfrm>
          <a:off x="1898687" y="1364792"/>
          <a:ext cx="455538" cy="392506"/>
        </a:xfrm>
        <a:prstGeom prst="hexagon">
          <a:avLst>
            <a:gd name="adj" fmla="val 28900"/>
            <a:gd name="vf" fmla="val 115470"/>
          </a:avLst>
        </a:prstGeom>
        <a:solidFill>
          <a:schemeClr val="accent5">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6F8EAA46-F532-4C68-AEFD-1211B298103D}">
      <dsp:nvSpPr>
        <dsp:cNvPr id="0" name=""/>
        <dsp:cNvSpPr/>
      </dsp:nvSpPr>
      <dsp:spPr>
        <a:xfrm>
          <a:off x="1081850" y="1554346"/>
          <a:ext cx="1418383" cy="855976"/>
        </a:xfrm>
        <a:prstGeom prst="hexagon">
          <a:avLst>
            <a:gd name="adj" fmla="val 28570"/>
            <a:gd name="vf" fmla="val 115470"/>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банковская конкуренция</a:t>
          </a:r>
        </a:p>
      </dsp:txBody>
      <dsp:txXfrm>
        <a:off x="1281566" y="1674872"/>
        <a:ext cx="1018951" cy="614924"/>
      </dsp:txXfrm>
    </dsp:sp>
    <dsp:sp modelId="{BD99484E-1D3C-40EB-918C-56261D78F975}">
      <dsp:nvSpPr>
        <dsp:cNvPr id="0" name=""/>
        <dsp:cNvSpPr/>
      </dsp:nvSpPr>
      <dsp:spPr>
        <a:xfrm>
          <a:off x="1104647" y="494387"/>
          <a:ext cx="1450064" cy="855976"/>
        </a:xfrm>
        <a:prstGeom prst="hexagon">
          <a:avLst>
            <a:gd name="adj" fmla="val 28570"/>
            <a:gd name="vf" fmla="val 11547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доходность альтернативных инструментов</a:t>
          </a:r>
        </a:p>
      </dsp:txBody>
      <dsp:txXfrm>
        <a:off x="1307003" y="613838"/>
        <a:ext cx="1045352" cy="6170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F38D28-74DB-44C6-8D41-03E09BFA75B0}">
      <dsp:nvSpPr>
        <dsp:cNvPr id="0" name=""/>
        <dsp:cNvSpPr/>
      </dsp:nvSpPr>
      <dsp:spPr>
        <a:xfrm>
          <a:off x="1828800" y="0"/>
          <a:ext cx="1828800" cy="643156"/>
        </a:xfrm>
        <a:prstGeom prst="trapezoid">
          <a:avLst>
            <a:gd name="adj" fmla="val 142174"/>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косвенные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расходы</a:t>
          </a:r>
        </a:p>
      </dsp:txBody>
      <dsp:txXfrm>
        <a:off x="1828800" y="0"/>
        <a:ext cx="1828800" cy="643156"/>
      </dsp:txXfrm>
    </dsp:sp>
    <dsp:sp modelId="{B54D5119-E044-4292-8CB6-68A946C253D1}">
      <dsp:nvSpPr>
        <dsp:cNvPr id="0" name=""/>
        <dsp:cNvSpPr/>
      </dsp:nvSpPr>
      <dsp:spPr>
        <a:xfrm>
          <a:off x="914399" y="643155"/>
          <a:ext cx="3657600" cy="643156"/>
        </a:xfrm>
        <a:prstGeom prst="trapezoid">
          <a:avLst>
            <a:gd name="adj" fmla="val 142174"/>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премия за риск (рыночная и нерыночная)</a:t>
          </a:r>
        </a:p>
      </dsp:txBody>
      <dsp:txXfrm>
        <a:off x="1554479" y="643155"/>
        <a:ext cx="2377440" cy="643156"/>
      </dsp:txXfrm>
    </dsp:sp>
    <dsp:sp modelId="{3C4FB6AF-D58C-473A-8891-232591F13CE0}">
      <dsp:nvSpPr>
        <dsp:cNvPr id="0" name=""/>
        <dsp:cNvSpPr/>
      </dsp:nvSpPr>
      <dsp:spPr>
        <a:xfrm>
          <a:off x="0" y="1286311"/>
          <a:ext cx="5486400" cy="643156"/>
        </a:xfrm>
        <a:prstGeom prst="trapezoid">
          <a:avLst>
            <a:gd name="adj" fmla="val 142174"/>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ставка рефинансирования (безрисковая ставка)</a:t>
          </a:r>
        </a:p>
      </dsp:txBody>
      <dsp:txXfrm>
        <a:off x="960119" y="1286311"/>
        <a:ext cx="3566160" cy="64315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6E0E0-5C55-4F53-97C8-D05C7112AC7D}">
      <dsp:nvSpPr>
        <dsp:cNvPr id="0" name=""/>
        <dsp:cNvSpPr/>
      </dsp:nvSpPr>
      <dsp:spPr>
        <a:xfrm>
          <a:off x="1733971" y="-329110"/>
          <a:ext cx="2679929" cy="2679929"/>
        </a:xfrm>
        <a:prstGeom prst="circularArrow">
          <a:avLst>
            <a:gd name="adj1" fmla="val 5274"/>
            <a:gd name="adj2" fmla="val 312630"/>
            <a:gd name="adj3" fmla="val 12589371"/>
            <a:gd name="adj4" fmla="val 18170857"/>
            <a:gd name="adj5" fmla="val 5477"/>
          </a:avLst>
        </a:prstGeom>
        <a:solidFill>
          <a:schemeClr val="accent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02D48661-8AA2-4CB7-B19E-687E03BE3985}">
      <dsp:nvSpPr>
        <dsp:cNvPr id="0" name=""/>
        <dsp:cNvSpPr/>
      </dsp:nvSpPr>
      <dsp:spPr>
        <a:xfrm>
          <a:off x="2150572" y="1137"/>
          <a:ext cx="1846727" cy="499428"/>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использование всех доступных инструментов фондирования</a:t>
          </a:r>
        </a:p>
      </dsp:txBody>
      <dsp:txXfrm>
        <a:off x="2174952" y="25517"/>
        <a:ext cx="1797967" cy="450668"/>
      </dsp:txXfrm>
    </dsp:sp>
    <dsp:sp modelId="{9AB6D336-5332-4F56-8017-1FA66D8F30C2}">
      <dsp:nvSpPr>
        <dsp:cNvPr id="0" name=""/>
        <dsp:cNvSpPr/>
      </dsp:nvSpPr>
      <dsp:spPr>
        <a:xfrm>
          <a:off x="3283301" y="530720"/>
          <a:ext cx="2010719" cy="499428"/>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диверсификация источников и сроков фондирования</a:t>
          </a:r>
        </a:p>
      </dsp:txBody>
      <dsp:txXfrm>
        <a:off x="3307681" y="555100"/>
        <a:ext cx="1961959" cy="450668"/>
      </dsp:txXfrm>
    </dsp:sp>
    <dsp:sp modelId="{70AACEAF-44E0-486B-BC06-E56E390B5EB1}">
      <dsp:nvSpPr>
        <dsp:cNvPr id="0" name=""/>
        <dsp:cNvSpPr/>
      </dsp:nvSpPr>
      <dsp:spPr>
        <a:xfrm>
          <a:off x="3326638" y="1435790"/>
          <a:ext cx="1980074" cy="499428"/>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обеспечение нетто стабильного фондирования выше требуемого значения</a:t>
          </a:r>
        </a:p>
      </dsp:txBody>
      <dsp:txXfrm>
        <a:off x="3351018" y="1460170"/>
        <a:ext cx="1931314" cy="450668"/>
      </dsp:txXfrm>
    </dsp:sp>
    <dsp:sp modelId="{6DFAEDB6-CECE-415C-8631-3BF74534BF40}">
      <dsp:nvSpPr>
        <dsp:cNvPr id="0" name=""/>
        <dsp:cNvSpPr/>
      </dsp:nvSpPr>
      <dsp:spPr>
        <a:xfrm>
          <a:off x="2268382" y="2175522"/>
          <a:ext cx="1611106" cy="499428"/>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мониторинг рынка и структуры портфеля фондирования</a:t>
          </a:r>
        </a:p>
      </dsp:txBody>
      <dsp:txXfrm>
        <a:off x="2292762" y="2199902"/>
        <a:ext cx="1562346" cy="450668"/>
      </dsp:txXfrm>
    </dsp:sp>
    <dsp:sp modelId="{C821A36A-B627-414F-8490-06D55BD5F19F}">
      <dsp:nvSpPr>
        <dsp:cNvPr id="0" name=""/>
        <dsp:cNvSpPr/>
      </dsp:nvSpPr>
      <dsp:spPr>
        <a:xfrm>
          <a:off x="821549" y="1456799"/>
          <a:ext cx="2075315" cy="499428"/>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постоянный поиск новых источников и инструментов фондирования</a:t>
          </a:r>
        </a:p>
      </dsp:txBody>
      <dsp:txXfrm>
        <a:off x="845929" y="1481179"/>
        <a:ext cx="2026555" cy="450668"/>
      </dsp:txXfrm>
    </dsp:sp>
    <dsp:sp modelId="{54B037FE-C0BB-458E-9608-8AE2CBEE119D}">
      <dsp:nvSpPr>
        <dsp:cNvPr id="0" name=""/>
        <dsp:cNvSpPr/>
      </dsp:nvSpPr>
      <dsp:spPr>
        <a:xfrm>
          <a:off x="833874" y="558749"/>
          <a:ext cx="2036659" cy="499428"/>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соблюдение лимитов плотности фондирования</a:t>
          </a:r>
        </a:p>
      </dsp:txBody>
      <dsp:txXfrm>
        <a:off x="858254" y="583129"/>
        <a:ext cx="1987899" cy="4506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24CE9-FA00-4361-8AAD-0A8AA01BD2D7}">
      <dsp:nvSpPr>
        <dsp:cNvPr id="0" name=""/>
        <dsp:cNvSpPr/>
      </dsp:nvSpPr>
      <dsp:spPr>
        <a:xfrm rot="5400000">
          <a:off x="3490037" y="-1453503"/>
          <a:ext cx="481429" cy="3511296"/>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внешнее, внутреннее и самофондирование</a:t>
          </a:r>
        </a:p>
      </dsp:txBody>
      <dsp:txXfrm rot="-5400000">
        <a:off x="1975104" y="84931"/>
        <a:ext cx="3487795" cy="434427"/>
      </dsp:txXfrm>
    </dsp:sp>
    <dsp:sp modelId="{D279E3C0-C63F-4BC3-846A-5B6767C66878}">
      <dsp:nvSpPr>
        <dsp:cNvPr id="0" name=""/>
        <dsp:cNvSpPr/>
      </dsp:nvSpPr>
      <dsp:spPr>
        <a:xfrm>
          <a:off x="0" y="1251"/>
          <a:ext cx="1975104" cy="601787"/>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 зависимости от направления </a:t>
          </a:r>
        </a:p>
      </dsp:txBody>
      <dsp:txXfrm>
        <a:off x="29377" y="30628"/>
        <a:ext cx="1916350" cy="543033"/>
      </dsp:txXfrm>
    </dsp:sp>
    <dsp:sp modelId="{87E35EFB-DB48-47EA-87C7-2D8B0941DEE3}">
      <dsp:nvSpPr>
        <dsp:cNvPr id="0" name=""/>
        <dsp:cNvSpPr/>
      </dsp:nvSpPr>
      <dsp:spPr>
        <a:xfrm rot="5400000">
          <a:off x="3490037" y="-821626"/>
          <a:ext cx="481429" cy="3511296"/>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срочное (краткосрочное, среднесрочнок и долгосрочное) и до востребования</a:t>
          </a:r>
        </a:p>
      </dsp:txBody>
      <dsp:txXfrm rot="-5400000">
        <a:off x="1975104" y="716808"/>
        <a:ext cx="3487795" cy="434427"/>
      </dsp:txXfrm>
    </dsp:sp>
    <dsp:sp modelId="{E372D6A3-0B59-43B4-9764-EF46BCC97C28}">
      <dsp:nvSpPr>
        <dsp:cNvPr id="0" name=""/>
        <dsp:cNvSpPr/>
      </dsp:nvSpPr>
      <dsp:spPr>
        <a:xfrm>
          <a:off x="0" y="633127"/>
          <a:ext cx="1975104" cy="601787"/>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 зависимости от сроков</a:t>
          </a:r>
        </a:p>
      </dsp:txBody>
      <dsp:txXfrm>
        <a:off x="29377" y="662504"/>
        <a:ext cx="1916350" cy="543033"/>
      </dsp:txXfrm>
    </dsp:sp>
    <dsp:sp modelId="{EDC27C08-8AEE-402B-9A06-192172D4B9D9}">
      <dsp:nvSpPr>
        <dsp:cNvPr id="0" name=""/>
        <dsp:cNvSpPr/>
      </dsp:nvSpPr>
      <dsp:spPr>
        <a:xfrm rot="5400000">
          <a:off x="3490037" y="-189749"/>
          <a:ext cx="481429" cy="3511296"/>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розничное и оптовое</a:t>
          </a:r>
        </a:p>
      </dsp:txBody>
      <dsp:txXfrm rot="-5400000">
        <a:off x="1975104" y="1348685"/>
        <a:ext cx="3487795" cy="434427"/>
      </dsp:txXfrm>
    </dsp:sp>
    <dsp:sp modelId="{A8467259-4172-4C02-812F-BF2E33F624FB}">
      <dsp:nvSpPr>
        <dsp:cNvPr id="0" name=""/>
        <dsp:cNvSpPr/>
      </dsp:nvSpPr>
      <dsp:spPr>
        <a:xfrm>
          <a:off x="0" y="1265004"/>
          <a:ext cx="1975104" cy="601787"/>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в зависимости от природы источника</a:t>
          </a:r>
        </a:p>
      </dsp:txBody>
      <dsp:txXfrm>
        <a:off x="29377" y="1294381"/>
        <a:ext cx="1916350" cy="543033"/>
      </dsp:txXfrm>
    </dsp:sp>
    <dsp:sp modelId="{C40D29CF-5AB1-4712-9200-23654E1BE507}">
      <dsp:nvSpPr>
        <dsp:cNvPr id="0" name=""/>
        <dsp:cNvSpPr/>
      </dsp:nvSpPr>
      <dsp:spPr>
        <a:xfrm rot="5400000">
          <a:off x="3490037" y="442127"/>
          <a:ext cx="481429" cy="3511296"/>
        </a:xfrm>
        <a:prstGeom prst="round2Same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собственные, привлеченные и заемные</a:t>
          </a:r>
        </a:p>
      </dsp:txBody>
      <dsp:txXfrm rot="-5400000">
        <a:off x="1975104" y="1980562"/>
        <a:ext cx="3487795" cy="434427"/>
      </dsp:txXfrm>
    </dsp:sp>
    <dsp:sp modelId="{E19C84CA-1B11-49B4-95B2-50340B6DAEE8}">
      <dsp:nvSpPr>
        <dsp:cNvPr id="0" name=""/>
        <dsp:cNvSpPr/>
      </dsp:nvSpPr>
      <dsp:spPr>
        <a:xfrm>
          <a:off x="0" y="1896881"/>
          <a:ext cx="1975104" cy="601787"/>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 зависимости от самого источника</a:t>
          </a:r>
        </a:p>
      </dsp:txBody>
      <dsp:txXfrm>
        <a:off x="29377" y="1926258"/>
        <a:ext cx="1916350" cy="5430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C6BF8-A6D7-4A07-BBE1-36289F76750D}">
      <dsp:nvSpPr>
        <dsp:cNvPr id="0" name=""/>
        <dsp:cNvSpPr/>
      </dsp:nvSpPr>
      <dsp:spPr>
        <a:xfrm rot="5400000">
          <a:off x="2980018" y="-2107493"/>
          <a:ext cx="957454" cy="5228079"/>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Низкий уровень качества фондирования. Низкая диверсификация фондирования. Отсутствие сбалансированности портфеля фондирования. Низкий уровень использования привлеченных ресурсов. Возможно наличие запаса фондирования и (или) высокой стоимости фондирования. Возможно, стоимость размещения не покрывает стоимости фондирования.</a:t>
          </a:r>
        </a:p>
      </dsp:txBody>
      <dsp:txXfrm rot="-5400000">
        <a:off x="844706" y="74558"/>
        <a:ext cx="5181340" cy="863976"/>
      </dsp:txXfrm>
    </dsp:sp>
    <dsp:sp modelId="{5A500E77-0F3A-4C7D-A5B8-4C803B7CAD50}">
      <dsp:nvSpPr>
        <dsp:cNvPr id="0" name=""/>
        <dsp:cNvSpPr/>
      </dsp:nvSpPr>
      <dsp:spPr>
        <a:xfrm>
          <a:off x="210" y="1264"/>
          <a:ext cx="844495" cy="1010561"/>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&lt; 0,65</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Неблагоприятная зона</a:t>
          </a:r>
        </a:p>
      </dsp:txBody>
      <dsp:txXfrm>
        <a:off x="41435" y="42489"/>
        <a:ext cx="762045" cy="928111"/>
      </dsp:txXfrm>
    </dsp:sp>
    <dsp:sp modelId="{EECDE185-9850-40DA-8658-0FD0ECD69FCA}">
      <dsp:nvSpPr>
        <dsp:cNvPr id="0" name=""/>
        <dsp:cNvSpPr/>
      </dsp:nvSpPr>
      <dsp:spPr>
        <a:xfrm rot="5400000">
          <a:off x="2975361" y="-1059531"/>
          <a:ext cx="941779" cy="5254335"/>
        </a:xfrm>
        <a:prstGeom prst="round2Same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Благоприятный уровень качества фондирования. Имеется достаточный уровень срочных вкладов, доля которых превышает остальные более затратные источники. Отсутствуют запасы фондирования. В случае повышения стоимости фондирования обеспечивается больший приток привлеченных средств. При приближении к 1 качество фондирования улучшается</a:t>
          </a:r>
        </a:p>
      </dsp:txBody>
      <dsp:txXfrm rot="-5400000">
        <a:off x="819083" y="1142721"/>
        <a:ext cx="5208361" cy="849831"/>
      </dsp:txXfrm>
    </dsp:sp>
    <dsp:sp modelId="{26082626-3199-43D2-9A6F-6193D70255B7}">
      <dsp:nvSpPr>
        <dsp:cNvPr id="0" name=""/>
        <dsp:cNvSpPr/>
      </dsp:nvSpPr>
      <dsp:spPr>
        <a:xfrm>
          <a:off x="210" y="1062355"/>
          <a:ext cx="818872" cy="101056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i="1" kern="1200">
              <a:latin typeface="Times New Roman" panose="02020603050405020304" pitchFamily="18" charset="0"/>
              <a:cs typeface="Times New Roman" panose="02020603050405020304" pitchFamily="18" charset="0"/>
            </a:rPr>
            <a:t>0,66-1,0</a:t>
          </a:r>
        </a:p>
        <a:p>
          <a:pPr lvl="0" algn="ctr" defTabSz="488950">
            <a:lnSpc>
              <a:spcPct val="90000"/>
            </a:lnSpc>
            <a:spcBef>
              <a:spcPct val="0"/>
            </a:spcBef>
            <a:spcAft>
              <a:spcPct val="35000"/>
            </a:spcAft>
          </a:pPr>
          <a:r>
            <a:rPr lang="ru-RU" sz="1100" b="1" i="1" kern="1200">
              <a:latin typeface="Times New Roman" panose="02020603050405020304" pitchFamily="18" charset="0"/>
              <a:cs typeface="Times New Roman" panose="02020603050405020304" pitchFamily="18" charset="0"/>
            </a:rPr>
            <a:t>Благоприятная зона</a:t>
          </a:r>
        </a:p>
      </dsp:txBody>
      <dsp:txXfrm>
        <a:off x="40184" y="1102329"/>
        <a:ext cx="738924" cy="930613"/>
      </dsp:txXfrm>
    </dsp:sp>
    <dsp:sp modelId="{5618AAA8-FC3B-4C17-8633-1F13E4027C71}">
      <dsp:nvSpPr>
        <dsp:cNvPr id="0" name=""/>
        <dsp:cNvSpPr/>
      </dsp:nvSpPr>
      <dsp:spPr>
        <a:xfrm rot="5400000">
          <a:off x="2831027" y="78404"/>
          <a:ext cx="1197329" cy="5287411"/>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Высокий уровень рисков фондирования. Высокая доля вкладов до востребования. Высокая доля привлечения средств через межбанковское кредитование, выпуск долговых обязательств по высокой стоимости фондирования. Возможно стоимость активов, приносящих доход, значительно превышает стоимость фондирования, что может говорить о высоких рисках активов и рисках потери доходов, из которых выплачиваются вознаграждения по инструментам фондирования.</a:t>
          </a:r>
        </a:p>
      </dsp:txBody>
      <dsp:txXfrm rot="-5400000">
        <a:off x="785987" y="2181894"/>
        <a:ext cx="5228962" cy="1080431"/>
      </dsp:txXfrm>
    </dsp:sp>
    <dsp:sp modelId="{591C320B-5220-467C-BBA9-799874ADE46F}">
      <dsp:nvSpPr>
        <dsp:cNvPr id="0" name=""/>
        <dsp:cNvSpPr/>
      </dsp:nvSpPr>
      <dsp:spPr>
        <a:xfrm>
          <a:off x="210" y="2216829"/>
          <a:ext cx="785775" cy="1010561"/>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&gt;1,0</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Неблагоприятная зона</a:t>
          </a:r>
        </a:p>
      </dsp:txBody>
      <dsp:txXfrm>
        <a:off x="38568" y="2255187"/>
        <a:ext cx="709059" cy="93384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Радиальный шестиугольник"/>
  <dgm:desc val="Служит для отображения последовательного процесса, связанного с центральной идеей или темой. Ограничен шестью фигурами уровня 2. Рекомендуется использовать небольшие объемы текста. Неиспользуемый текст не отображается, но доступен при переключении макетов."/>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0E095-912E-4E91-A668-8C2D7802F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48434</Words>
  <Characters>276079</Characters>
  <Application>Microsoft Office Word</Application>
  <DocSecurity>0</DocSecurity>
  <Lines>2300</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dc:creator>
  <cp:lastModifiedBy>admin</cp:lastModifiedBy>
  <cp:revision>3</cp:revision>
  <cp:lastPrinted>2021-09-30T16:21:00Z</cp:lastPrinted>
  <dcterms:created xsi:type="dcterms:W3CDTF">2021-10-15T10:32:00Z</dcterms:created>
  <dcterms:modified xsi:type="dcterms:W3CDTF">2021-10-15T10:32:00Z</dcterms:modified>
</cp:coreProperties>
</file>