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26B1" w:rsidRPr="005D26B1" w:rsidRDefault="005D26B1" w:rsidP="005D26B1">
      <w:pPr>
        <w:jc w:val="center"/>
        <w:rPr>
          <w:rFonts w:cs="Times New Roman"/>
          <w:sz w:val="28"/>
          <w:szCs w:val="28"/>
        </w:rPr>
      </w:pPr>
      <w:bookmarkStart w:id="0" w:name="_GoBack"/>
      <w:r w:rsidRPr="005D26B1">
        <w:rPr>
          <w:rFonts w:cs="Times New Roman"/>
          <w:sz w:val="28"/>
          <w:szCs w:val="28"/>
        </w:rPr>
        <w:t>Костанайский региональный университет имени Ахмет Байтұрсынұлы</w:t>
      </w:r>
    </w:p>
    <w:p w:rsidR="005D26B1" w:rsidRPr="005D26B1" w:rsidRDefault="005D26B1" w:rsidP="005D26B1">
      <w:pPr>
        <w:jc w:val="center"/>
        <w:rPr>
          <w:rFonts w:cs="Times New Roman"/>
          <w:sz w:val="28"/>
          <w:szCs w:val="28"/>
        </w:rPr>
      </w:pPr>
    </w:p>
    <w:p w:rsidR="005D26B1" w:rsidRPr="005D26B1" w:rsidRDefault="005D26B1" w:rsidP="005D26B1">
      <w:pPr>
        <w:jc w:val="center"/>
        <w:rPr>
          <w:rFonts w:cs="Times New Roman"/>
          <w:sz w:val="28"/>
          <w:szCs w:val="28"/>
        </w:rPr>
      </w:pPr>
    </w:p>
    <w:p w:rsidR="005D26B1" w:rsidRPr="005D26B1" w:rsidRDefault="005D26B1" w:rsidP="00990DEE">
      <w:pPr>
        <w:jc w:val="left"/>
        <w:rPr>
          <w:rFonts w:cs="Times New Roman"/>
          <w:sz w:val="28"/>
          <w:szCs w:val="28"/>
        </w:rPr>
      </w:pPr>
      <w:r w:rsidRPr="005D26B1">
        <w:rPr>
          <w:rFonts w:cs="Times New Roman"/>
          <w:sz w:val="28"/>
          <w:szCs w:val="28"/>
        </w:rPr>
        <w:t xml:space="preserve">УДК 619:616.993.192.6:576.89 </w:t>
      </w:r>
      <w:r w:rsidR="00990DEE">
        <w:rPr>
          <w:rFonts w:cs="Times New Roman"/>
          <w:sz w:val="28"/>
          <w:szCs w:val="28"/>
        </w:rPr>
        <w:t xml:space="preserve">               </w:t>
      </w:r>
      <w:r w:rsidR="00AA57F6">
        <w:rPr>
          <w:rFonts w:cs="Times New Roman"/>
          <w:sz w:val="28"/>
          <w:szCs w:val="28"/>
        </w:rPr>
        <w:t xml:space="preserve">                            </w:t>
      </w:r>
      <w:r w:rsidR="00990DEE">
        <w:rPr>
          <w:rFonts w:cs="Times New Roman"/>
          <w:sz w:val="28"/>
          <w:szCs w:val="28"/>
        </w:rPr>
        <w:t xml:space="preserve">   </w:t>
      </w:r>
      <w:r w:rsidRPr="005D26B1">
        <w:rPr>
          <w:rFonts w:cs="Times New Roman"/>
          <w:sz w:val="28"/>
          <w:szCs w:val="28"/>
        </w:rPr>
        <w:t>На правах рукописи</w:t>
      </w:r>
    </w:p>
    <w:p w:rsidR="005D26B1" w:rsidRPr="005D26B1" w:rsidRDefault="005D26B1" w:rsidP="005D26B1">
      <w:pPr>
        <w:jc w:val="center"/>
        <w:rPr>
          <w:rFonts w:cs="Times New Roman"/>
          <w:sz w:val="28"/>
          <w:szCs w:val="28"/>
        </w:rPr>
      </w:pPr>
    </w:p>
    <w:p w:rsidR="005D26B1" w:rsidRPr="005D26B1" w:rsidRDefault="005D26B1" w:rsidP="005D26B1">
      <w:pPr>
        <w:jc w:val="center"/>
        <w:rPr>
          <w:rFonts w:cs="Times New Roman"/>
          <w:sz w:val="28"/>
          <w:szCs w:val="28"/>
        </w:rPr>
      </w:pPr>
    </w:p>
    <w:p w:rsidR="0081703F" w:rsidRDefault="0081703F" w:rsidP="005D26B1">
      <w:pPr>
        <w:jc w:val="center"/>
        <w:rPr>
          <w:rFonts w:cs="Times New Roman"/>
          <w:sz w:val="28"/>
          <w:szCs w:val="28"/>
        </w:rPr>
      </w:pPr>
    </w:p>
    <w:p w:rsidR="00AA57F6" w:rsidRPr="00541107" w:rsidRDefault="00AA57F6" w:rsidP="00AA57F6">
      <w:pPr>
        <w:rPr>
          <w:rFonts w:cs="Times New Roman"/>
          <w:sz w:val="28"/>
          <w:szCs w:val="28"/>
        </w:rPr>
      </w:pPr>
    </w:p>
    <w:p w:rsidR="0081703F" w:rsidRPr="00541107" w:rsidRDefault="0081703F" w:rsidP="005D26B1">
      <w:pPr>
        <w:jc w:val="center"/>
        <w:rPr>
          <w:rFonts w:cs="Times New Roman"/>
          <w:sz w:val="28"/>
          <w:szCs w:val="28"/>
        </w:rPr>
      </w:pPr>
    </w:p>
    <w:p w:rsidR="0081703F" w:rsidRPr="00856E47" w:rsidRDefault="0081703F" w:rsidP="005D26B1">
      <w:pPr>
        <w:jc w:val="center"/>
        <w:rPr>
          <w:rFonts w:cs="Times New Roman"/>
          <w:b/>
          <w:sz w:val="28"/>
          <w:szCs w:val="28"/>
        </w:rPr>
      </w:pPr>
      <w:r w:rsidRPr="00856E47">
        <w:rPr>
          <w:rFonts w:cs="Times New Roman"/>
          <w:b/>
          <w:sz w:val="28"/>
          <w:szCs w:val="28"/>
        </w:rPr>
        <w:t>БАЙМЕНОВ БАХИТ МУРАТОВИЧ</w:t>
      </w:r>
    </w:p>
    <w:p w:rsidR="0081703F" w:rsidRPr="00856E47" w:rsidRDefault="0081703F" w:rsidP="005D26B1">
      <w:pPr>
        <w:jc w:val="center"/>
        <w:rPr>
          <w:rFonts w:cs="Times New Roman"/>
          <w:b/>
          <w:sz w:val="28"/>
          <w:szCs w:val="28"/>
        </w:rPr>
      </w:pPr>
    </w:p>
    <w:p w:rsidR="0081703F" w:rsidRPr="00856E47" w:rsidRDefault="0081703F" w:rsidP="005D26B1">
      <w:pPr>
        <w:jc w:val="center"/>
        <w:rPr>
          <w:rFonts w:cs="Times New Roman"/>
          <w:b/>
          <w:sz w:val="28"/>
          <w:szCs w:val="28"/>
        </w:rPr>
      </w:pPr>
    </w:p>
    <w:p w:rsidR="001667AB" w:rsidRPr="00856E47" w:rsidRDefault="0081703F" w:rsidP="005D26B1">
      <w:pPr>
        <w:jc w:val="center"/>
        <w:rPr>
          <w:rFonts w:cs="Times New Roman"/>
          <w:b/>
          <w:sz w:val="28"/>
          <w:szCs w:val="28"/>
        </w:rPr>
      </w:pPr>
      <w:r w:rsidRPr="00856E47">
        <w:rPr>
          <w:rFonts w:cs="Times New Roman"/>
          <w:b/>
          <w:sz w:val="28"/>
          <w:szCs w:val="28"/>
        </w:rPr>
        <w:t xml:space="preserve">«Идентификация </w:t>
      </w:r>
      <w:r w:rsidR="00AE0408" w:rsidRPr="00856E47">
        <w:rPr>
          <w:rFonts w:cs="Times New Roman"/>
          <w:b/>
          <w:i/>
          <w:sz w:val="28"/>
          <w:szCs w:val="28"/>
        </w:rPr>
        <w:t>Staphylococcus</w:t>
      </w:r>
      <w:r w:rsidRPr="00856E47">
        <w:rPr>
          <w:rFonts w:cs="Times New Roman"/>
          <w:b/>
          <w:sz w:val="28"/>
          <w:szCs w:val="28"/>
        </w:rPr>
        <w:t xml:space="preserve"> </w:t>
      </w:r>
      <w:r w:rsidR="00AE0408" w:rsidRPr="00856E47">
        <w:rPr>
          <w:rFonts w:cs="Times New Roman"/>
          <w:b/>
          <w:i/>
          <w:sz w:val="28"/>
          <w:szCs w:val="28"/>
        </w:rPr>
        <w:t>aureus</w:t>
      </w:r>
      <w:r w:rsidRPr="00856E47">
        <w:rPr>
          <w:rFonts w:cs="Times New Roman"/>
          <w:b/>
          <w:sz w:val="28"/>
          <w:szCs w:val="28"/>
        </w:rPr>
        <w:t xml:space="preserve"> и генетических маркеров устойчивости к антибактериальным препаратам в пищевых продуктах методом мультиплексной полимеразной цепной реакции (ПЦР)»</w:t>
      </w:r>
    </w:p>
    <w:p w:rsidR="0081703F" w:rsidRDefault="0081703F" w:rsidP="005D26B1">
      <w:pPr>
        <w:jc w:val="center"/>
        <w:rPr>
          <w:rFonts w:cs="Times New Roman"/>
          <w:sz w:val="28"/>
          <w:szCs w:val="28"/>
        </w:rPr>
      </w:pPr>
    </w:p>
    <w:p w:rsidR="00856E47" w:rsidRDefault="00856E47" w:rsidP="005D26B1">
      <w:pPr>
        <w:jc w:val="center"/>
        <w:rPr>
          <w:rFonts w:cs="Times New Roman"/>
          <w:sz w:val="28"/>
          <w:szCs w:val="28"/>
        </w:rPr>
      </w:pPr>
    </w:p>
    <w:p w:rsidR="005D26B1" w:rsidRPr="005D26B1" w:rsidRDefault="005D26B1" w:rsidP="005D26B1">
      <w:pPr>
        <w:jc w:val="center"/>
        <w:rPr>
          <w:rFonts w:cs="Times New Roman"/>
          <w:sz w:val="28"/>
          <w:szCs w:val="28"/>
        </w:rPr>
      </w:pPr>
      <w:r w:rsidRPr="005D26B1">
        <w:rPr>
          <w:rFonts w:cs="Times New Roman"/>
          <w:sz w:val="28"/>
          <w:szCs w:val="28"/>
        </w:rPr>
        <w:t>8D09102 – Ветеринарная санитария</w:t>
      </w:r>
    </w:p>
    <w:p w:rsidR="005D26B1" w:rsidRPr="005D26B1" w:rsidRDefault="005D26B1" w:rsidP="005D26B1">
      <w:pPr>
        <w:jc w:val="center"/>
        <w:rPr>
          <w:rFonts w:cs="Times New Roman"/>
          <w:sz w:val="28"/>
          <w:szCs w:val="28"/>
        </w:rPr>
      </w:pPr>
    </w:p>
    <w:p w:rsidR="005D26B1" w:rsidRPr="005D26B1" w:rsidRDefault="005D26B1" w:rsidP="005D26B1">
      <w:pPr>
        <w:jc w:val="center"/>
        <w:rPr>
          <w:rFonts w:cs="Times New Roman"/>
          <w:sz w:val="28"/>
          <w:szCs w:val="28"/>
        </w:rPr>
      </w:pPr>
    </w:p>
    <w:p w:rsidR="005D26B1" w:rsidRPr="005D26B1" w:rsidRDefault="005D26B1" w:rsidP="005D26B1">
      <w:pPr>
        <w:jc w:val="center"/>
        <w:rPr>
          <w:rFonts w:cs="Times New Roman"/>
          <w:sz w:val="28"/>
          <w:szCs w:val="28"/>
        </w:rPr>
      </w:pPr>
      <w:r w:rsidRPr="005D26B1">
        <w:rPr>
          <w:rFonts w:cs="Times New Roman"/>
          <w:sz w:val="28"/>
          <w:szCs w:val="28"/>
        </w:rPr>
        <w:t>Диссертация на соискание степени</w:t>
      </w:r>
    </w:p>
    <w:p w:rsidR="005D26B1" w:rsidRPr="005D26B1" w:rsidRDefault="005D26B1" w:rsidP="005D26B1">
      <w:pPr>
        <w:jc w:val="center"/>
        <w:rPr>
          <w:rFonts w:cs="Times New Roman"/>
          <w:sz w:val="28"/>
          <w:szCs w:val="28"/>
        </w:rPr>
      </w:pPr>
      <w:r w:rsidRPr="005D26B1">
        <w:rPr>
          <w:rFonts w:cs="Times New Roman"/>
          <w:sz w:val="28"/>
          <w:szCs w:val="28"/>
        </w:rPr>
        <w:t>доктора философии (PhD)</w:t>
      </w:r>
    </w:p>
    <w:p w:rsidR="005D26B1" w:rsidRPr="005D26B1" w:rsidRDefault="005D26B1" w:rsidP="005D26B1">
      <w:pPr>
        <w:rPr>
          <w:rFonts w:cs="Times New Roman"/>
          <w:sz w:val="28"/>
          <w:szCs w:val="28"/>
        </w:rPr>
      </w:pPr>
    </w:p>
    <w:p w:rsidR="005D26B1" w:rsidRPr="005D26B1" w:rsidRDefault="005D26B1" w:rsidP="005D26B1">
      <w:pPr>
        <w:rPr>
          <w:rFonts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7"/>
        <w:gridCol w:w="1491"/>
        <w:gridCol w:w="4950"/>
      </w:tblGrid>
      <w:tr w:rsidR="005D26B1" w:rsidRPr="005D26B1" w:rsidTr="00473FBA">
        <w:tc>
          <w:tcPr>
            <w:tcW w:w="3187" w:type="dxa"/>
          </w:tcPr>
          <w:p w:rsidR="005D26B1" w:rsidRPr="005D26B1" w:rsidRDefault="005D26B1" w:rsidP="005D26B1">
            <w:pPr>
              <w:rPr>
                <w:sz w:val="28"/>
              </w:rPr>
            </w:pPr>
          </w:p>
        </w:tc>
        <w:tc>
          <w:tcPr>
            <w:tcW w:w="1491" w:type="dxa"/>
          </w:tcPr>
          <w:p w:rsidR="005D26B1" w:rsidRPr="005D26B1" w:rsidRDefault="005D26B1" w:rsidP="005D26B1">
            <w:pPr>
              <w:rPr>
                <w:sz w:val="28"/>
              </w:rPr>
            </w:pPr>
          </w:p>
        </w:tc>
        <w:tc>
          <w:tcPr>
            <w:tcW w:w="4950" w:type="dxa"/>
          </w:tcPr>
          <w:p w:rsidR="005D26B1" w:rsidRPr="005D26B1" w:rsidRDefault="005D26B1" w:rsidP="005D26B1">
            <w:pPr>
              <w:rPr>
                <w:sz w:val="28"/>
              </w:rPr>
            </w:pPr>
            <w:r w:rsidRPr="005D26B1">
              <w:rPr>
                <w:sz w:val="28"/>
              </w:rPr>
              <w:t>Научные консультанты</w:t>
            </w:r>
            <w:r w:rsidR="00473FBA">
              <w:rPr>
                <w:sz w:val="28"/>
              </w:rPr>
              <w:t>:</w:t>
            </w:r>
          </w:p>
        </w:tc>
      </w:tr>
      <w:tr w:rsidR="005D26B1" w:rsidRPr="005D26B1" w:rsidTr="00473FBA">
        <w:tc>
          <w:tcPr>
            <w:tcW w:w="3187" w:type="dxa"/>
          </w:tcPr>
          <w:p w:rsidR="005D26B1" w:rsidRPr="005D26B1" w:rsidRDefault="005D26B1" w:rsidP="005D26B1">
            <w:pPr>
              <w:rPr>
                <w:sz w:val="28"/>
              </w:rPr>
            </w:pPr>
          </w:p>
        </w:tc>
        <w:tc>
          <w:tcPr>
            <w:tcW w:w="1491" w:type="dxa"/>
          </w:tcPr>
          <w:p w:rsidR="005D26B1" w:rsidRPr="005D26B1" w:rsidRDefault="005D26B1" w:rsidP="005D26B1">
            <w:pPr>
              <w:rPr>
                <w:sz w:val="28"/>
              </w:rPr>
            </w:pPr>
          </w:p>
        </w:tc>
        <w:tc>
          <w:tcPr>
            <w:tcW w:w="4950" w:type="dxa"/>
          </w:tcPr>
          <w:p w:rsidR="005D26B1" w:rsidRPr="005D26B1" w:rsidRDefault="005D26B1" w:rsidP="005D26B1">
            <w:pPr>
              <w:rPr>
                <w:sz w:val="28"/>
              </w:rPr>
            </w:pPr>
            <w:r w:rsidRPr="005D26B1">
              <w:rPr>
                <w:sz w:val="28"/>
              </w:rPr>
              <w:t>кандидат ветеринарных наук, асс. профессор Чужебаева Г.Д.</w:t>
            </w:r>
          </w:p>
          <w:p w:rsidR="005D26B1" w:rsidRPr="005D26B1" w:rsidRDefault="005D26B1" w:rsidP="005D26B1">
            <w:pPr>
              <w:rPr>
                <w:sz w:val="28"/>
              </w:rPr>
            </w:pPr>
          </w:p>
        </w:tc>
      </w:tr>
      <w:tr w:rsidR="005D26B1" w:rsidRPr="005D26B1" w:rsidTr="00473FBA">
        <w:tc>
          <w:tcPr>
            <w:tcW w:w="3187" w:type="dxa"/>
          </w:tcPr>
          <w:p w:rsidR="005D26B1" w:rsidRPr="005D26B1" w:rsidRDefault="005D26B1" w:rsidP="005D26B1">
            <w:pPr>
              <w:rPr>
                <w:sz w:val="28"/>
              </w:rPr>
            </w:pPr>
          </w:p>
        </w:tc>
        <w:tc>
          <w:tcPr>
            <w:tcW w:w="1491" w:type="dxa"/>
          </w:tcPr>
          <w:p w:rsidR="005D26B1" w:rsidRPr="005D26B1" w:rsidRDefault="005D26B1" w:rsidP="005D26B1">
            <w:pPr>
              <w:rPr>
                <w:sz w:val="28"/>
              </w:rPr>
            </w:pPr>
          </w:p>
        </w:tc>
        <w:tc>
          <w:tcPr>
            <w:tcW w:w="4950" w:type="dxa"/>
          </w:tcPr>
          <w:p w:rsidR="005D26B1" w:rsidRPr="005D26B1" w:rsidRDefault="00473FBA" w:rsidP="005D26B1">
            <w:pPr>
              <w:rPr>
                <w:sz w:val="28"/>
              </w:rPr>
            </w:pPr>
            <w:r>
              <w:rPr>
                <w:sz w:val="28"/>
              </w:rPr>
              <w:t xml:space="preserve">кандидат биологических наук, директор департамента перспективных исследований и разработок Передовой инженерной школы </w:t>
            </w:r>
            <w:r w:rsidR="005D26B1" w:rsidRPr="005D26B1">
              <w:rPr>
                <w:sz w:val="28"/>
              </w:rPr>
              <w:t>ФГБОУ ВО «Ульяновский государственный университет» (г. Ульяновск, РФ) Викторов Д.А.</w:t>
            </w:r>
          </w:p>
        </w:tc>
      </w:tr>
    </w:tbl>
    <w:p w:rsidR="005D26B1" w:rsidRDefault="005D26B1" w:rsidP="00541107">
      <w:pPr>
        <w:rPr>
          <w:rFonts w:cs="Times New Roman"/>
          <w:sz w:val="28"/>
          <w:szCs w:val="28"/>
        </w:rPr>
      </w:pPr>
    </w:p>
    <w:p w:rsidR="00856E47" w:rsidRDefault="00856E47" w:rsidP="00541107">
      <w:pPr>
        <w:rPr>
          <w:rFonts w:cs="Times New Roman"/>
          <w:sz w:val="28"/>
          <w:szCs w:val="28"/>
        </w:rPr>
      </w:pPr>
    </w:p>
    <w:p w:rsidR="00856E47" w:rsidRDefault="00856E47" w:rsidP="00541107">
      <w:pPr>
        <w:rPr>
          <w:rFonts w:cs="Times New Roman"/>
          <w:sz w:val="28"/>
          <w:szCs w:val="28"/>
        </w:rPr>
      </w:pPr>
    </w:p>
    <w:p w:rsidR="00856E47" w:rsidRDefault="00856E47" w:rsidP="00541107">
      <w:pPr>
        <w:rPr>
          <w:rFonts w:cs="Times New Roman"/>
          <w:sz w:val="28"/>
          <w:szCs w:val="28"/>
        </w:rPr>
      </w:pPr>
    </w:p>
    <w:p w:rsidR="005D26B1" w:rsidRPr="005D26B1" w:rsidRDefault="005D26B1" w:rsidP="005D26B1">
      <w:pPr>
        <w:jc w:val="center"/>
        <w:rPr>
          <w:rFonts w:cs="Times New Roman"/>
          <w:sz w:val="28"/>
          <w:szCs w:val="28"/>
        </w:rPr>
      </w:pPr>
      <w:r w:rsidRPr="005D26B1">
        <w:rPr>
          <w:rFonts w:cs="Times New Roman"/>
          <w:sz w:val="28"/>
          <w:szCs w:val="28"/>
        </w:rPr>
        <w:t>Республика Казахстан</w:t>
      </w:r>
    </w:p>
    <w:p w:rsidR="005D26B1" w:rsidRPr="00541107" w:rsidRDefault="005D26B1" w:rsidP="005D26B1">
      <w:pPr>
        <w:jc w:val="center"/>
        <w:rPr>
          <w:rFonts w:cs="Times New Roman"/>
          <w:sz w:val="28"/>
          <w:szCs w:val="28"/>
        </w:rPr>
      </w:pPr>
      <w:r w:rsidRPr="005D26B1">
        <w:rPr>
          <w:rFonts w:cs="Times New Roman"/>
          <w:sz w:val="28"/>
          <w:szCs w:val="28"/>
        </w:rPr>
        <w:t>Костанай, 2025</w:t>
      </w:r>
    </w:p>
    <w:p w:rsidR="00D97B9E" w:rsidRPr="00E4789D" w:rsidRDefault="00D97B9E" w:rsidP="00911578">
      <w:pPr>
        <w:jc w:val="center"/>
        <w:rPr>
          <w:rFonts w:cs="Times New Roman"/>
          <w:b/>
          <w:sz w:val="28"/>
          <w:szCs w:val="28"/>
        </w:rPr>
      </w:pPr>
      <w:r w:rsidRPr="00E4789D">
        <w:rPr>
          <w:rFonts w:cs="Times New Roman"/>
          <w:b/>
          <w:sz w:val="28"/>
          <w:szCs w:val="28"/>
        </w:rPr>
        <w:lastRenderedPageBreak/>
        <w:t>СОДЕРЖАНИЕ</w:t>
      </w:r>
    </w:p>
    <w:p w:rsidR="00D97B9E" w:rsidRPr="00541107" w:rsidRDefault="00D97B9E" w:rsidP="00541107">
      <w:pPr>
        <w:rPr>
          <w:rFonts w:cs="Times New Roman"/>
          <w:sz w:val="28"/>
          <w:szCs w:val="28"/>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3"/>
        <w:gridCol w:w="641"/>
      </w:tblGrid>
      <w:tr w:rsidR="00057D24" w:rsidTr="007E1CC3">
        <w:tc>
          <w:tcPr>
            <w:tcW w:w="4675" w:type="pct"/>
            <w:hideMark/>
          </w:tcPr>
          <w:p w:rsidR="00057D24" w:rsidRDefault="00057D24" w:rsidP="007E1CC3">
            <w:pPr>
              <w:pStyle w:val="a4"/>
              <w:rPr>
                <w:rFonts w:cs="Times New Roman"/>
                <w:sz w:val="28"/>
                <w:szCs w:val="28"/>
              </w:rPr>
            </w:pPr>
            <w:r>
              <w:rPr>
                <w:rFonts w:cs="Times New Roman"/>
                <w:b/>
                <w:sz w:val="28"/>
                <w:szCs w:val="28"/>
              </w:rPr>
              <w:t>НОРМАТИВНЫЕ ССЫЛКИ</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4</w:t>
            </w:r>
          </w:p>
        </w:tc>
      </w:tr>
      <w:tr w:rsidR="00057D24" w:rsidTr="007E1CC3">
        <w:tc>
          <w:tcPr>
            <w:tcW w:w="4675" w:type="pct"/>
            <w:hideMark/>
          </w:tcPr>
          <w:p w:rsidR="00057D24" w:rsidRDefault="00057D24" w:rsidP="007E1CC3">
            <w:pPr>
              <w:pStyle w:val="a4"/>
              <w:rPr>
                <w:rFonts w:cs="Times New Roman"/>
                <w:sz w:val="28"/>
                <w:szCs w:val="28"/>
              </w:rPr>
            </w:pPr>
            <w:r>
              <w:rPr>
                <w:rFonts w:cs="Times New Roman"/>
                <w:b/>
                <w:sz w:val="28"/>
                <w:szCs w:val="28"/>
              </w:rPr>
              <w:t xml:space="preserve">ТЕРМИНЫ И ОПРЕДЕЛЕНИЯ </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5</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ПЕРЕЧЕНЬ СОКРАЩЕНИЙ И ОБОЗНАЧЕНИЙ </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7</w:t>
            </w:r>
          </w:p>
        </w:tc>
      </w:tr>
      <w:tr w:rsidR="00057D24" w:rsidTr="007E1CC3">
        <w:tc>
          <w:tcPr>
            <w:tcW w:w="4675" w:type="pct"/>
            <w:hideMark/>
          </w:tcPr>
          <w:p w:rsidR="00057D24" w:rsidRDefault="00057D24" w:rsidP="007E1CC3">
            <w:pPr>
              <w:pStyle w:val="a4"/>
              <w:rPr>
                <w:rFonts w:cs="Times New Roman"/>
                <w:sz w:val="28"/>
                <w:szCs w:val="28"/>
              </w:rPr>
            </w:pPr>
            <w:r>
              <w:rPr>
                <w:rFonts w:cs="Times New Roman"/>
                <w:b/>
                <w:sz w:val="28"/>
                <w:szCs w:val="28"/>
              </w:rPr>
              <w:t>ВВЕДЕНИЕ</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11</w:t>
            </w:r>
          </w:p>
        </w:tc>
      </w:tr>
      <w:tr w:rsidR="00057D24" w:rsidTr="007E1CC3">
        <w:tc>
          <w:tcPr>
            <w:tcW w:w="4675" w:type="pct"/>
            <w:hideMark/>
          </w:tcPr>
          <w:p w:rsidR="00057D24" w:rsidRDefault="00057D24" w:rsidP="007E1CC3">
            <w:pPr>
              <w:pStyle w:val="a4"/>
              <w:rPr>
                <w:rFonts w:cs="Times New Roman"/>
                <w:sz w:val="28"/>
                <w:szCs w:val="28"/>
              </w:rPr>
            </w:pPr>
            <w:r>
              <w:rPr>
                <w:rFonts w:cs="Times New Roman"/>
                <w:b/>
                <w:sz w:val="28"/>
                <w:szCs w:val="28"/>
              </w:rPr>
              <w:t>1 ОБЗОР ЛИТЕРАТУРЫ</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16</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t xml:space="preserve">1.1 Таксономия, биологические свойства и патогенность </w:t>
            </w:r>
            <w:r>
              <w:rPr>
                <w:rFonts w:cs="Times New Roman"/>
                <w:i/>
                <w:sz w:val="28"/>
                <w:szCs w:val="28"/>
              </w:rPr>
              <w:t>S. aureus</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16</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t xml:space="preserve">1.2 Санитарное значение </w:t>
            </w:r>
            <w:r>
              <w:rPr>
                <w:rFonts w:cs="Times New Roman"/>
                <w:i/>
                <w:sz w:val="28"/>
                <w:szCs w:val="28"/>
              </w:rPr>
              <w:t>S. aureus</w:t>
            </w:r>
            <w:r>
              <w:rPr>
                <w:rFonts w:cs="Times New Roman"/>
                <w:sz w:val="28"/>
                <w:szCs w:val="28"/>
              </w:rPr>
              <w:t xml:space="preserve"> в пищевой продукции животного происхождения, роль в патологии животных………………………………</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20</w:t>
            </w:r>
          </w:p>
        </w:tc>
      </w:tr>
      <w:tr w:rsidR="00057D24" w:rsidTr="007E1CC3">
        <w:tc>
          <w:tcPr>
            <w:tcW w:w="4675" w:type="pct"/>
            <w:vAlign w:val="bottom"/>
            <w:hideMark/>
          </w:tcPr>
          <w:p w:rsidR="00057D24" w:rsidRDefault="00057D24" w:rsidP="007E1CC3">
            <w:pPr>
              <w:pStyle w:val="a4"/>
              <w:jc w:val="left"/>
              <w:rPr>
                <w:rFonts w:cs="Times New Roman"/>
                <w:sz w:val="28"/>
                <w:szCs w:val="28"/>
              </w:rPr>
            </w:pPr>
            <w:r>
              <w:rPr>
                <w:rFonts w:cs="Times New Roman"/>
                <w:sz w:val="28"/>
                <w:szCs w:val="28"/>
              </w:rPr>
              <w:t xml:space="preserve">1.3 Методы идентификации и типирования </w:t>
            </w:r>
            <w:r>
              <w:rPr>
                <w:rFonts w:cs="Times New Roman"/>
                <w:i/>
                <w:sz w:val="28"/>
                <w:szCs w:val="28"/>
              </w:rPr>
              <w:t>S. aureus</w:t>
            </w:r>
            <w:r>
              <w:rPr>
                <w:rFonts w:cs="Times New Roman"/>
                <w:sz w:val="28"/>
                <w:szCs w:val="28"/>
              </w:rPr>
              <w:t xml:space="preserve"> на основе ПЦР……</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24</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t xml:space="preserve">1.4 Молекулярные основы резистентности к антибиотикам </w:t>
            </w:r>
            <w:r>
              <w:rPr>
                <w:rFonts w:cs="Times New Roman"/>
                <w:i/>
                <w:sz w:val="28"/>
                <w:szCs w:val="28"/>
              </w:rPr>
              <w:t>S. aureus</w:t>
            </w:r>
            <w:r>
              <w:rPr>
                <w:rFonts w:cs="Times New Roman"/>
                <w:sz w:val="28"/>
                <w:szCs w:val="28"/>
              </w:rPr>
              <w:t xml:space="preserve">. Генетические детерминанты устойчивости </w:t>
            </w:r>
            <w:r>
              <w:rPr>
                <w:rFonts w:cs="Times New Roman"/>
                <w:i/>
                <w:sz w:val="28"/>
                <w:szCs w:val="28"/>
              </w:rPr>
              <w:t>S. aureus</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30</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t xml:space="preserve">1.5 Методы диагностики </w:t>
            </w:r>
            <w:r>
              <w:rPr>
                <w:rFonts w:cs="Times New Roman"/>
                <w:i/>
                <w:sz w:val="28"/>
                <w:szCs w:val="28"/>
              </w:rPr>
              <w:t>S. aureus</w:t>
            </w:r>
            <w:r>
              <w:rPr>
                <w:rFonts w:cs="Times New Roman"/>
                <w:sz w:val="28"/>
                <w:szCs w:val="28"/>
              </w:rPr>
              <w:t xml:space="preserve"> и определения его устойчивости к антибиотикам…………………………………………………………………</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35</w:t>
            </w:r>
          </w:p>
        </w:tc>
      </w:tr>
      <w:tr w:rsidR="00057D24" w:rsidTr="007E1CC3">
        <w:tc>
          <w:tcPr>
            <w:tcW w:w="4675" w:type="pct"/>
            <w:hideMark/>
          </w:tcPr>
          <w:p w:rsidR="00057D24" w:rsidRDefault="00057D24" w:rsidP="007E1CC3">
            <w:pPr>
              <w:pStyle w:val="a4"/>
              <w:rPr>
                <w:rFonts w:cs="Times New Roman"/>
                <w:sz w:val="28"/>
                <w:szCs w:val="28"/>
              </w:rPr>
            </w:pPr>
            <w:r>
              <w:rPr>
                <w:rFonts w:cs="Times New Roman"/>
                <w:b/>
                <w:sz w:val="28"/>
                <w:szCs w:val="28"/>
              </w:rPr>
              <w:t>2 СОБСТВЕННЫЕ ИССЛЕДОВАНИЯ</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40</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t>2.1 Материалы и методы исследований………………………………….......</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40</w:t>
            </w:r>
          </w:p>
        </w:tc>
      </w:tr>
      <w:tr w:rsidR="00057D24" w:rsidTr="007E1CC3">
        <w:tc>
          <w:tcPr>
            <w:tcW w:w="4675" w:type="pct"/>
            <w:hideMark/>
          </w:tcPr>
          <w:p w:rsidR="00057D24" w:rsidRDefault="00057D24" w:rsidP="007E1CC3">
            <w:pPr>
              <w:pStyle w:val="a4"/>
              <w:ind w:firstLine="318"/>
              <w:rPr>
                <w:rFonts w:cs="Times New Roman"/>
                <w:sz w:val="28"/>
                <w:szCs w:val="28"/>
              </w:rPr>
            </w:pPr>
            <w:r>
              <w:rPr>
                <w:rFonts w:cs="Times New Roman"/>
                <w:sz w:val="28"/>
                <w:szCs w:val="28"/>
              </w:rPr>
              <w:t>2.1.1 Отбор проб……………………………………………………………</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41</w:t>
            </w:r>
          </w:p>
        </w:tc>
      </w:tr>
      <w:tr w:rsidR="00057D24" w:rsidTr="007E1CC3">
        <w:tc>
          <w:tcPr>
            <w:tcW w:w="4675" w:type="pct"/>
            <w:hideMark/>
          </w:tcPr>
          <w:p w:rsidR="00057D24" w:rsidRDefault="00057D24" w:rsidP="007E1CC3">
            <w:pPr>
              <w:pStyle w:val="a4"/>
              <w:ind w:firstLine="318"/>
              <w:rPr>
                <w:rFonts w:cs="Times New Roman"/>
                <w:sz w:val="28"/>
                <w:szCs w:val="28"/>
              </w:rPr>
            </w:pPr>
            <w:r>
              <w:rPr>
                <w:rFonts w:cs="Times New Roman"/>
                <w:sz w:val="28"/>
                <w:szCs w:val="28"/>
              </w:rPr>
              <w:t>2.1.2 Бактериологические исследования………………………………….</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42</w:t>
            </w:r>
          </w:p>
        </w:tc>
      </w:tr>
      <w:tr w:rsidR="00057D24" w:rsidTr="007E1CC3">
        <w:tc>
          <w:tcPr>
            <w:tcW w:w="4675" w:type="pct"/>
            <w:hideMark/>
          </w:tcPr>
          <w:p w:rsidR="00057D24" w:rsidRDefault="00057D24" w:rsidP="007E1CC3">
            <w:pPr>
              <w:pStyle w:val="a4"/>
              <w:ind w:firstLine="318"/>
              <w:rPr>
                <w:rFonts w:cs="Times New Roman"/>
                <w:sz w:val="28"/>
                <w:szCs w:val="28"/>
              </w:rPr>
            </w:pPr>
            <w:r>
              <w:rPr>
                <w:rFonts w:cs="Times New Roman"/>
                <w:sz w:val="28"/>
                <w:szCs w:val="28"/>
              </w:rPr>
              <w:t>2.1.3 Молекулярно-генетические исследования…………………………</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47</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t>2.2 Статистический анализ……………………………………………………</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56</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3 РЕЗУЛЬТАТЫ ИССЛЕДОВАНИЙ</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58</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t xml:space="preserve">3.1 Выделение и идентификация штаммов </w:t>
            </w:r>
            <w:r>
              <w:rPr>
                <w:rFonts w:cs="Times New Roman"/>
                <w:i/>
                <w:sz w:val="28"/>
                <w:szCs w:val="28"/>
              </w:rPr>
              <w:t>S. aureus</w:t>
            </w:r>
            <w:r>
              <w:rPr>
                <w:rFonts w:cs="Times New Roman"/>
                <w:sz w:val="28"/>
                <w:szCs w:val="28"/>
              </w:rPr>
              <w:t xml:space="preserve"> из пищевых продуктов животного происхождения, изучение антибиотикорезистентности…………………………………………………</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58</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 xml:space="preserve">3.1.1 Выделение и идентификация штаммов </w:t>
            </w:r>
            <w:r>
              <w:rPr>
                <w:rFonts w:cs="Times New Roman"/>
                <w:i/>
                <w:sz w:val="28"/>
                <w:szCs w:val="28"/>
              </w:rPr>
              <w:t>S. aureus</w:t>
            </w:r>
            <w:r>
              <w:rPr>
                <w:rFonts w:cs="Times New Roman"/>
                <w:sz w:val="28"/>
                <w:szCs w:val="28"/>
              </w:rPr>
              <w:t xml:space="preserve"> из пищевых продуктов животного происхождения……………………………………</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58</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 xml:space="preserve">3.1.2 Молекулярная идентификация </w:t>
            </w:r>
            <w:r>
              <w:rPr>
                <w:rFonts w:cs="Times New Roman"/>
                <w:i/>
                <w:sz w:val="28"/>
                <w:szCs w:val="28"/>
              </w:rPr>
              <w:t>S. aureus</w:t>
            </w:r>
            <w:r>
              <w:rPr>
                <w:rFonts w:cs="Times New Roman"/>
                <w:sz w:val="28"/>
                <w:szCs w:val="28"/>
              </w:rPr>
              <w:t xml:space="preserve"> методом секвенирования генов 16S рРНК………………………………………………………………</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64</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 xml:space="preserve">3.1.3 Результаты определения чувствительности к антибактериальным препаратам выделенных штаммов </w:t>
            </w:r>
            <w:r>
              <w:rPr>
                <w:rFonts w:cs="Times New Roman"/>
                <w:i/>
                <w:sz w:val="28"/>
                <w:szCs w:val="28"/>
              </w:rPr>
              <w:t>S. aureus</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68</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t>3.2. Дизайн, синтез и валидация праймерных и зондовых последовательностей для мультиплексной ПЦР……………………………</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71</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3.2.1 Выбор генов-мишеней………………………………………………</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71</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3.2.2 Результаты подбора праймеров и зондов…………………………...</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72</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3.2.3 Результаты оценки свойств праймеров и зондов…………………...</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74</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3.2.4 Результаты расчетов приготовления растворов праймеров и флуоресцентно меченых зондов………………………………………….....</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77</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t>3.3 Оптимизация условий ПЦР и оценка её аналитических характеристик – специфичности и чувствительности………………………………………</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79</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3.3.1 Оптимизация условий ПЦР…………………………………………</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79</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3.3.2 Определение аналитической специфичности………………………</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87</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3.3.3 Определение аналитической чувствительности……………………</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89</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3.3.4 Разработка рекомбинантного положительного контрольного образца для подтверждения результатов ПЦР……………………………</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89</w:t>
            </w:r>
          </w:p>
        </w:tc>
      </w:tr>
      <w:tr w:rsidR="00057D24" w:rsidTr="007E1CC3">
        <w:tc>
          <w:tcPr>
            <w:tcW w:w="4675" w:type="pct"/>
            <w:hideMark/>
          </w:tcPr>
          <w:p w:rsidR="00057D24" w:rsidRDefault="00057D24" w:rsidP="007E1CC3">
            <w:pPr>
              <w:pStyle w:val="a4"/>
              <w:rPr>
                <w:rFonts w:cs="Times New Roman"/>
                <w:sz w:val="28"/>
                <w:szCs w:val="28"/>
              </w:rPr>
            </w:pPr>
            <w:r>
              <w:rPr>
                <w:rFonts w:cs="Times New Roman"/>
                <w:sz w:val="28"/>
                <w:szCs w:val="28"/>
              </w:rPr>
              <w:lastRenderedPageBreak/>
              <w:t xml:space="preserve">3.4 Идентификация изолятов </w:t>
            </w:r>
            <w:r>
              <w:rPr>
                <w:rFonts w:cs="Times New Roman"/>
                <w:i/>
                <w:sz w:val="28"/>
                <w:szCs w:val="28"/>
              </w:rPr>
              <w:t>S. aureus</w:t>
            </w:r>
            <w:r>
              <w:rPr>
                <w:rFonts w:cs="Times New Roman"/>
                <w:sz w:val="28"/>
                <w:szCs w:val="28"/>
              </w:rPr>
              <w:t xml:space="preserve"> и генетических маркеров устойчивости (blaZ, ermC и tetK) с применением разработанных праймерных и зондовых последовательностей. Проведение оценки согласованности фенотипических и генотипических методов идентификации………………………………………………………………</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95</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 xml:space="preserve">3.4.1 Результаты выявления специфического гена nuc </w:t>
            </w:r>
            <w:r>
              <w:rPr>
                <w:rFonts w:cs="Times New Roman"/>
                <w:i/>
                <w:sz w:val="28"/>
                <w:szCs w:val="28"/>
              </w:rPr>
              <w:t>S. aureus</w:t>
            </w:r>
            <w:r>
              <w:rPr>
                <w:rFonts w:cs="Times New Roman"/>
                <w:sz w:val="28"/>
                <w:szCs w:val="28"/>
              </w:rPr>
              <w:t>, а также генов резистентности blaZ, ermC и TetK…………………………………</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95</w:t>
            </w:r>
          </w:p>
        </w:tc>
      </w:tr>
      <w:tr w:rsidR="00057D24" w:rsidTr="007E1CC3">
        <w:tc>
          <w:tcPr>
            <w:tcW w:w="4675" w:type="pct"/>
            <w:hideMark/>
          </w:tcPr>
          <w:p w:rsidR="00057D24" w:rsidRDefault="00057D24" w:rsidP="007E1CC3">
            <w:pPr>
              <w:pStyle w:val="a4"/>
              <w:ind w:left="284"/>
              <w:rPr>
                <w:rFonts w:cs="Times New Roman"/>
                <w:sz w:val="28"/>
                <w:szCs w:val="28"/>
              </w:rPr>
            </w:pPr>
            <w:r>
              <w:rPr>
                <w:rFonts w:cs="Times New Roman"/>
                <w:sz w:val="28"/>
                <w:szCs w:val="28"/>
              </w:rPr>
              <w:t>3.4.2 Проведение оценки согласованности фенотипических и генотипических методов идентификации…………………………………..</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97</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4 Анализ и интерпретация результатов исследований</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100</w:t>
            </w:r>
          </w:p>
        </w:tc>
      </w:tr>
      <w:tr w:rsidR="00057D24" w:rsidTr="007E1CC3">
        <w:tc>
          <w:tcPr>
            <w:tcW w:w="4675" w:type="pct"/>
            <w:hideMark/>
          </w:tcPr>
          <w:p w:rsidR="00057D24" w:rsidRDefault="00057D24" w:rsidP="007E1CC3">
            <w:pPr>
              <w:pStyle w:val="a4"/>
              <w:rPr>
                <w:rFonts w:cs="Times New Roman"/>
                <w:sz w:val="28"/>
                <w:szCs w:val="28"/>
              </w:rPr>
            </w:pPr>
            <w:r>
              <w:rPr>
                <w:rFonts w:cs="Times New Roman"/>
                <w:b/>
                <w:sz w:val="28"/>
                <w:szCs w:val="28"/>
              </w:rPr>
              <w:t>ЗАКЛЮЧЕНИЕ</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104</w:t>
            </w:r>
          </w:p>
        </w:tc>
      </w:tr>
      <w:tr w:rsidR="00057D24" w:rsidTr="007E1CC3">
        <w:tc>
          <w:tcPr>
            <w:tcW w:w="4675" w:type="pct"/>
            <w:hideMark/>
          </w:tcPr>
          <w:p w:rsidR="00057D24" w:rsidRDefault="00057D24" w:rsidP="007E1CC3">
            <w:pPr>
              <w:pStyle w:val="a4"/>
              <w:rPr>
                <w:rFonts w:cs="Times New Roman"/>
                <w:sz w:val="28"/>
                <w:szCs w:val="28"/>
              </w:rPr>
            </w:pPr>
            <w:r>
              <w:rPr>
                <w:rFonts w:cs="Times New Roman"/>
                <w:b/>
                <w:sz w:val="28"/>
                <w:szCs w:val="28"/>
              </w:rPr>
              <w:t>ПРАКТИЧЕСКИЕ ПРЕДЛОЖЕНИЯ</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105</w:t>
            </w:r>
          </w:p>
        </w:tc>
      </w:tr>
      <w:tr w:rsidR="00057D24" w:rsidTr="007E1CC3">
        <w:tc>
          <w:tcPr>
            <w:tcW w:w="4675" w:type="pct"/>
            <w:hideMark/>
          </w:tcPr>
          <w:p w:rsidR="00057D24" w:rsidRDefault="00057D24" w:rsidP="007E1CC3">
            <w:pPr>
              <w:pStyle w:val="a4"/>
              <w:rPr>
                <w:rFonts w:cs="Times New Roman"/>
                <w:sz w:val="28"/>
                <w:szCs w:val="28"/>
              </w:rPr>
            </w:pPr>
            <w:r>
              <w:rPr>
                <w:rFonts w:cs="Times New Roman"/>
                <w:b/>
                <w:sz w:val="28"/>
                <w:szCs w:val="28"/>
              </w:rPr>
              <w:t>СПИСОК ИСПОЛЬЗОВАННЫХ ИСТОЧНИКОВ</w:t>
            </w:r>
            <w:r>
              <w:rPr>
                <w:rFonts w:cs="Times New Roman"/>
                <w:sz w:val="28"/>
                <w:szCs w:val="28"/>
              </w:rPr>
              <w:t>……………………</w:t>
            </w:r>
          </w:p>
        </w:tc>
        <w:tc>
          <w:tcPr>
            <w:tcW w:w="325" w:type="pct"/>
            <w:vAlign w:val="bottom"/>
            <w:hideMark/>
          </w:tcPr>
          <w:p w:rsidR="00057D24" w:rsidRDefault="00057D24" w:rsidP="007E1CC3">
            <w:pPr>
              <w:pStyle w:val="a4"/>
              <w:jc w:val="left"/>
              <w:rPr>
                <w:rFonts w:cs="Times New Roman"/>
                <w:sz w:val="28"/>
                <w:szCs w:val="28"/>
              </w:rPr>
            </w:pPr>
            <w:r>
              <w:rPr>
                <w:rFonts w:cs="Times New Roman"/>
                <w:sz w:val="28"/>
                <w:szCs w:val="28"/>
              </w:rPr>
              <w:t>107</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А </w:t>
            </w:r>
            <w:r>
              <w:rPr>
                <w:rFonts w:cs="Times New Roman"/>
                <w:sz w:val="28"/>
                <w:szCs w:val="28"/>
              </w:rPr>
              <w:t>– Инструкция по изготовлению и контролю………….</w:t>
            </w:r>
          </w:p>
        </w:tc>
        <w:tc>
          <w:tcPr>
            <w:tcW w:w="325" w:type="pct"/>
            <w:vAlign w:val="bottom"/>
            <w:hideMark/>
          </w:tcPr>
          <w:p w:rsidR="00057D24" w:rsidRDefault="00057D24" w:rsidP="00FB61F2">
            <w:pPr>
              <w:pStyle w:val="a4"/>
              <w:jc w:val="left"/>
              <w:rPr>
                <w:rFonts w:cs="Times New Roman"/>
                <w:sz w:val="28"/>
                <w:szCs w:val="28"/>
              </w:rPr>
            </w:pPr>
            <w:r>
              <w:rPr>
                <w:rFonts w:cs="Times New Roman"/>
                <w:sz w:val="28"/>
                <w:szCs w:val="28"/>
              </w:rPr>
              <w:t>14</w:t>
            </w:r>
            <w:r w:rsidR="00FB61F2">
              <w:rPr>
                <w:rFonts w:cs="Times New Roman"/>
                <w:sz w:val="28"/>
                <w:szCs w:val="28"/>
              </w:rPr>
              <w:t>0</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Б </w:t>
            </w:r>
            <w:r>
              <w:rPr>
                <w:rFonts w:cs="Times New Roman"/>
                <w:sz w:val="28"/>
                <w:szCs w:val="28"/>
              </w:rPr>
              <w:t>– Инструкция по применению………….……………...</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14</w:t>
            </w:r>
            <w:r w:rsidR="00FB61F2">
              <w:rPr>
                <w:rFonts w:cs="Times New Roman"/>
                <w:sz w:val="28"/>
                <w:szCs w:val="28"/>
              </w:rPr>
              <w:t>1</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В </w:t>
            </w:r>
            <w:r>
              <w:rPr>
                <w:rFonts w:cs="Times New Roman"/>
                <w:sz w:val="28"/>
                <w:szCs w:val="28"/>
              </w:rPr>
              <w:t>– Стандарт организации………….………….…………</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14</w:t>
            </w:r>
            <w:r w:rsidR="00FB61F2">
              <w:rPr>
                <w:rFonts w:cs="Times New Roman"/>
                <w:sz w:val="28"/>
                <w:szCs w:val="28"/>
              </w:rPr>
              <w:t>2</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Г </w:t>
            </w:r>
            <w:r>
              <w:rPr>
                <w:rFonts w:cs="Times New Roman"/>
                <w:sz w:val="28"/>
                <w:szCs w:val="28"/>
              </w:rPr>
              <w:t>– Практические рекомендации………….……………</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14</w:t>
            </w:r>
            <w:r w:rsidR="00FB61F2">
              <w:rPr>
                <w:rFonts w:cs="Times New Roman"/>
                <w:sz w:val="28"/>
                <w:szCs w:val="28"/>
              </w:rPr>
              <w:t>1</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Д </w:t>
            </w:r>
            <w:r>
              <w:rPr>
                <w:rFonts w:cs="Times New Roman"/>
                <w:sz w:val="28"/>
                <w:szCs w:val="28"/>
              </w:rPr>
              <w:t>– Учебное пособие………….………….……………….</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14</w:t>
            </w:r>
            <w:r w:rsidR="00FB61F2">
              <w:rPr>
                <w:rFonts w:cs="Times New Roman"/>
                <w:sz w:val="28"/>
                <w:szCs w:val="28"/>
              </w:rPr>
              <w:t>6</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Е </w:t>
            </w:r>
            <w:r>
              <w:rPr>
                <w:rFonts w:cs="Times New Roman"/>
                <w:sz w:val="28"/>
                <w:szCs w:val="28"/>
              </w:rPr>
              <w:t>– Методическое пособие……………………………….</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14</w:t>
            </w:r>
            <w:r w:rsidR="00FB61F2">
              <w:rPr>
                <w:rFonts w:cs="Times New Roman"/>
                <w:sz w:val="28"/>
                <w:szCs w:val="28"/>
              </w:rPr>
              <w:t>8</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Ж </w:t>
            </w:r>
            <w:r>
              <w:rPr>
                <w:rFonts w:cs="Times New Roman"/>
                <w:sz w:val="28"/>
                <w:szCs w:val="28"/>
              </w:rPr>
              <w:t>– АКТ внедрения в учебный процесс…………………</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15</w:t>
            </w:r>
            <w:r w:rsidR="00FB61F2">
              <w:rPr>
                <w:rFonts w:cs="Times New Roman"/>
                <w:sz w:val="28"/>
                <w:szCs w:val="28"/>
              </w:rPr>
              <w:t>0</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И </w:t>
            </w:r>
            <w:r>
              <w:rPr>
                <w:rFonts w:cs="Times New Roman"/>
                <w:sz w:val="28"/>
                <w:szCs w:val="28"/>
              </w:rPr>
              <w:t>– АКТ внедрения в лабораторную практику………….</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15</w:t>
            </w:r>
            <w:r w:rsidR="00FB61F2">
              <w:rPr>
                <w:rFonts w:cs="Times New Roman"/>
                <w:sz w:val="28"/>
                <w:szCs w:val="28"/>
              </w:rPr>
              <w:t>2</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К </w:t>
            </w:r>
            <w:r>
              <w:rPr>
                <w:rFonts w:cs="Times New Roman"/>
                <w:sz w:val="28"/>
                <w:szCs w:val="28"/>
              </w:rPr>
              <w:t>– Приказ о создании рабочей группы проекта ПЦФ….</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15</w:t>
            </w:r>
            <w:r w:rsidR="00FB61F2">
              <w:rPr>
                <w:rFonts w:cs="Times New Roman"/>
                <w:sz w:val="28"/>
                <w:szCs w:val="28"/>
              </w:rPr>
              <w:t>3</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Л </w:t>
            </w:r>
            <w:r>
              <w:rPr>
                <w:rFonts w:cs="Times New Roman"/>
                <w:sz w:val="28"/>
                <w:szCs w:val="28"/>
              </w:rPr>
              <w:t>– Список научных и методических работ……………..</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15</w:t>
            </w:r>
            <w:r w:rsidR="00FB61F2">
              <w:rPr>
                <w:rFonts w:cs="Times New Roman"/>
                <w:sz w:val="28"/>
                <w:szCs w:val="28"/>
              </w:rPr>
              <w:t>4</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М </w:t>
            </w:r>
            <w:r>
              <w:rPr>
                <w:rFonts w:cs="Times New Roman"/>
                <w:sz w:val="28"/>
                <w:szCs w:val="28"/>
              </w:rPr>
              <w:t>– Заключительный отчёт проекта ПЦФ………………</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15</w:t>
            </w:r>
            <w:r w:rsidR="00FB61F2">
              <w:rPr>
                <w:rFonts w:cs="Times New Roman"/>
                <w:sz w:val="28"/>
                <w:szCs w:val="28"/>
              </w:rPr>
              <w:t>6</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Н </w:t>
            </w:r>
            <w:r>
              <w:rPr>
                <w:rFonts w:cs="Times New Roman"/>
                <w:sz w:val="28"/>
                <w:szCs w:val="28"/>
              </w:rPr>
              <w:t>– Матрица патристических расстояний………………</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16</w:t>
            </w:r>
            <w:r w:rsidR="00FB61F2">
              <w:rPr>
                <w:rFonts w:cs="Times New Roman"/>
                <w:sz w:val="28"/>
                <w:szCs w:val="28"/>
              </w:rPr>
              <w:t>1</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П </w:t>
            </w:r>
            <w:r>
              <w:rPr>
                <w:rFonts w:cs="Times New Roman"/>
                <w:sz w:val="28"/>
                <w:szCs w:val="28"/>
              </w:rPr>
              <w:t>– Результаты подбора праймеров и зондов…………...</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16</w:t>
            </w:r>
            <w:r w:rsidR="00FB61F2">
              <w:rPr>
                <w:rFonts w:cs="Times New Roman"/>
                <w:sz w:val="28"/>
                <w:szCs w:val="28"/>
              </w:rPr>
              <w:t>3</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Р </w:t>
            </w:r>
            <w:r>
              <w:rPr>
                <w:rFonts w:cs="Times New Roman"/>
                <w:sz w:val="28"/>
                <w:szCs w:val="28"/>
              </w:rPr>
              <w:t>– Оценка вероятности образования димеров………….</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16</w:t>
            </w:r>
            <w:r w:rsidR="00FB61F2">
              <w:rPr>
                <w:rFonts w:cs="Times New Roman"/>
                <w:sz w:val="28"/>
                <w:szCs w:val="28"/>
              </w:rPr>
              <w:t>5</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С </w:t>
            </w:r>
            <w:r>
              <w:rPr>
                <w:rFonts w:cs="Times New Roman"/>
                <w:sz w:val="28"/>
                <w:szCs w:val="28"/>
              </w:rPr>
              <w:t>– Праймеры и флуоресцентно меченые зонды……….</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17</w:t>
            </w:r>
            <w:r w:rsidR="00FB61F2">
              <w:rPr>
                <w:rFonts w:cs="Times New Roman"/>
                <w:sz w:val="28"/>
                <w:szCs w:val="28"/>
              </w:rPr>
              <w:t>1</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Т </w:t>
            </w:r>
            <w:r>
              <w:rPr>
                <w:rFonts w:cs="Times New Roman"/>
                <w:sz w:val="28"/>
                <w:szCs w:val="28"/>
              </w:rPr>
              <w:t>– Эффективность ПЦР………….………….…………</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17</w:t>
            </w:r>
            <w:r w:rsidR="00FB61F2">
              <w:rPr>
                <w:rFonts w:cs="Times New Roman"/>
                <w:sz w:val="28"/>
                <w:szCs w:val="28"/>
              </w:rPr>
              <w:t>3</w:t>
            </w:r>
          </w:p>
        </w:tc>
      </w:tr>
      <w:tr w:rsidR="00057D24" w:rsidTr="007E1CC3">
        <w:tc>
          <w:tcPr>
            <w:tcW w:w="4675" w:type="pct"/>
            <w:hideMark/>
          </w:tcPr>
          <w:p w:rsidR="00057D24" w:rsidRDefault="00057D24" w:rsidP="007E1CC3">
            <w:pPr>
              <w:pStyle w:val="a4"/>
              <w:rPr>
                <w:rFonts w:cs="Times New Roman"/>
                <w:b/>
                <w:sz w:val="28"/>
                <w:szCs w:val="28"/>
              </w:rPr>
            </w:pPr>
            <w:r>
              <w:rPr>
                <w:rFonts w:cs="Times New Roman"/>
                <w:b/>
                <w:sz w:val="28"/>
                <w:szCs w:val="28"/>
              </w:rPr>
              <w:t xml:space="preserve">ПРИЛОЖЕНИЕ У </w:t>
            </w:r>
            <w:r>
              <w:rPr>
                <w:rFonts w:cs="Times New Roman"/>
                <w:sz w:val="28"/>
                <w:szCs w:val="28"/>
              </w:rPr>
              <w:t>– Акты комиссионных испытаний………….…………</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17</w:t>
            </w:r>
            <w:r w:rsidR="00FB61F2">
              <w:rPr>
                <w:rFonts w:cs="Times New Roman"/>
                <w:sz w:val="28"/>
                <w:szCs w:val="28"/>
              </w:rPr>
              <w:t>4</w:t>
            </w:r>
          </w:p>
        </w:tc>
      </w:tr>
      <w:tr w:rsidR="00057D24" w:rsidTr="007E1CC3">
        <w:tc>
          <w:tcPr>
            <w:tcW w:w="4675" w:type="pct"/>
            <w:hideMark/>
          </w:tcPr>
          <w:p w:rsidR="00057D24" w:rsidRDefault="00057D24" w:rsidP="007E1CC3">
            <w:pPr>
              <w:pStyle w:val="a4"/>
              <w:rPr>
                <w:rFonts w:cs="Times New Roman"/>
                <w:sz w:val="28"/>
                <w:szCs w:val="28"/>
              </w:rPr>
            </w:pPr>
            <w:r>
              <w:rPr>
                <w:rFonts w:cs="Times New Roman"/>
                <w:b/>
                <w:sz w:val="28"/>
                <w:szCs w:val="28"/>
              </w:rPr>
              <w:t xml:space="preserve">ПРИЛОЖЕНИЕ Ф </w:t>
            </w:r>
            <w:r>
              <w:rPr>
                <w:rFonts w:cs="Times New Roman"/>
                <w:sz w:val="28"/>
                <w:szCs w:val="28"/>
              </w:rPr>
              <w:t>– Данные устойчивости к АБП в разрезе выявления генов резистентности…………………………………………………………</w:t>
            </w:r>
          </w:p>
        </w:tc>
        <w:tc>
          <w:tcPr>
            <w:tcW w:w="325" w:type="pct"/>
            <w:vAlign w:val="bottom"/>
            <w:hideMark/>
          </w:tcPr>
          <w:p w:rsidR="00057D24" w:rsidRDefault="00057D24" w:rsidP="00FB61F2">
            <w:pPr>
              <w:pStyle w:val="a4"/>
              <w:rPr>
                <w:rFonts w:cs="Times New Roman"/>
                <w:sz w:val="28"/>
                <w:szCs w:val="28"/>
              </w:rPr>
            </w:pPr>
            <w:r>
              <w:rPr>
                <w:rFonts w:cs="Times New Roman"/>
                <w:sz w:val="28"/>
                <w:szCs w:val="28"/>
              </w:rPr>
              <w:t>18</w:t>
            </w:r>
            <w:r w:rsidR="00FB61F2">
              <w:rPr>
                <w:rFonts w:cs="Times New Roman"/>
                <w:sz w:val="28"/>
                <w:szCs w:val="28"/>
              </w:rPr>
              <w:t>6</w:t>
            </w:r>
          </w:p>
        </w:tc>
      </w:tr>
    </w:tbl>
    <w:p w:rsidR="00911578" w:rsidRDefault="00911578" w:rsidP="00AE0408">
      <w:pPr>
        <w:jc w:val="center"/>
        <w:rPr>
          <w:b/>
          <w:sz w:val="28"/>
        </w:rPr>
      </w:pPr>
    </w:p>
    <w:p w:rsidR="00911578" w:rsidRDefault="00911578" w:rsidP="00AE0408">
      <w:pPr>
        <w:jc w:val="center"/>
        <w:rPr>
          <w:b/>
          <w:sz w:val="28"/>
        </w:rPr>
      </w:pPr>
    </w:p>
    <w:p w:rsidR="00911578" w:rsidRDefault="00911578" w:rsidP="00AE0408">
      <w:pPr>
        <w:jc w:val="center"/>
        <w:rPr>
          <w:b/>
          <w:sz w:val="28"/>
        </w:rPr>
      </w:pPr>
    </w:p>
    <w:p w:rsidR="00911578" w:rsidRDefault="00911578" w:rsidP="00AE0408">
      <w:pPr>
        <w:jc w:val="center"/>
        <w:rPr>
          <w:b/>
          <w:sz w:val="28"/>
        </w:rPr>
      </w:pPr>
    </w:p>
    <w:p w:rsidR="00911578" w:rsidRDefault="00911578" w:rsidP="00AE0408">
      <w:pPr>
        <w:jc w:val="center"/>
        <w:rPr>
          <w:b/>
          <w:sz w:val="28"/>
        </w:rPr>
      </w:pPr>
    </w:p>
    <w:p w:rsidR="00911578" w:rsidRDefault="00911578" w:rsidP="00AE0408">
      <w:pPr>
        <w:jc w:val="center"/>
        <w:rPr>
          <w:b/>
          <w:sz w:val="28"/>
        </w:rPr>
      </w:pPr>
    </w:p>
    <w:p w:rsidR="00060504" w:rsidRDefault="00060504" w:rsidP="00AE0408">
      <w:pPr>
        <w:jc w:val="center"/>
        <w:rPr>
          <w:b/>
          <w:sz w:val="28"/>
        </w:rPr>
      </w:pPr>
    </w:p>
    <w:p w:rsidR="00060504" w:rsidRDefault="00060504" w:rsidP="00AE0408">
      <w:pPr>
        <w:jc w:val="center"/>
        <w:rPr>
          <w:b/>
          <w:sz w:val="28"/>
        </w:rPr>
      </w:pPr>
    </w:p>
    <w:p w:rsidR="00911578" w:rsidRDefault="00911578" w:rsidP="00AE0408">
      <w:pPr>
        <w:jc w:val="center"/>
        <w:rPr>
          <w:b/>
          <w:sz w:val="28"/>
        </w:rPr>
      </w:pPr>
    </w:p>
    <w:p w:rsidR="00541107" w:rsidRPr="00AE0408" w:rsidRDefault="00541107" w:rsidP="00AE0408">
      <w:pPr>
        <w:jc w:val="center"/>
        <w:rPr>
          <w:b/>
          <w:sz w:val="28"/>
        </w:rPr>
      </w:pPr>
      <w:r w:rsidRPr="00AE0408">
        <w:rPr>
          <w:b/>
          <w:sz w:val="28"/>
        </w:rPr>
        <w:t>НОРМАТИВНЫЕ ССЫЛКИ</w:t>
      </w:r>
    </w:p>
    <w:p w:rsidR="00541107" w:rsidRPr="00541107" w:rsidRDefault="00541107" w:rsidP="00541107">
      <w:pPr>
        <w:rPr>
          <w:sz w:val="28"/>
        </w:rPr>
      </w:pPr>
    </w:p>
    <w:p w:rsidR="00541107" w:rsidRPr="00541107" w:rsidRDefault="00541107" w:rsidP="00AE0408">
      <w:pPr>
        <w:ind w:firstLine="709"/>
        <w:rPr>
          <w:sz w:val="28"/>
        </w:rPr>
      </w:pPr>
      <w:r w:rsidRPr="00541107">
        <w:rPr>
          <w:sz w:val="28"/>
        </w:rPr>
        <w:lastRenderedPageBreak/>
        <w:t xml:space="preserve">В </w:t>
      </w:r>
      <w:r w:rsidR="00856E47">
        <w:rPr>
          <w:sz w:val="28"/>
        </w:rPr>
        <w:t>настоящей</w:t>
      </w:r>
      <w:r w:rsidRPr="00541107">
        <w:rPr>
          <w:sz w:val="28"/>
        </w:rPr>
        <w:t xml:space="preserve"> работе используются ссылки на приведённые стандарты:</w:t>
      </w:r>
    </w:p>
    <w:p w:rsidR="00541107" w:rsidRPr="00541107" w:rsidRDefault="00541107" w:rsidP="00AE0408">
      <w:pPr>
        <w:ind w:firstLine="709"/>
        <w:rPr>
          <w:sz w:val="28"/>
        </w:rPr>
      </w:pPr>
      <w:r w:rsidRPr="00541107">
        <w:rPr>
          <w:sz w:val="28"/>
        </w:rPr>
        <w:t>ГОСТ 26809.1-2014 «Молоко и молочная продукция. Правила приемки, методы отбора и подготовка проб к анализу. Часть 1. Молоко, молочные, молочные составные и молокосодержащие продукты».</w:t>
      </w:r>
    </w:p>
    <w:p w:rsidR="00541107" w:rsidRPr="00541107" w:rsidRDefault="00541107" w:rsidP="00AE0408">
      <w:pPr>
        <w:ind w:firstLine="709"/>
        <w:rPr>
          <w:sz w:val="28"/>
        </w:rPr>
      </w:pPr>
      <w:r w:rsidRPr="00541107">
        <w:rPr>
          <w:sz w:val="28"/>
        </w:rPr>
        <w:t xml:space="preserve">ГОСТ 31746-2012 Межгосударственный стандарт. Продукты пищевые. Методы выявления и определения количества коагулазоположительных стафилококков и </w:t>
      </w:r>
      <w:r w:rsidR="00AE0408" w:rsidRPr="00AE0408">
        <w:rPr>
          <w:i/>
          <w:sz w:val="28"/>
        </w:rPr>
        <w:t>Staphylococcus</w:t>
      </w:r>
      <w:r w:rsidRPr="00541107">
        <w:rPr>
          <w:sz w:val="28"/>
        </w:rPr>
        <w:t xml:space="preserve"> </w:t>
      </w:r>
      <w:r w:rsidR="00AE0408" w:rsidRPr="00AE0408">
        <w:rPr>
          <w:i/>
          <w:sz w:val="28"/>
        </w:rPr>
        <w:t>aureus</w:t>
      </w:r>
      <w:r w:rsidRPr="00541107">
        <w:rPr>
          <w:sz w:val="28"/>
        </w:rPr>
        <w:t>.</w:t>
      </w:r>
    </w:p>
    <w:p w:rsidR="00541107" w:rsidRPr="00541107" w:rsidRDefault="00541107" w:rsidP="00AE0408">
      <w:pPr>
        <w:ind w:firstLine="709"/>
        <w:rPr>
          <w:sz w:val="28"/>
        </w:rPr>
      </w:pPr>
      <w:r w:rsidRPr="00541107">
        <w:rPr>
          <w:sz w:val="28"/>
        </w:rPr>
        <w:t>ГОСТ 31467-2012 «Мясо птицы, субпродукты и полуфабрикаты из мяса птицы. Методы отбора проб и подготовка их к испытаниям».</w:t>
      </w:r>
    </w:p>
    <w:p w:rsidR="00541107" w:rsidRPr="00541107" w:rsidRDefault="00541107" w:rsidP="00AE0408">
      <w:pPr>
        <w:ind w:firstLine="709"/>
        <w:rPr>
          <w:sz w:val="28"/>
        </w:rPr>
      </w:pPr>
      <w:r w:rsidRPr="00541107">
        <w:rPr>
          <w:sz w:val="28"/>
        </w:rPr>
        <w:t>СТ РК ГОСТ Р 51447-2010 «Мясо и мясные продукты. Методы отбора проб».</w:t>
      </w:r>
    </w:p>
    <w:p w:rsidR="00541107" w:rsidRPr="00541107" w:rsidRDefault="00541107" w:rsidP="00AE0408">
      <w:pPr>
        <w:ind w:firstLine="709"/>
        <w:rPr>
          <w:sz w:val="28"/>
        </w:rPr>
      </w:pPr>
      <w:r w:rsidRPr="00541107">
        <w:rPr>
          <w:sz w:val="28"/>
        </w:rPr>
        <w:t xml:space="preserve">ГОСТ 30347-2016 «Молоко и молочная продукция. Методы определения </w:t>
      </w:r>
      <w:r w:rsidR="00AE0408" w:rsidRPr="00AE0408">
        <w:rPr>
          <w:i/>
          <w:sz w:val="28"/>
        </w:rPr>
        <w:t>Staphylococcus</w:t>
      </w:r>
      <w:r w:rsidRPr="00541107">
        <w:rPr>
          <w:sz w:val="28"/>
        </w:rPr>
        <w:t xml:space="preserve"> </w:t>
      </w:r>
      <w:r w:rsidR="00AE0408" w:rsidRPr="00AE0408">
        <w:rPr>
          <w:i/>
          <w:sz w:val="28"/>
        </w:rPr>
        <w:t>aureus</w:t>
      </w:r>
      <w:r w:rsidRPr="00541107">
        <w:rPr>
          <w:sz w:val="28"/>
        </w:rPr>
        <w:t>».</w:t>
      </w:r>
    </w:p>
    <w:p w:rsidR="00541107" w:rsidRPr="00541107" w:rsidRDefault="00541107" w:rsidP="00AE0408">
      <w:pPr>
        <w:ind w:firstLine="709"/>
        <w:rPr>
          <w:sz w:val="28"/>
        </w:rPr>
      </w:pPr>
      <w:r w:rsidRPr="00541107">
        <w:rPr>
          <w:sz w:val="28"/>
        </w:rPr>
        <w:t xml:space="preserve">СО 034-2023 Набор для выявления </w:t>
      </w:r>
      <w:r w:rsidR="00AE0408" w:rsidRPr="00AE0408">
        <w:rPr>
          <w:i/>
          <w:sz w:val="28"/>
        </w:rPr>
        <w:t>Staphylococcus</w:t>
      </w:r>
      <w:r w:rsidRPr="00541107">
        <w:rPr>
          <w:sz w:val="28"/>
        </w:rPr>
        <w:t xml:space="preserve"> </w:t>
      </w:r>
      <w:r w:rsidR="00AE0408" w:rsidRPr="00AE0408">
        <w:rPr>
          <w:i/>
          <w:sz w:val="28"/>
        </w:rPr>
        <w:t>aureus</w:t>
      </w:r>
      <w:r w:rsidRPr="00541107">
        <w:rPr>
          <w:sz w:val="28"/>
        </w:rPr>
        <w:t xml:space="preserve"> и </w:t>
      </w:r>
      <w:r w:rsidR="00AE0408" w:rsidRPr="00AE0408">
        <w:rPr>
          <w:i/>
          <w:sz w:val="28"/>
        </w:rPr>
        <w:t>Streptococcus agalactiae</w:t>
      </w:r>
      <w:r w:rsidRPr="00541107">
        <w:rPr>
          <w:sz w:val="28"/>
        </w:rPr>
        <w:t xml:space="preserve"> в молочной продукции.</w:t>
      </w:r>
    </w:p>
    <w:p w:rsidR="00541107" w:rsidRDefault="00541107" w:rsidP="00AE0408">
      <w:pPr>
        <w:ind w:firstLine="709"/>
        <w:rPr>
          <w:sz w:val="28"/>
        </w:rPr>
      </w:pPr>
      <w:r w:rsidRPr="00541107">
        <w:rPr>
          <w:sz w:val="28"/>
        </w:rPr>
        <w:t>МУК 4.2.1890—04 МУ 4.2. «Методы контроля. Биологические и микробиологические факторы. Определение чувствительности микроорганизмов к антибактериальным препаратам».</w:t>
      </w: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Pr="00AE0408" w:rsidRDefault="007E61AF" w:rsidP="00AE0408">
      <w:pPr>
        <w:jc w:val="center"/>
        <w:rPr>
          <w:b/>
          <w:sz w:val="28"/>
        </w:rPr>
      </w:pPr>
      <w:r>
        <w:rPr>
          <w:b/>
          <w:sz w:val="28"/>
        </w:rPr>
        <w:t xml:space="preserve">ТЕРМИНЫ И </w:t>
      </w:r>
      <w:r w:rsidR="00541107" w:rsidRPr="00AE0408">
        <w:rPr>
          <w:b/>
          <w:sz w:val="28"/>
        </w:rPr>
        <w:t>ОПРЕДЕЛЕНИЯ</w:t>
      </w:r>
    </w:p>
    <w:p w:rsidR="00541107" w:rsidRPr="00541107" w:rsidRDefault="00541107" w:rsidP="00541107">
      <w:pPr>
        <w:rPr>
          <w:sz w:val="28"/>
        </w:rPr>
      </w:pPr>
    </w:p>
    <w:p w:rsidR="00541107" w:rsidRPr="00541107" w:rsidRDefault="00541107" w:rsidP="00121CC7">
      <w:pPr>
        <w:ind w:firstLine="709"/>
        <w:rPr>
          <w:sz w:val="28"/>
        </w:rPr>
      </w:pPr>
      <w:r w:rsidRPr="00541107">
        <w:rPr>
          <w:sz w:val="28"/>
        </w:rPr>
        <w:lastRenderedPageBreak/>
        <w:t xml:space="preserve">В </w:t>
      </w:r>
      <w:r w:rsidR="007E61AF">
        <w:rPr>
          <w:sz w:val="28"/>
        </w:rPr>
        <w:t>настояще</w:t>
      </w:r>
      <w:r w:rsidR="001E5600">
        <w:rPr>
          <w:sz w:val="28"/>
        </w:rPr>
        <w:t>м</w:t>
      </w:r>
      <w:r w:rsidR="007E61AF">
        <w:rPr>
          <w:sz w:val="28"/>
        </w:rPr>
        <w:t xml:space="preserve"> диссертационном</w:t>
      </w:r>
      <w:r w:rsidRPr="00541107">
        <w:rPr>
          <w:sz w:val="28"/>
        </w:rPr>
        <w:t xml:space="preserve"> </w:t>
      </w:r>
      <w:r w:rsidR="007E61AF">
        <w:rPr>
          <w:sz w:val="28"/>
        </w:rPr>
        <w:t>исследовании</w:t>
      </w:r>
      <w:r w:rsidRPr="00541107">
        <w:rPr>
          <w:sz w:val="28"/>
        </w:rPr>
        <w:t xml:space="preserve"> используются следующие термины </w:t>
      </w:r>
      <w:r w:rsidR="007E61AF" w:rsidRPr="007E61AF">
        <w:rPr>
          <w:sz w:val="28"/>
        </w:rPr>
        <w:t>с соответствующими определениями</w:t>
      </w:r>
      <w:r w:rsidRPr="00541107">
        <w:rPr>
          <w:sz w:val="28"/>
        </w:rPr>
        <w:t>:</w:t>
      </w:r>
    </w:p>
    <w:p w:rsidR="007E61AF" w:rsidRPr="00541107" w:rsidRDefault="007E61AF" w:rsidP="00121CC7">
      <w:pPr>
        <w:ind w:firstLine="709"/>
        <w:rPr>
          <w:sz w:val="28"/>
        </w:rPr>
      </w:pPr>
      <w:r w:rsidRPr="009F1B2C">
        <w:rPr>
          <w:b/>
          <w:sz w:val="28"/>
        </w:rPr>
        <w:t>Ампликон</w:t>
      </w:r>
      <w:r w:rsidRPr="00541107">
        <w:rPr>
          <w:sz w:val="28"/>
        </w:rPr>
        <w:t xml:space="preserve"> - термин, который используется для обозначения генетического материала, который может быть вк</w:t>
      </w:r>
      <w:r w:rsidR="001E5600">
        <w:rPr>
          <w:sz w:val="28"/>
        </w:rPr>
        <w:t>лючен в геном другого организма</w:t>
      </w:r>
      <w:r w:rsidR="00121CC7">
        <w:rPr>
          <w:sz w:val="28"/>
        </w:rPr>
        <w:t>.</w:t>
      </w:r>
    </w:p>
    <w:p w:rsidR="00790841" w:rsidRDefault="00790841" w:rsidP="00121CC7">
      <w:pPr>
        <w:ind w:firstLine="709"/>
        <w:rPr>
          <w:sz w:val="28"/>
        </w:rPr>
      </w:pPr>
      <w:r w:rsidRPr="009F1B2C">
        <w:rPr>
          <w:b/>
          <w:sz w:val="28"/>
        </w:rPr>
        <w:t>Амплификация</w:t>
      </w:r>
      <w:r w:rsidRPr="00541107">
        <w:rPr>
          <w:sz w:val="28"/>
        </w:rPr>
        <w:t xml:space="preserve"> - процесс увеличения числа </w:t>
      </w:r>
      <w:r w:rsidR="001E5600">
        <w:rPr>
          <w:sz w:val="28"/>
        </w:rPr>
        <w:t>копий определенного участка ДНК</w:t>
      </w:r>
      <w:r w:rsidR="00121CC7">
        <w:rPr>
          <w:sz w:val="28"/>
        </w:rPr>
        <w:t>.</w:t>
      </w:r>
    </w:p>
    <w:p w:rsidR="007E61AF" w:rsidRPr="00541107" w:rsidRDefault="007E61AF" w:rsidP="00121CC7">
      <w:pPr>
        <w:ind w:firstLine="709"/>
        <w:rPr>
          <w:sz w:val="28"/>
        </w:rPr>
      </w:pPr>
      <w:r w:rsidRPr="009F1B2C">
        <w:rPr>
          <w:b/>
          <w:sz w:val="28"/>
        </w:rPr>
        <w:t>Антибиотикорезистентность</w:t>
      </w:r>
      <w:r w:rsidRPr="00541107">
        <w:rPr>
          <w:sz w:val="28"/>
        </w:rPr>
        <w:t xml:space="preserve"> - способность микроорганизмов выживать и размножаться в присутствии антибиотиков, которые р</w:t>
      </w:r>
      <w:r w:rsidR="001E5600">
        <w:rPr>
          <w:sz w:val="28"/>
        </w:rPr>
        <w:t>анее были эффективны против них</w:t>
      </w:r>
      <w:r w:rsidR="00121CC7">
        <w:rPr>
          <w:sz w:val="28"/>
        </w:rPr>
        <w:t>.</w:t>
      </w:r>
    </w:p>
    <w:p w:rsidR="00790841" w:rsidRPr="00541107" w:rsidRDefault="00790841" w:rsidP="00121CC7">
      <w:pPr>
        <w:ind w:firstLine="709"/>
        <w:rPr>
          <w:sz w:val="28"/>
        </w:rPr>
      </w:pPr>
      <w:r w:rsidRPr="009F1B2C">
        <w:rPr>
          <w:b/>
          <w:sz w:val="28"/>
        </w:rPr>
        <w:t>Вирулентность</w:t>
      </w:r>
      <w:r w:rsidRPr="00541107">
        <w:rPr>
          <w:sz w:val="28"/>
        </w:rPr>
        <w:t xml:space="preserve"> - степень патогенности микроорганизма, то есть его с</w:t>
      </w:r>
      <w:r w:rsidR="001E5600">
        <w:rPr>
          <w:sz w:val="28"/>
        </w:rPr>
        <w:t>пособность вызывать заболевание</w:t>
      </w:r>
      <w:r w:rsidR="00121CC7">
        <w:rPr>
          <w:sz w:val="28"/>
        </w:rPr>
        <w:t>.</w:t>
      </w:r>
    </w:p>
    <w:p w:rsidR="00790841" w:rsidRPr="00541107" w:rsidRDefault="00790841" w:rsidP="00121CC7">
      <w:pPr>
        <w:ind w:firstLine="709"/>
        <w:rPr>
          <w:sz w:val="28"/>
        </w:rPr>
      </w:pPr>
      <w:r w:rsidRPr="009F1B2C">
        <w:rPr>
          <w:b/>
          <w:sz w:val="28"/>
        </w:rPr>
        <w:t>Гемолизины</w:t>
      </w:r>
      <w:r w:rsidRPr="00541107">
        <w:rPr>
          <w:sz w:val="28"/>
        </w:rPr>
        <w:t xml:space="preserve"> - вещества, которые разрушают эритроциты (красные кровяные клетки), вы</w:t>
      </w:r>
      <w:r w:rsidR="001E5600">
        <w:rPr>
          <w:sz w:val="28"/>
        </w:rPr>
        <w:t>зывая высвобождение гемоглобина</w:t>
      </w:r>
      <w:r w:rsidR="00121CC7">
        <w:rPr>
          <w:sz w:val="28"/>
        </w:rPr>
        <w:t>.</w:t>
      </w:r>
    </w:p>
    <w:p w:rsidR="00790841" w:rsidRPr="00541107" w:rsidRDefault="00790841" w:rsidP="00121CC7">
      <w:pPr>
        <w:ind w:firstLine="709"/>
        <w:rPr>
          <w:sz w:val="28"/>
        </w:rPr>
      </w:pPr>
      <w:r w:rsidRPr="009F1B2C">
        <w:rPr>
          <w:b/>
          <w:sz w:val="28"/>
        </w:rPr>
        <w:t>Ген</w:t>
      </w:r>
      <w:r w:rsidRPr="00541107">
        <w:rPr>
          <w:sz w:val="28"/>
        </w:rPr>
        <w:t xml:space="preserve"> - участок молекулы ДНК, который кодирует информацию о строе</w:t>
      </w:r>
      <w:r w:rsidR="001E5600">
        <w:rPr>
          <w:sz w:val="28"/>
        </w:rPr>
        <w:t>нии определенного белка или РНК</w:t>
      </w:r>
      <w:r w:rsidR="00121CC7">
        <w:rPr>
          <w:sz w:val="28"/>
        </w:rPr>
        <w:t>.</w:t>
      </w:r>
    </w:p>
    <w:p w:rsidR="00790841" w:rsidRPr="00541107" w:rsidRDefault="00790841" w:rsidP="00121CC7">
      <w:pPr>
        <w:ind w:firstLine="709"/>
        <w:rPr>
          <w:sz w:val="28"/>
        </w:rPr>
      </w:pPr>
      <w:r>
        <w:rPr>
          <w:b/>
          <w:sz w:val="28"/>
        </w:rPr>
        <w:t>Г</w:t>
      </w:r>
      <w:r w:rsidRPr="009F1B2C">
        <w:rPr>
          <w:b/>
          <w:sz w:val="28"/>
        </w:rPr>
        <w:t>енетическая последовательность</w:t>
      </w:r>
      <w:r w:rsidRPr="00541107">
        <w:rPr>
          <w:sz w:val="28"/>
        </w:rPr>
        <w:t xml:space="preserve"> - порядок нуклеотидов в молекуле ДНК или РНК, который определяет ге</w:t>
      </w:r>
      <w:r w:rsidR="001E5600">
        <w:rPr>
          <w:sz w:val="28"/>
        </w:rPr>
        <w:t>нетическую информацию организма</w:t>
      </w:r>
      <w:r w:rsidR="00121CC7">
        <w:rPr>
          <w:sz w:val="28"/>
        </w:rPr>
        <w:t>.</w:t>
      </w:r>
    </w:p>
    <w:p w:rsidR="00790841" w:rsidRPr="00541107" w:rsidRDefault="00790841" w:rsidP="00121CC7">
      <w:pPr>
        <w:ind w:firstLine="709"/>
        <w:rPr>
          <w:sz w:val="28"/>
        </w:rPr>
      </w:pPr>
      <w:r w:rsidRPr="009F1B2C">
        <w:rPr>
          <w:b/>
          <w:sz w:val="28"/>
        </w:rPr>
        <w:t>Гиалуронидаза</w:t>
      </w:r>
      <w:r w:rsidRPr="00541107">
        <w:rPr>
          <w:sz w:val="28"/>
        </w:rPr>
        <w:t xml:space="preserve"> (или гиалуронат-лиаза) –</w:t>
      </w:r>
      <w:r>
        <w:rPr>
          <w:sz w:val="28"/>
        </w:rPr>
        <w:t xml:space="preserve"> </w:t>
      </w:r>
      <w:r w:rsidRPr="00541107">
        <w:rPr>
          <w:sz w:val="28"/>
        </w:rPr>
        <w:t>фермент, который расщепляет гиалуроновую кислоту, важный</w:t>
      </w:r>
      <w:r w:rsidR="001E5600">
        <w:rPr>
          <w:sz w:val="28"/>
        </w:rPr>
        <w:t xml:space="preserve"> компонент соединительной ткани</w:t>
      </w:r>
      <w:r w:rsidR="00121CC7">
        <w:rPr>
          <w:sz w:val="28"/>
        </w:rPr>
        <w:t>.</w:t>
      </w:r>
    </w:p>
    <w:p w:rsidR="00790841" w:rsidRPr="00541107" w:rsidRDefault="00790841" w:rsidP="00121CC7">
      <w:pPr>
        <w:ind w:firstLine="709"/>
        <w:rPr>
          <w:sz w:val="28"/>
        </w:rPr>
      </w:pPr>
      <w:r w:rsidRPr="009F1B2C">
        <w:rPr>
          <w:b/>
          <w:sz w:val="28"/>
        </w:rPr>
        <w:t>Дезоксирибонуклеаза</w:t>
      </w:r>
      <w:r w:rsidRPr="00541107">
        <w:rPr>
          <w:sz w:val="28"/>
        </w:rPr>
        <w:t xml:space="preserve"> (или ДНКаза) —</w:t>
      </w:r>
      <w:r>
        <w:rPr>
          <w:sz w:val="28"/>
        </w:rPr>
        <w:t xml:space="preserve"> </w:t>
      </w:r>
      <w:r w:rsidRPr="00541107">
        <w:rPr>
          <w:sz w:val="28"/>
        </w:rPr>
        <w:t>фермент, который катализирует гидролиз фосфод</w:t>
      </w:r>
      <w:r w:rsidR="001E5600">
        <w:rPr>
          <w:sz w:val="28"/>
        </w:rPr>
        <w:t>иэфирных связей в молекулах ДНК</w:t>
      </w:r>
      <w:r w:rsidR="00121CC7">
        <w:rPr>
          <w:sz w:val="28"/>
        </w:rPr>
        <w:t>.</w:t>
      </w:r>
    </w:p>
    <w:p w:rsidR="00790841" w:rsidRPr="00541107" w:rsidRDefault="00790841" w:rsidP="00121CC7">
      <w:pPr>
        <w:ind w:firstLine="709"/>
        <w:rPr>
          <w:sz w:val="28"/>
        </w:rPr>
      </w:pPr>
      <w:r w:rsidRPr="009F1B2C">
        <w:rPr>
          <w:b/>
          <w:sz w:val="28"/>
        </w:rPr>
        <w:t>Зонд</w:t>
      </w:r>
      <w:r w:rsidRPr="00541107">
        <w:rPr>
          <w:sz w:val="28"/>
        </w:rPr>
        <w:t xml:space="preserve"> - короткая, одноцепочечная последовательность нуклеотидов (ДНК или РНК), которая используется для выявления присутствия комплементарной последовательности в образце нуклеи</w:t>
      </w:r>
      <w:r w:rsidR="001E5600">
        <w:rPr>
          <w:sz w:val="28"/>
        </w:rPr>
        <w:t>новой кислоты</w:t>
      </w:r>
      <w:r w:rsidR="00121CC7">
        <w:rPr>
          <w:sz w:val="28"/>
        </w:rPr>
        <w:t>.</w:t>
      </w:r>
    </w:p>
    <w:p w:rsidR="00790841" w:rsidRPr="00541107" w:rsidRDefault="00790841" w:rsidP="00121CC7">
      <w:pPr>
        <w:ind w:firstLine="709"/>
        <w:rPr>
          <w:sz w:val="28"/>
        </w:rPr>
      </w:pPr>
      <w:r w:rsidRPr="009F1B2C">
        <w:rPr>
          <w:b/>
          <w:sz w:val="28"/>
        </w:rPr>
        <w:t>Интоксикация</w:t>
      </w:r>
      <w:r w:rsidRPr="00541107">
        <w:rPr>
          <w:sz w:val="28"/>
        </w:rPr>
        <w:t xml:space="preserve"> - состояние, при котором в организм попадают вредные </w:t>
      </w:r>
      <w:r w:rsidR="001E5600">
        <w:rPr>
          <w:sz w:val="28"/>
        </w:rPr>
        <w:t>вещества, вызывающие отравление</w:t>
      </w:r>
      <w:r w:rsidR="00121CC7">
        <w:rPr>
          <w:sz w:val="28"/>
        </w:rPr>
        <w:t>.</w:t>
      </w:r>
    </w:p>
    <w:p w:rsidR="00790841" w:rsidRPr="00541107" w:rsidRDefault="00790841" w:rsidP="00121CC7">
      <w:pPr>
        <w:ind w:firstLine="709"/>
        <w:rPr>
          <w:sz w:val="28"/>
        </w:rPr>
      </w:pPr>
      <w:r w:rsidRPr="009F1B2C">
        <w:rPr>
          <w:b/>
          <w:sz w:val="28"/>
        </w:rPr>
        <w:t xml:space="preserve">Коагулаза </w:t>
      </w:r>
      <w:r w:rsidRPr="00541107">
        <w:rPr>
          <w:sz w:val="28"/>
        </w:rPr>
        <w:t xml:space="preserve">- фермент, продуцируемый некоторыми бактериями </w:t>
      </w:r>
      <w:r w:rsidRPr="00AE0408">
        <w:rPr>
          <w:i/>
          <w:sz w:val="28"/>
        </w:rPr>
        <w:t>Staphylococcus</w:t>
      </w:r>
      <w:r w:rsidRPr="00541107">
        <w:rPr>
          <w:sz w:val="28"/>
        </w:rPr>
        <w:t xml:space="preserve"> </w:t>
      </w:r>
      <w:r w:rsidRPr="00AE0408">
        <w:rPr>
          <w:i/>
          <w:sz w:val="28"/>
        </w:rPr>
        <w:t>aureus</w:t>
      </w:r>
      <w:r w:rsidRPr="00541107">
        <w:rPr>
          <w:sz w:val="28"/>
        </w:rPr>
        <w:t>, который</w:t>
      </w:r>
      <w:r w:rsidR="001E5600">
        <w:rPr>
          <w:sz w:val="28"/>
        </w:rPr>
        <w:t xml:space="preserve"> способствует свертыванию крови</w:t>
      </w:r>
      <w:r w:rsidR="00121CC7">
        <w:rPr>
          <w:sz w:val="28"/>
        </w:rPr>
        <w:t>.</w:t>
      </w:r>
    </w:p>
    <w:p w:rsidR="00790841" w:rsidRPr="00541107" w:rsidRDefault="00790841" w:rsidP="00121CC7">
      <w:pPr>
        <w:ind w:firstLine="709"/>
        <w:rPr>
          <w:sz w:val="28"/>
        </w:rPr>
      </w:pPr>
      <w:r w:rsidRPr="009F1B2C">
        <w:rPr>
          <w:b/>
          <w:sz w:val="28"/>
        </w:rPr>
        <w:t>Липаза</w:t>
      </w:r>
      <w:r w:rsidRPr="00541107">
        <w:rPr>
          <w:sz w:val="28"/>
        </w:rPr>
        <w:t xml:space="preserve"> - фермент, который катализирует гидролиз жиров (липидов) до своб</w:t>
      </w:r>
      <w:r w:rsidR="001E5600">
        <w:rPr>
          <w:sz w:val="28"/>
        </w:rPr>
        <w:t>одных жирных кислот и глицерина</w:t>
      </w:r>
      <w:r w:rsidR="00121CC7">
        <w:rPr>
          <w:sz w:val="28"/>
        </w:rPr>
        <w:t>.</w:t>
      </w:r>
    </w:p>
    <w:p w:rsidR="00790841" w:rsidRPr="00541107" w:rsidRDefault="00790841" w:rsidP="00121CC7">
      <w:pPr>
        <w:ind w:firstLine="709"/>
        <w:rPr>
          <w:sz w:val="28"/>
        </w:rPr>
      </w:pPr>
      <w:r w:rsidRPr="009F1B2C">
        <w:rPr>
          <w:b/>
          <w:sz w:val="28"/>
        </w:rPr>
        <w:t>Мастит</w:t>
      </w:r>
      <w:r w:rsidRPr="00541107">
        <w:rPr>
          <w:sz w:val="28"/>
        </w:rPr>
        <w:t xml:space="preserve"> </w:t>
      </w:r>
      <w:r w:rsidR="001E5600">
        <w:rPr>
          <w:sz w:val="28"/>
        </w:rPr>
        <w:t>- воспаление молочной железы</w:t>
      </w:r>
      <w:r w:rsidR="00121CC7">
        <w:rPr>
          <w:sz w:val="28"/>
        </w:rPr>
        <w:t>.</w:t>
      </w:r>
    </w:p>
    <w:p w:rsidR="00790841" w:rsidRPr="00541107" w:rsidRDefault="00790841" w:rsidP="00121CC7">
      <w:pPr>
        <w:ind w:firstLine="709"/>
        <w:rPr>
          <w:sz w:val="28"/>
        </w:rPr>
      </w:pPr>
      <w:r w:rsidRPr="009F1B2C">
        <w:rPr>
          <w:b/>
          <w:sz w:val="28"/>
        </w:rPr>
        <w:t>Мишени</w:t>
      </w:r>
      <w:r w:rsidRPr="00541107">
        <w:rPr>
          <w:sz w:val="28"/>
        </w:rPr>
        <w:t xml:space="preserve"> - специфические участки ДНК, которые могут быть целенаправленно изменены или манипулированы для дост</w:t>
      </w:r>
      <w:r w:rsidR="001E5600">
        <w:rPr>
          <w:sz w:val="28"/>
        </w:rPr>
        <w:t>ижения определенных результатов</w:t>
      </w:r>
      <w:r w:rsidR="00121CC7">
        <w:rPr>
          <w:sz w:val="28"/>
        </w:rPr>
        <w:t>.</w:t>
      </w:r>
    </w:p>
    <w:p w:rsidR="00790841" w:rsidRDefault="00790841" w:rsidP="00121CC7">
      <w:pPr>
        <w:ind w:firstLine="709"/>
        <w:rPr>
          <w:sz w:val="28"/>
        </w:rPr>
      </w:pPr>
      <w:r w:rsidRPr="009F1B2C">
        <w:rPr>
          <w:b/>
          <w:sz w:val="28"/>
        </w:rPr>
        <w:t>Мультилокусное секвенирование (MLST)</w:t>
      </w:r>
      <w:r w:rsidRPr="00541107">
        <w:rPr>
          <w:sz w:val="28"/>
        </w:rPr>
        <w:t xml:space="preserve"> - мощный метод генотипирования и дифференциации штаммов </w:t>
      </w:r>
      <w:r w:rsidRPr="007A7888">
        <w:rPr>
          <w:i/>
          <w:sz w:val="28"/>
        </w:rPr>
        <w:t>S. aureus</w:t>
      </w:r>
      <w:r w:rsidRPr="00541107">
        <w:rPr>
          <w:sz w:val="28"/>
        </w:rPr>
        <w:t>, использующий последовательности внутренних областей из неско</w:t>
      </w:r>
      <w:r w:rsidR="001E5600">
        <w:rPr>
          <w:sz w:val="28"/>
        </w:rPr>
        <w:t>льких генов домашнего хозяйства</w:t>
      </w:r>
      <w:r w:rsidR="00121CC7">
        <w:rPr>
          <w:sz w:val="28"/>
        </w:rPr>
        <w:t>.</w:t>
      </w:r>
    </w:p>
    <w:p w:rsidR="00790841" w:rsidRPr="00541107" w:rsidRDefault="00790841" w:rsidP="00121CC7">
      <w:pPr>
        <w:ind w:firstLine="709"/>
        <w:rPr>
          <w:sz w:val="28"/>
        </w:rPr>
      </w:pPr>
      <w:r w:rsidRPr="009F1B2C">
        <w:rPr>
          <w:b/>
          <w:sz w:val="28"/>
        </w:rPr>
        <w:t>Мультиплексная</w:t>
      </w:r>
      <w:r w:rsidRPr="00541107">
        <w:rPr>
          <w:sz w:val="28"/>
        </w:rPr>
        <w:t xml:space="preserve"> (мультипраймерная) ПЦР - метод молекулярного анализа, который позволяет одновременно детектировать несколько целевых последов</w:t>
      </w:r>
      <w:r w:rsidR="001E5600">
        <w:rPr>
          <w:sz w:val="28"/>
        </w:rPr>
        <w:t>ательностей ДНК в одном образце</w:t>
      </w:r>
      <w:r w:rsidR="00121CC7">
        <w:rPr>
          <w:sz w:val="28"/>
        </w:rPr>
        <w:t>.</w:t>
      </w:r>
    </w:p>
    <w:p w:rsidR="00790841" w:rsidRPr="00541107" w:rsidRDefault="00790841" w:rsidP="00121CC7">
      <w:pPr>
        <w:ind w:firstLine="709"/>
        <w:rPr>
          <w:sz w:val="28"/>
        </w:rPr>
      </w:pPr>
      <w:r w:rsidRPr="009F1B2C">
        <w:rPr>
          <w:b/>
          <w:sz w:val="28"/>
        </w:rPr>
        <w:lastRenderedPageBreak/>
        <w:t>Олигонуклеотид</w:t>
      </w:r>
      <w:r w:rsidRPr="00541107">
        <w:rPr>
          <w:sz w:val="28"/>
        </w:rPr>
        <w:t xml:space="preserve"> - короткая последовательность нуклеотидов, обычно состоящая</w:t>
      </w:r>
      <w:r w:rsidR="001E5600">
        <w:rPr>
          <w:sz w:val="28"/>
        </w:rPr>
        <w:t xml:space="preserve"> из 20-30 нуклеотидных остатков</w:t>
      </w:r>
      <w:r w:rsidR="00121CC7">
        <w:rPr>
          <w:sz w:val="28"/>
        </w:rPr>
        <w:t>.</w:t>
      </w:r>
    </w:p>
    <w:p w:rsidR="00790841" w:rsidRPr="00541107" w:rsidRDefault="00790841" w:rsidP="00121CC7">
      <w:pPr>
        <w:ind w:firstLine="709"/>
        <w:rPr>
          <w:sz w:val="28"/>
        </w:rPr>
      </w:pPr>
      <w:r w:rsidRPr="009F1B2C">
        <w:rPr>
          <w:b/>
          <w:sz w:val="28"/>
        </w:rPr>
        <w:t>Патоген</w:t>
      </w:r>
      <w:r w:rsidRPr="00541107">
        <w:rPr>
          <w:sz w:val="28"/>
        </w:rPr>
        <w:t xml:space="preserve"> - микроорганизм (бактерия, вирус, гриб или паразит), который способен вызывать заболевание у своего хозяина.</w:t>
      </w:r>
    </w:p>
    <w:p w:rsidR="00790841" w:rsidRPr="00541107" w:rsidRDefault="00790841" w:rsidP="00121CC7">
      <w:pPr>
        <w:ind w:firstLine="709"/>
        <w:rPr>
          <w:sz w:val="28"/>
        </w:rPr>
      </w:pPr>
      <w:r w:rsidRPr="009F1B2C">
        <w:rPr>
          <w:b/>
          <w:sz w:val="28"/>
        </w:rPr>
        <w:t>Праймер</w:t>
      </w:r>
      <w:r w:rsidRPr="00541107">
        <w:rPr>
          <w:sz w:val="28"/>
        </w:rPr>
        <w:t xml:space="preserve"> - короткая последовательность нуклеотидов, которая служит начальной точкой для синтеза новой цепи ДНК или РНК в проце</w:t>
      </w:r>
      <w:r w:rsidR="001E5600">
        <w:rPr>
          <w:sz w:val="28"/>
        </w:rPr>
        <w:t>ссе репликации или амплификации</w:t>
      </w:r>
      <w:r w:rsidR="00121CC7">
        <w:rPr>
          <w:sz w:val="28"/>
        </w:rPr>
        <w:t>.</w:t>
      </w:r>
    </w:p>
    <w:p w:rsidR="00790841" w:rsidRPr="00541107" w:rsidRDefault="00790841" w:rsidP="00121CC7">
      <w:pPr>
        <w:ind w:firstLine="709"/>
        <w:rPr>
          <w:sz w:val="28"/>
        </w:rPr>
      </w:pPr>
      <w:r w:rsidRPr="009F1B2C">
        <w:rPr>
          <w:b/>
          <w:sz w:val="28"/>
        </w:rPr>
        <w:t>Резистентность</w:t>
      </w:r>
      <w:r w:rsidRPr="00541107">
        <w:rPr>
          <w:sz w:val="28"/>
        </w:rPr>
        <w:t xml:space="preserve"> - способность организма или клетки противостоять воздействию вредных факторов, таких как инфекции, лек</w:t>
      </w:r>
      <w:r w:rsidR="001E5600">
        <w:rPr>
          <w:sz w:val="28"/>
        </w:rPr>
        <w:t>арства или токсические вещества</w:t>
      </w:r>
      <w:r w:rsidR="00121CC7">
        <w:rPr>
          <w:sz w:val="28"/>
        </w:rPr>
        <w:t>.</w:t>
      </w:r>
    </w:p>
    <w:p w:rsidR="001E5600" w:rsidRPr="00541107" w:rsidRDefault="001E5600" w:rsidP="00121CC7">
      <w:pPr>
        <w:ind w:firstLine="709"/>
        <w:rPr>
          <w:sz w:val="28"/>
        </w:rPr>
      </w:pPr>
      <w:r w:rsidRPr="009F1B2C">
        <w:rPr>
          <w:b/>
          <w:sz w:val="28"/>
        </w:rPr>
        <w:t>Устойчивость</w:t>
      </w:r>
      <w:r w:rsidRPr="00541107">
        <w:rPr>
          <w:sz w:val="28"/>
        </w:rPr>
        <w:t xml:space="preserve"> - способность организма, клетки или системы противостоять воздействию негативных фа</w:t>
      </w:r>
      <w:r>
        <w:rPr>
          <w:sz w:val="28"/>
        </w:rPr>
        <w:t>кторов и сохранять свою функцию</w:t>
      </w:r>
      <w:r w:rsidR="00121CC7">
        <w:rPr>
          <w:sz w:val="28"/>
        </w:rPr>
        <w:t>.</w:t>
      </w:r>
    </w:p>
    <w:p w:rsidR="001E5600" w:rsidRPr="00541107" w:rsidRDefault="001E5600" w:rsidP="00121CC7">
      <w:pPr>
        <w:ind w:firstLine="709"/>
        <w:rPr>
          <w:sz w:val="28"/>
        </w:rPr>
      </w:pPr>
      <w:r w:rsidRPr="009F1B2C">
        <w:rPr>
          <w:b/>
          <w:sz w:val="28"/>
        </w:rPr>
        <w:t>Цитотоксины</w:t>
      </w:r>
      <w:r w:rsidRPr="00541107">
        <w:rPr>
          <w:sz w:val="28"/>
        </w:rPr>
        <w:t xml:space="preserve"> - токсичные вещества, которые выделяются клетками в ответ на различные раздражители, такие как бактерии, </w:t>
      </w:r>
      <w:r>
        <w:rPr>
          <w:sz w:val="28"/>
        </w:rPr>
        <w:t>вирусы, токсины и другие агенты</w:t>
      </w:r>
      <w:r w:rsidR="00121CC7">
        <w:rPr>
          <w:sz w:val="28"/>
        </w:rPr>
        <w:t>.</w:t>
      </w:r>
    </w:p>
    <w:p w:rsidR="00790841" w:rsidRPr="00541107" w:rsidRDefault="00790841" w:rsidP="00121CC7">
      <w:pPr>
        <w:ind w:firstLine="709"/>
        <w:rPr>
          <w:sz w:val="28"/>
        </w:rPr>
      </w:pPr>
      <w:r w:rsidRPr="009F1B2C">
        <w:rPr>
          <w:b/>
          <w:sz w:val="28"/>
        </w:rPr>
        <w:t>Экспрессия</w:t>
      </w:r>
      <w:r w:rsidRPr="00541107">
        <w:rPr>
          <w:sz w:val="28"/>
        </w:rPr>
        <w:t xml:space="preserve"> - процесс, посредством которого информация, закодированная в гене, используется для синтеза функционального про</w:t>
      </w:r>
      <w:r w:rsidR="001E5600">
        <w:rPr>
          <w:sz w:val="28"/>
        </w:rPr>
        <w:t>дукта, такого как белок или РНК</w:t>
      </w:r>
      <w:r w:rsidR="00121CC7">
        <w:rPr>
          <w:sz w:val="28"/>
        </w:rPr>
        <w:t>.</w:t>
      </w:r>
    </w:p>
    <w:p w:rsidR="00790841" w:rsidRPr="00541107" w:rsidRDefault="00790841" w:rsidP="00121CC7">
      <w:pPr>
        <w:ind w:firstLine="709"/>
        <w:rPr>
          <w:sz w:val="28"/>
        </w:rPr>
      </w:pPr>
      <w:r w:rsidRPr="009F1B2C">
        <w:rPr>
          <w:b/>
          <w:sz w:val="28"/>
        </w:rPr>
        <w:t>Эксфолиативные токсины</w:t>
      </w:r>
      <w:r w:rsidRPr="00541107">
        <w:rPr>
          <w:sz w:val="28"/>
        </w:rPr>
        <w:t xml:space="preserve"> - вещества, которые вызывают повреждение кожи, приводя к её отш</w:t>
      </w:r>
      <w:r w:rsidR="001E5600">
        <w:rPr>
          <w:sz w:val="28"/>
        </w:rPr>
        <w:t>елушиванию и образованию трещин</w:t>
      </w:r>
      <w:r w:rsidR="00121CC7">
        <w:rPr>
          <w:sz w:val="28"/>
        </w:rPr>
        <w:t>.</w:t>
      </w:r>
    </w:p>
    <w:p w:rsidR="001E5600" w:rsidRPr="00541107" w:rsidRDefault="001E5600" w:rsidP="00121CC7">
      <w:pPr>
        <w:ind w:firstLine="709"/>
        <w:rPr>
          <w:sz w:val="28"/>
        </w:rPr>
      </w:pPr>
      <w:r w:rsidRPr="009F1B2C">
        <w:rPr>
          <w:b/>
          <w:sz w:val="28"/>
        </w:rPr>
        <w:t>Энтеротоксин</w:t>
      </w:r>
      <w:r w:rsidRPr="00541107">
        <w:rPr>
          <w:sz w:val="28"/>
        </w:rPr>
        <w:t xml:space="preserve"> - токсины, выделяемые некоторыми бактериями, такими как стафилококки и энтерококки, которые специфически воздействуют на клетки кишечника</w:t>
      </w:r>
      <w:r w:rsidR="00121CC7">
        <w:rPr>
          <w:sz w:val="28"/>
        </w:rPr>
        <w:t>.</w:t>
      </w: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541107" w:rsidRDefault="00541107" w:rsidP="00541107">
      <w:pPr>
        <w:rPr>
          <w:sz w:val="28"/>
        </w:rPr>
      </w:pPr>
    </w:p>
    <w:p w:rsidR="00AE0408" w:rsidRDefault="00AE0408" w:rsidP="00541107">
      <w:pPr>
        <w:rPr>
          <w:sz w:val="28"/>
        </w:rPr>
      </w:pPr>
    </w:p>
    <w:p w:rsidR="00AE0408" w:rsidRDefault="00AE0408" w:rsidP="00541107">
      <w:pPr>
        <w:rPr>
          <w:sz w:val="28"/>
        </w:rPr>
      </w:pPr>
    </w:p>
    <w:p w:rsidR="009F1B2C" w:rsidRDefault="009F1B2C" w:rsidP="00541107">
      <w:pPr>
        <w:rPr>
          <w:sz w:val="28"/>
        </w:rPr>
      </w:pPr>
    </w:p>
    <w:p w:rsidR="00AE0408" w:rsidRDefault="00AE0408" w:rsidP="00541107">
      <w:pPr>
        <w:rPr>
          <w:sz w:val="28"/>
        </w:rPr>
      </w:pPr>
    </w:p>
    <w:p w:rsidR="00405C81" w:rsidRDefault="001E5600" w:rsidP="00AE0408">
      <w:pPr>
        <w:jc w:val="center"/>
        <w:rPr>
          <w:b/>
          <w:sz w:val="28"/>
        </w:rPr>
      </w:pPr>
      <w:r w:rsidRPr="001E5600">
        <w:rPr>
          <w:b/>
          <w:sz w:val="28"/>
        </w:rPr>
        <w:t>ПЕРЕЧЕНЬ СОКРАЩЕНИЙ И ОБОЗНАЧЕНИЙ</w:t>
      </w:r>
    </w:p>
    <w:p w:rsidR="001E5600" w:rsidRPr="00AE0408" w:rsidRDefault="001E5600" w:rsidP="00AE0408">
      <w:pPr>
        <w:jc w:val="center"/>
        <w:rPr>
          <w:b/>
          <w:sz w:val="28"/>
        </w:rPr>
      </w:pPr>
    </w:p>
    <w:p w:rsidR="00AE0408" w:rsidRDefault="001E5600" w:rsidP="00121CC7">
      <w:pPr>
        <w:ind w:firstLine="709"/>
        <w:rPr>
          <w:sz w:val="28"/>
        </w:rPr>
      </w:pPr>
      <w:r w:rsidRPr="001E5600">
        <w:rPr>
          <w:sz w:val="28"/>
        </w:rPr>
        <w:lastRenderedPageBreak/>
        <w:t xml:space="preserve">В настоящем диссертационном исследовании используются следующие </w:t>
      </w:r>
      <w:r w:rsidR="00AE0408" w:rsidRPr="00541107">
        <w:rPr>
          <w:sz w:val="28"/>
        </w:rPr>
        <w:t>следующие</w:t>
      </w:r>
      <w:r w:rsidR="00AE0408">
        <w:rPr>
          <w:sz w:val="28"/>
        </w:rPr>
        <w:t xml:space="preserve"> сокращения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4"/>
        <w:gridCol w:w="7331"/>
      </w:tblGrid>
      <w:tr w:rsidR="00E4028D" w:rsidRPr="00120E35" w:rsidTr="00D70A55">
        <w:tc>
          <w:tcPr>
            <w:tcW w:w="2014" w:type="dxa"/>
          </w:tcPr>
          <w:p w:rsidR="00E4028D" w:rsidRPr="00120E35" w:rsidRDefault="007A7888" w:rsidP="00120E35">
            <w:pPr>
              <w:rPr>
                <w:rFonts w:cs="Times New Roman"/>
                <w:sz w:val="28"/>
                <w:szCs w:val="28"/>
              </w:rPr>
            </w:pPr>
            <w:r w:rsidRPr="007A7888">
              <w:rPr>
                <w:rFonts w:cs="Times New Roman"/>
                <w:i/>
                <w:sz w:val="28"/>
                <w:szCs w:val="28"/>
              </w:rPr>
              <w:t>S. aureus</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xml:space="preserve">- </w:t>
            </w:r>
            <w:r w:rsidR="00AE0408" w:rsidRPr="00AE0408">
              <w:rPr>
                <w:rFonts w:cs="Times New Roman"/>
                <w:i/>
                <w:sz w:val="28"/>
                <w:szCs w:val="28"/>
              </w:rPr>
              <w:t>Staphylococcus</w:t>
            </w:r>
            <w:r w:rsidRPr="00120E35">
              <w:rPr>
                <w:rFonts w:cs="Times New Roman"/>
                <w:sz w:val="28"/>
                <w:szCs w:val="28"/>
              </w:rPr>
              <w:t xml:space="preserve"> </w:t>
            </w:r>
            <w:r w:rsidR="00AE0408" w:rsidRPr="00AE0408">
              <w:rPr>
                <w:rFonts w:cs="Times New Roman"/>
                <w:i/>
                <w:sz w:val="28"/>
                <w:szCs w:val="28"/>
              </w:rPr>
              <w:t>aureus</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α-токсин</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альфа-токсин</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ПВЛ</w:t>
            </w:r>
          </w:p>
        </w:tc>
        <w:tc>
          <w:tcPr>
            <w:tcW w:w="7331" w:type="dxa"/>
            <w:tcBorders>
              <w:left w:val="nil"/>
            </w:tcBorders>
          </w:tcPr>
          <w:p w:rsidR="00E4028D" w:rsidRPr="00120E35" w:rsidRDefault="00E4028D" w:rsidP="00132C71">
            <w:pPr>
              <w:rPr>
                <w:rFonts w:cs="Times New Roman"/>
                <w:sz w:val="28"/>
                <w:szCs w:val="28"/>
              </w:rPr>
            </w:pPr>
            <w:r w:rsidRPr="00120E35">
              <w:rPr>
                <w:rFonts w:cs="Times New Roman"/>
                <w:sz w:val="28"/>
                <w:szCs w:val="28"/>
              </w:rPr>
              <w:t xml:space="preserve">- Пантон-Валентайн </w:t>
            </w:r>
            <w:r w:rsidR="00132C71">
              <w:rPr>
                <w:rFonts w:cs="Times New Roman"/>
                <w:sz w:val="28"/>
                <w:szCs w:val="28"/>
              </w:rPr>
              <w:t>л</w:t>
            </w:r>
            <w:r w:rsidRPr="00120E35">
              <w:rPr>
                <w:rFonts w:cs="Times New Roman"/>
                <w:sz w:val="28"/>
                <w:szCs w:val="28"/>
              </w:rPr>
              <w:t>ейкоцидин</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PVL</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Panton-Valentine Leukocidin</w:t>
            </w:r>
          </w:p>
        </w:tc>
      </w:tr>
      <w:tr w:rsidR="00E4028D" w:rsidRPr="00B62038"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MRSA</w:t>
            </w:r>
          </w:p>
        </w:tc>
        <w:tc>
          <w:tcPr>
            <w:tcW w:w="7331" w:type="dxa"/>
            <w:tcBorders>
              <w:left w:val="nil"/>
            </w:tcBorders>
          </w:tcPr>
          <w:p w:rsidR="00E4028D" w:rsidRPr="00193E25" w:rsidRDefault="00E4028D" w:rsidP="00120E35">
            <w:pPr>
              <w:rPr>
                <w:rFonts w:cs="Times New Roman"/>
                <w:sz w:val="28"/>
                <w:szCs w:val="28"/>
                <w:lang w:val="en-US"/>
              </w:rPr>
            </w:pPr>
            <w:r w:rsidRPr="00193E25">
              <w:rPr>
                <w:rFonts w:cs="Times New Roman"/>
                <w:sz w:val="28"/>
                <w:szCs w:val="28"/>
                <w:lang w:val="en-US"/>
              </w:rPr>
              <w:t xml:space="preserve">- Methicillin-resistant </w:t>
            </w:r>
            <w:r w:rsidR="00AE0408" w:rsidRPr="00AE0408">
              <w:rPr>
                <w:rFonts w:cs="Times New Roman"/>
                <w:i/>
                <w:sz w:val="28"/>
                <w:szCs w:val="28"/>
                <w:lang w:val="en-US"/>
              </w:rPr>
              <w:t>Staphylococcus</w:t>
            </w:r>
            <w:r w:rsidRPr="00193E25">
              <w:rPr>
                <w:rFonts w:cs="Times New Roman"/>
                <w:sz w:val="28"/>
                <w:szCs w:val="28"/>
                <w:lang w:val="en-US"/>
              </w:rPr>
              <w:t xml:space="preserve"> </w:t>
            </w:r>
            <w:r w:rsidR="00AE0408" w:rsidRPr="00AE0408">
              <w:rPr>
                <w:rFonts w:cs="Times New Roman"/>
                <w:i/>
                <w:sz w:val="28"/>
                <w:szCs w:val="28"/>
                <w:lang w:val="en-US"/>
              </w:rPr>
              <w:t>aureus</w:t>
            </w:r>
            <w:r w:rsidRPr="00193E25">
              <w:rPr>
                <w:rFonts w:cs="Times New Roman"/>
                <w:sz w:val="28"/>
                <w:szCs w:val="28"/>
                <w:lang w:val="en-US"/>
              </w:rPr>
              <w:t xml:space="preserve"> (</w:t>
            </w:r>
            <w:r w:rsidRPr="00120E35">
              <w:rPr>
                <w:rFonts w:cs="Times New Roman"/>
                <w:sz w:val="28"/>
                <w:szCs w:val="28"/>
              </w:rPr>
              <w:t>метициллин</w:t>
            </w:r>
            <w:r w:rsidRPr="00193E25">
              <w:rPr>
                <w:rFonts w:cs="Times New Roman"/>
                <w:sz w:val="28"/>
                <w:szCs w:val="28"/>
                <w:lang w:val="en-US"/>
              </w:rPr>
              <w:t>-</w:t>
            </w:r>
            <w:r w:rsidRPr="00120E35">
              <w:rPr>
                <w:rFonts w:cs="Times New Roman"/>
                <w:sz w:val="28"/>
                <w:szCs w:val="28"/>
              </w:rPr>
              <w:t>резистентный</w:t>
            </w:r>
            <w:r w:rsidRPr="00193E25">
              <w:rPr>
                <w:rFonts w:cs="Times New Roman"/>
                <w:sz w:val="28"/>
                <w:szCs w:val="28"/>
                <w:lang w:val="en-US"/>
              </w:rPr>
              <w:t xml:space="preserve"> </w:t>
            </w:r>
            <w:r w:rsidR="007A7888" w:rsidRPr="007A7888">
              <w:rPr>
                <w:rFonts w:cs="Times New Roman"/>
                <w:i/>
                <w:sz w:val="28"/>
                <w:szCs w:val="28"/>
                <w:lang w:val="en-US"/>
              </w:rPr>
              <w:t>S. aureus</w:t>
            </w:r>
            <w:r w:rsidRPr="00193E25">
              <w:rPr>
                <w:rFonts w:cs="Times New Roman"/>
                <w:sz w:val="28"/>
                <w:szCs w:val="28"/>
                <w:lang w:val="en-US"/>
              </w:rPr>
              <w:t>)</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Белок S</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сплайновый белок</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Белок F</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фибриллярный белок</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TSST-1</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Toxic Shock Syndrome Toxin-1 (токсический шок синдром токсин-1)</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PSMs</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Phenol-Soluble Modulins (Фенол растворимые модулины)</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EDIN</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Epidermal Cell Differentiation Inhibitor (Ингибитор дифференцировки эпидермальных клеток)</w:t>
            </w:r>
          </w:p>
        </w:tc>
      </w:tr>
      <w:tr w:rsidR="00E4028D" w:rsidRPr="00B62038"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RhoA</w:t>
            </w:r>
          </w:p>
        </w:tc>
        <w:tc>
          <w:tcPr>
            <w:tcW w:w="7331" w:type="dxa"/>
            <w:tcBorders>
              <w:left w:val="nil"/>
            </w:tcBorders>
          </w:tcPr>
          <w:p w:rsidR="00E4028D" w:rsidRPr="00193E25" w:rsidRDefault="00E4028D" w:rsidP="00120E35">
            <w:pPr>
              <w:rPr>
                <w:rFonts w:cs="Times New Roman"/>
                <w:sz w:val="28"/>
                <w:szCs w:val="28"/>
                <w:lang w:val="en-US"/>
              </w:rPr>
            </w:pPr>
            <w:r w:rsidRPr="00193E25">
              <w:rPr>
                <w:rFonts w:cs="Times New Roman"/>
                <w:sz w:val="28"/>
                <w:szCs w:val="28"/>
                <w:lang w:val="en-US"/>
              </w:rPr>
              <w:t>- Ras homolog family member A (</w:t>
            </w:r>
            <w:r w:rsidRPr="00120E35">
              <w:rPr>
                <w:rFonts w:cs="Times New Roman"/>
                <w:sz w:val="28"/>
                <w:szCs w:val="28"/>
              </w:rPr>
              <w:t>гомолог</w:t>
            </w:r>
            <w:r w:rsidRPr="00193E25">
              <w:rPr>
                <w:rFonts w:cs="Times New Roman"/>
                <w:sz w:val="28"/>
                <w:szCs w:val="28"/>
                <w:lang w:val="en-US"/>
              </w:rPr>
              <w:t xml:space="preserve"> </w:t>
            </w:r>
            <w:r w:rsidRPr="00120E35">
              <w:rPr>
                <w:rFonts w:cs="Times New Roman"/>
                <w:sz w:val="28"/>
                <w:szCs w:val="28"/>
              </w:rPr>
              <w:t>семейства</w:t>
            </w:r>
            <w:r w:rsidRPr="00193E25">
              <w:rPr>
                <w:rFonts w:cs="Times New Roman"/>
                <w:sz w:val="28"/>
                <w:szCs w:val="28"/>
                <w:lang w:val="en-US"/>
              </w:rPr>
              <w:t xml:space="preserve"> Ras, </w:t>
            </w:r>
            <w:r w:rsidRPr="00120E35">
              <w:rPr>
                <w:rFonts w:cs="Times New Roman"/>
                <w:sz w:val="28"/>
                <w:szCs w:val="28"/>
              </w:rPr>
              <w:t>член</w:t>
            </w:r>
            <w:r w:rsidRPr="00193E25">
              <w:rPr>
                <w:rFonts w:cs="Times New Roman"/>
                <w:sz w:val="28"/>
                <w:szCs w:val="28"/>
                <w:lang w:val="en-US"/>
              </w:rPr>
              <w:t xml:space="preserve"> A. </w:t>
            </w:r>
            <w:r w:rsidRPr="00120E35">
              <w:rPr>
                <w:rFonts w:cs="Times New Roman"/>
                <w:sz w:val="28"/>
                <w:szCs w:val="28"/>
              </w:rPr>
              <w:t>Белок</w:t>
            </w:r>
            <w:r w:rsidRPr="00193E25">
              <w:rPr>
                <w:rFonts w:cs="Times New Roman"/>
                <w:sz w:val="28"/>
                <w:szCs w:val="28"/>
                <w:lang w:val="en-US"/>
              </w:rPr>
              <w:t xml:space="preserve"> RhoA)</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Ebselen</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синтетическое органоселеновое соединение</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ПЦР</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полимеразная цепная реакция</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ДНК</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дезоксирибонуклеиновая кислота</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Nested PCR</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Nested Polymerase Chain Reaction (вложенная полимеразная цепная реакция)</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RAPD PCR</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w:t>
            </w:r>
            <w:r w:rsidR="00860457" w:rsidRPr="00120E35">
              <w:rPr>
                <w:rFonts w:cs="Times New Roman"/>
                <w:sz w:val="28"/>
                <w:szCs w:val="28"/>
              </w:rPr>
              <w:t xml:space="preserve"> </w:t>
            </w:r>
            <w:r w:rsidRPr="00120E35">
              <w:rPr>
                <w:rFonts w:cs="Times New Roman"/>
                <w:sz w:val="28"/>
                <w:szCs w:val="28"/>
              </w:rPr>
              <w:t>Random Amplified Polymorphic DNA PCR (ПЦР случайного амплифицированного полиморфного ДНК)</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rpoB</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ген, кодирующий β-субъединицу рибосомной РНК (рРНК), которая участвует в синтезе белка</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tuf</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ген, кодирующий трансферрин, белок, необходимый для транспорта железа в клетке</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GntR</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ген, кодирующий фактор транскрипции, который регулирует метаболизм глюкозамина</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ПДРФ</w:t>
            </w:r>
          </w:p>
        </w:tc>
        <w:tc>
          <w:tcPr>
            <w:tcW w:w="7331" w:type="dxa"/>
            <w:tcBorders>
              <w:left w:val="nil"/>
            </w:tcBorders>
          </w:tcPr>
          <w:p w:rsidR="00E4028D" w:rsidRPr="00120E35" w:rsidRDefault="00E4028D" w:rsidP="00120E35">
            <w:pPr>
              <w:rPr>
                <w:rFonts w:cs="Times New Roman"/>
                <w:sz w:val="28"/>
                <w:szCs w:val="28"/>
              </w:rPr>
            </w:pPr>
            <w:r w:rsidRPr="00120E35">
              <w:rPr>
                <w:rFonts w:cs="Times New Roman"/>
                <w:sz w:val="28"/>
                <w:szCs w:val="28"/>
              </w:rPr>
              <w:t>- Полиморфизм длин рестрикционных фрагментов</w:t>
            </w:r>
          </w:p>
        </w:tc>
      </w:tr>
      <w:tr w:rsidR="00E4028D" w:rsidRPr="00120E35" w:rsidTr="00D70A55">
        <w:tc>
          <w:tcPr>
            <w:tcW w:w="2014" w:type="dxa"/>
          </w:tcPr>
          <w:p w:rsidR="00E4028D" w:rsidRPr="00120E35" w:rsidRDefault="00E4028D" w:rsidP="00120E35">
            <w:pPr>
              <w:rPr>
                <w:rFonts w:cs="Times New Roman"/>
                <w:sz w:val="28"/>
                <w:szCs w:val="28"/>
              </w:rPr>
            </w:pPr>
            <w:r w:rsidRPr="00120E35">
              <w:rPr>
                <w:rFonts w:cs="Times New Roman"/>
                <w:sz w:val="28"/>
                <w:szCs w:val="28"/>
              </w:rPr>
              <w:t>RFLP</w:t>
            </w:r>
          </w:p>
        </w:tc>
        <w:tc>
          <w:tcPr>
            <w:tcW w:w="7331" w:type="dxa"/>
            <w:tcBorders>
              <w:left w:val="nil"/>
            </w:tcBorders>
          </w:tcPr>
          <w:p w:rsidR="00E4028D" w:rsidRPr="00120E35" w:rsidRDefault="00860457" w:rsidP="00120E35">
            <w:pPr>
              <w:rPr>
                <w:rFonts w:cs="Times New Roman"/>
                <w:sz w:val="28"/>
                <w:szCs w:val="28"/>
              </w:rPr>
            </w:pPr>
            <w:r w:rsidRPr="00120E35">
              <w:rPr>
                <w:rFonts w:cs="Times New Roman"/>
                <w:sz w:val="28"/>
                <w:szCs w:val="28"/>
              </w:rPr>
              <w:t>- Restriction fragment length polymorphism</w:t>
            </w:r>
          </w:p>
        </w:tc>
      </w:tr>
      <w:tr w:rsidR="00E4028D" w:rsidRPr="00120E35" w:rsidTr="00D70A55">
        <w:tc>
          <w:tcPr>
            <w:tcW w:w="2014" w:type="dxa"/>
          </w:tcPr>
          <w:p w:rsidR="00E4028D" w:rsidRPr="00120E35" w:rsidRDefault="00860457" w:rsidP="00120E35">
            <w:pPr>
              <w:rPr>
                <w:rFonts w:cs="Times New Roman"/>
                <w:sz w:val="28"/>
                <w:szCs w:val="28"/>
              </w:rPr>
            </w:pPr>
            <w:r w:rsidRPr="00120E35">
              <w:rPr>
                <w:rFonts w:cs="Times New Roman"/>
                <w:sz w:val="28"/>
                <w:szCs w:val="28"/>
              </w:rPr>
              <w:t>DNA (RAPD)</w:t>
            </w:r>
          </w:p>
        </w:tc>
        <w:tc>
          <w:tcPr>
            <w:tcW w:w="7331" w:type="dxa"/>
            <w:tcBorders>
              <w:left w:val="nil"/>
            </w:tcBorders>
          </w:tcPr>
          <w:p w:rsidR="00E4028D" w:rsidRPr="00120E35" w:rsidRDefault="00860457" w:rsidP="00120E35">
            <w:pPr>
              <w:rPr>
                <w:rFonts w:cs="Times New Roman"/>
                <w:sz w:val="28"/>
                <w:szCs w:val="28"/>
              </w:rPr>
            </w:pPr>
            <w:r w:rsidRPr="00120E35">
              <w:rPr>
                <w:rFonts w:cs="Times New Roman"/>
                <w:sz w:val="28"/>
                <w:szCs w:val="28"/>
              </w:rPr>
              <w:t>- ПЦР со случайной амплификацией полиморфной ДНК (random amplified polymorphic DNA (RAPD)</w:t>
            </w:r>
          </w:p>
        </w:tc>
      </w:tr>
      <w:tr w:rsidR="00E4028D" w:rsidRPr="00120E35" w:rsidTr="00D70A55">
        <w:tc>
          <w:tcPr>
            <w:tcW w:w="2014" w:type="dxa"/>
          </w:tcPr>
          <w:p w:rsidR="00E4028D" w:rsidRPr="00120E35" w:rsidRDefault="00860457" w:rsidP="00120E35">
            <w:pPr>
              <w:rPr>
                <w:rFonts w:cs="Times New Roman"/>
                <w:sz w:val="28"/>
                <w:szCs w:val="28"/>
              </w:rPr>
            </w:pPr>
            <w:r w:rsidRPr="00120E35">
              <w:rPr>
                <w:rFonts w:cs="Times New Roman"/>
                <w:sz w:val="28"/>
                <w:szCs w:val="28"/>
              </w:rPr>
              <w:t>AP-PCR</w:t>
            </w:r>
          </w:p>
        </w:tc>
        <w:tc>
          <w:tcPr>
            <w:tcW w:w="7331" w:type="dxa"/>
            <w:tcBorders>
              <w:left w:val="nil"/>
            </w:tcBorders>
          </w:tcPr>
          <w:p w:rsidR="00E4028D" w:rsidRPr="00120E35" w:rsidRDefault="00860457" w:rsidP="00120E35">
            <w:pPr>
              <w:rPr>
                <w:rFonts w:cs="Times New Roman"/>
                <w:sz w:val="28"/>
                <w:szCs w:val="28"/>
              </w:rPr>
            </w:pPr>
            <w:r w:rsidRPr="00120E35">
              <w:rPr>
                <w:rFonts w:cs="Times New Roman"/>
                <w:sz w:val="28"/>
                <w:szCs w:val="28"/>
              </w:rPr>
              <w:t>- полимеразная цепная реакция с произвольным праймированием</w:t>
            </w:r>
          </w:p>
        </w:tc>
      </w:tr>
      <w:tr w:rsidR="00E4028D" w:rsidRPr="00120E35" w:rsidTr="00D70A55">
        <w:tc>
          <w:tcPr>
            <w:tcW w:w="2014" w:type="dxa"/>
          </w:tcPr>
          <w:p w:rsidR="00E4028D" w:rsidRPr="00120E35" w:rsidRDefault="00860457" w:rsidP="00120E35">
            <w:pPr>
              <w:rPr>
                <w:rFonts w:cs="Times New Roman"/>
                <w:sz w:val="28"/>
                <w:szCs w:val="28"/>
              </w:rPr>
            </w:pPr>
            <w:r w:rsidRPr="00120E35">
              <w:rPr>
                <w:rFonts w:cs="Times New Roman"/>
                <w:sz w:val="28"/>
                <w:szCs w:val="28"/>
              </w:rPr>
              <w:t>SCAR</w:t>
            </w:r>
          </w:p>
        </w:tc>
        <w:tc>
          <w:tcPr>
            <w:tcW w:w="7331" w:type="dxa"/>
            <w:tcBorders>
              <w:left w:val="nil"/>
            </w:tcBorders>
          </w:tcPr>
          <w:p w:rsidR="00E4028D" w:rsidRPr="00120E35" w:rsidRDefault="00860457" w:rsidP="00120E35">
            <w:pPr>
              <w:rPr>
                <w:rFonts w:cs="Times New Roman"/>
                <w:sz w:val="28"/>
                <w:szCs w:val="28"/>
              </w:rPr>
            </w:pPr>
            <w:r w:rsidRPr="00120E35">
              <w:rPr>
                <w:rFonts w:cs="Times New Roman"/>
                <w:sz w:val="28"/>
                <w:szCs w:val="28"/>
              </w:rPr>
              <w:t>- амплифицированная область с известной нуклеотидной последовательностью</w:t>
            </w:r>
          </w:p>
        </w:tc>
      </w:tr>
      <w:tr w:rsidR="00E4028D" w:rsidRPr="00120E35" w:rsidTr="00D70A55">
        <w:tc>
          <w:tcPr>
            <w:tcW w:w="2014" w:type="dxa"/>
          </w:tcPr>
          <w:p w:rsidR="00E4028D" w:rsidRPr="00120E35" w:rsidRDefault="00860457" w:rsidP="00120E35">
            <w:pPr>
              <w:rPr>
                <w:rFonts w:cs="Times New Roman"/>
                <w:sz w:val="28"/>
                <w:szCs w:val="28"/>
              </w:rPr>
            </w:pPr>
            <w:r w:rsidRPr="00120E35">
              <w:rPr>
                <w:rFonts w:cs="Times New Roman"/>
                <w:sz w:val="28"/>
                <w:szCs w:val="28"/>
              </w:rPr>
              <w:t>DAF</w:t>
            </w:r>
          </w:p>
        </w:tc>
        <w:tc>
          <w:tcPr>
            <w:tcW w:w="7331" w:type="dxa"/>
            <w:tcBorders>
              <w:left w:val="nil"/>
            </w:tcBorders>
          </w:tcPr>
          <w:p w:rsidR="00E4028D" w:rsidRPr="00120E35" w:rsidRDefault="00860457" w:rsidP="00120E35">
            <w:pPr>
              <w:rPr>
                <w:rFonts w:cs="Times New Roman"/>
                <w:sz w:val="28"/>
                <w:szCs w:val="28"/>
              </w:rPr>
            </w:pPr>
            <w:r w:rsidRPr="00120E35">
              <w:rPr>
                <w:rFonts w:cs="Times New Roman"/>
                <w:sz w:val="28"/>
                <w:szCs w:val="28"/>
              </w:rPr>
              <w:t>- дактилоскопия амплификации ДНК</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t>SRAP</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амплифицированный полиморфизм, связанный с последовательностью</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lastRenderedPageBreak/>
              <w:t>CAPS</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расщепленные амплифицированные полиморфные последовательности</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t>RAHM</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случайные амплифицированные микросателлиты гибридизации</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t>PFGE</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Pulsed-Field Gel Electrophoresis (импульсно-полюсный гель-электрофорез (ПФГЭ)</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t>КБ</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килобазы</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t>МБ</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мегабазы</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t>ERIC-PCR</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Entero</w:t>
            </w:r>
            <w:r w:rsidR="00AE0408" w:rsidRPr="00AE0408">
              <w:rPr>
                <w:rFonts w:cs="Times New Roman"/>
                <w:i/>
                <w:sz w:val="28"/>
                <w:szCs w:val="28"/>
              </w:rPr>
              <w:t>Bacteria</w:t>
            </w:r>
            <w:r w:rsidRPr="00120E35">
              <w:rPr>
                <w:rFonts w:cs="Times New Roman"/>
                <w:sz w:val="28"/>
                <w:szCs w:val="28"/>
              </w:rPr>
              <w:t>l Repetitive Intergenic Consensus-Polymerase Chain Reaction (Энтеробактериальная повторяющаяся межгенная консенсус-полимеразная цепная реакция)</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t>MLST (МЛСТ)</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типирование на основе мультилокусных последовательностей</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t>ST</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сиквенс-тип</w:t>
            </w:r>
          </w:p>
        </w:tc>
      </w:tr>
      <w:tr w:rsidR="00860457" w:rsidRPr="00120E35" w:rsidTr="00D70A55">
        <w:tc>
          <w:tcPr>
            <w:tcW w:w="2014" w:type="dxa"/>
          </w:tcPr>
          <w:p w:rsidR="00860457" w:rsidRPr="00120E35" w:rsidRDefault="00860457" w:rsidP="00120E35">
            <w:pPr>
              <w:rPr>
                <w:rFonts w:cs="Times New Roman"/>
                <w:sz w:val="28"/>
                <w:szCs w:val="28"/>
              </w:rPr>
            </w:pPr>
            <w:r w:rsidRPr="00120E35">
              <w:rPr>
                <w:rFonts w:cs="Times New Roman"/>
                <w:sz w:val="28"/>
                <w:szCs w:val="28"/>
              </w:rPr>
              <w:t>ESKAPE</w:t>
            </w:r>
          </w:p>
        </w:tc>
        <w:tc>
          <w:tcPr>
            <w:tcW w:w="7331" w:type="dxa"/>
            <w:tcBorders>
              <w:left w:val="nil"/>
            </w:tcBorders>
          </w:tcPr>
          <w:p w:rsidR="00860457" w:rsidRPr="00120E35" w:rsidRDefault="00860457" w:rsidP="00120E35">
            <w:pPr>
              <w:rPr>
                <w:rFonts w:cs="Times New Roman"/>
                <w:sz w:val="28"/>
                <w:szCs w:val="28"/>
              </w:rPr>
            </w:pPr>
            <w:r w:rsidRPr="00120E35">
              <w:rPr>
                <w:rFonts w:cs="Times New Roman"/>
                <w:sz w:val="28"/>
                <w:szCs w:val="28"/>
              </w:rPr>
              <w:t>- устойчивые к антибиотикам высоковирулентные патогены (</w:t>
            </w:r>
            <w:r w:rsidR="00453C72" w:rsidRPr="00453C72">
              <w:rPr>
                <w:rFonts w:cs="Times New Roman"/>
                <w:i/>
                <w:sz w:val="28"/>
                <w:szCs w:val="28"/>
              </w:rPr>
              <w:t>Enterococcus faecium</w:t>
            </w:r>
            <w:r w:rsidRPr="00120E35">
              <w:rPr>
                <w:rFonts w:cs="Times New Roman"/>
                <w:sz w:val="28"/>
                <w:szCs w:val="28"/>
              </w:rPr>
              <w:t xml:space="preserve">, </w:t>
            </w:r>
            <w:r w:rsidR="00AE0408" w:rsidRPr="00AE0408">
              <w:rPr>
                <w:rFonts w:cs="Times New Roman"/>
                <w:i/>
                <w:sz w:val="28"/>
                <w:szCs w:val="28"/>
              </w:rPr>
              <w:t>Staphylococcus</w:t>
            </w:r>
            <w:r w:rsidRPr="00120E35">
              <w:rPr>
                <w:rFonts w:cs="Times New Roman"/>
                <w:sz w:val="28"/>
                <w:szCs w:val="28"/>
              </w:rPr>
              <w:t xml:space="preserve"> </w:t>
            </w:r>
            <w:r w:rsidR="00AE0408" w:rsidRPr="00AE0408">
              <w:rPr>
                <w:rFonts w:cs="Times New Roman"/>
                <w:i/>
                <w:sz w:val="28"/>
                <w:szCs w:val="28"/>
              </w:rPr>
              <w:t>aureus</w:t>
            </w:r>
            <w:r w:rsidRPr="00120E35">
              <w:rPr>
                <w:rFonts w:cs="Times New Roman"/>
                <w:sz w:val="28"/>
                <w:szCs w:val="28"/>
              </w:rPr>
              <w:t xml:space="preserve">, </w:t>
            </w:r>
            <w:r w:rsidR="00B832C8" w:rsidRPr="00B832C8">
              <w:rPr>
                <w:rFonts w:cs="Times New Roman"/>
                <w:i/>
                <w:sz w:val="28"/>
                <w:szCs w:val="28"/>
              </w:rPr>
              <w:t>Klebsiella</w:t>
            </w:r>
            <w:r w:rsidRPr="00120E35">
              <w:rPr>
                <w:rFonts w:cs="Times New Roman"/>
                <w:sz w:val="28"/>
                <w:szCs w:val="28"/>
              </w:rPr>
              <w:t xml:space="preserve"> pneumoniae, </w:t>
            </w:r>
            <w:r w:rsidR="00E104A1" w:rsidRPr="00E104A1">
              <w:rPr>
                <w:rFonts w:cs="Times New Roman"/>
                <w:i/>
                <w:sz w:val="28"/>
                <w:szCs w:val="28"/>
              </w:rPr>
              <w:t>Acinetobacter baumannii</w:t>
            </w:r>
            <w:r w:rsidRPr="00120E35">
              <w:rPr>
                <w:rFonts w:cs="Times New Roman"/>
                <w:sz w:val="28"/>
                <w:szCs w:val="28"/>
              </w:rPr>
              <w:t xml:space="preserve">, </w:t>
            </w:r>
            <w:r w:rsidR="00E104A1" w:rsidRPr="00E104A1">
              <w:rPr>
                <w:rFonts w:cs="Times New Roman"/>
                <w:i/>
                <w:sz w:val="28"/>
                <w:szCs w:val="28"/>
              </w:rPr>
              <w:t>Pseudomonas aeruginosa</w:t>
            </w:r>
            <w:r w:rsidRPr="00120E35">
              <w:rPr>
                <w:rFonts w:cs="Times New Roman"/>
                <w:sz w:val="28"/>
                <w:szCs w:val="28"/>
              </w:rPr>
              <w:t xml:space="preserve">, </w:t>
            </w:r>
            <w:r w:rsidR="00E104A1" w:rsidRPr="00E104A1">
              <w:rPr>
                <w:rFonts w:cs="Times New Roman"/>
                <w:i/>
                <w:sz w:val="28"/>
                <w:szCs w:val="28"/>
              </w:rPr>
              <w:t>Enterobacter spp</w:t>
            </w:r>
            <w:r w:rsidRPr="00120E35">
              <w:rPr>
                <w:rFonts w:cs="Times New Roman"/>
                <w:sz w:val="28"/>
                <w:szCs w:val="28"/>
              </w:rPr>
              <w:t>.)</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ESKAPEE</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устойчивые к антибиотикам высоковирулентные патогены (</w:t>
            </w:r>
            <w:r w:rsidR="00453C72" w:rsidRPr="00453C72">
              <w:rPr>
                <w:rFonts w:cs="Times New Roman"/>
                <w:i/>
                <w:sz w:val="28"/>
                <w:szCs w:val="28"/>
              </w:rPr>
              <w:t>Enterococcus faecium</w:t>
            </w:r>
            <w:r w:rsidRPr="00120E35">
              <w:rPr>
                <w:rFonts w:cs="Times New Roman"/>
                <w:sz w:val="28"/>
                <w:szCs w:val="28"/>
              </w:rPr>
              <w:t xml:space="preserve">, </w:t>
            </w:r>
            <w:r w:rsidR="00AE0408" w:rsidRPr="00AE0408">
              <w:rPr>
                <w:rFonts w:cs="Times New Roman"/>
                <w:i/>
                <w:sz w:val="28"/>
                <w:szCs w:val="28"/>
              </w:rPr>
              <w:t>Staphylococcus</w:t>
            </w:r>
            <w:r w:rsidRPr="00120E35">
              <w:rPr>
                <w:rFonts w:cs="Times New Roman"/>
                <w:sz w:val="28"/>
                <w:szCs w:val="28"/>
              </w:rPr>
              <w:t xml:space="preserve"> </w:t>
            </w:r>
            <w:r w:rsidR="00AE0408" w:rsidRPr="00AE0408">
              <w:rPr>
                <w:rFonts w:cs="Times New Roman"/>
                <w:i/>
                <w:sz w:val="28"/>
                <w:szCs w:val="28"/>
              </w:rPr>
              <w:t>aureus</w:t>
            </w:r>
            <w:r w:rsidRPr="00120E35">
              <w:rPr>
                <w:rFonts w:cs="Times New Roman"/>
                <w:sz w:val="28"/>
                <w:szCs w:val="28"/>
              </w:rPr>
              <w:t xml:space="preserve">, </w:t>
            </w:r>
            <w:r w:rsidR="00B832C8" w:rsidRPr="00B832C8">
              <w:rPr>
                <w:rFonts w:cs="Times New Roman"/>
                <w:i/>
                <w:sz w:val="28"/>
                <w:szCs w:val="28"/>
              </w:rPr>
              <w:t>Klebsiella</w:t>
            </w:r>
            <w:r w:rsidRPr="00120E35">
              <w:rPr>
                <w:rFonts w:cs="Times New Roman"/>
                <w:sz w:val="28"/>
                <w:szCs w:val="28"/>
              </w:rPr>
              <w:t xml:space="preserve"> pneumoniae, </w:t>
            </w:r>
            <w:r w:rsidR="00E104A1" w:rsidRPr="00E104A1">
              <w:rPr>
                <w:rFonts w:cs="Times New Roman"/>
                <w:i/>
                <w:sz w:val="28"/>
                <w:szCs w:val="28"/>
              </w:rPr>
              <w:t>Acinetobacter baumannii</w:t>
            </w:r>
            <w:r w:rsidRPr="00120E35">
              <w:rPr>
                <w:rFonts w:cs="Times New Roman"/>
                <w:sz w:val="28"/>
                <w:szCs w:val="28"/>
              </w:rPr>
              <w:t xml:space="preserve">, </w:t>
            </w:r>
            <w:r w:rsidR="00E104A1" w:rsidRPr="00E104A1">
              <w:rPr>
                <w:rFonts w:cs="Times New Roman"/>
                <w:i/>
                <w:sz w:val="28"/>
                <w:szCs w:val="28"/>
              </w:rPr>
              <w:t>Pseudomonas aeruginosa</w:t>
            </w:r>
            <w:r w:rsidRPr="00120E35">
              <w:rPr>
                <w:rFonts w:cs="Times New Roman"/>
                <w:sz w:val="28"/>
                <w:szCs w:val="28"/>
              </w:rPr>
              <w:t xml:space="preserve">, </w:t>
            </w:r>
            <w:r w:rsidR="00E104A1" w:rsidRPr="00E104A1">
              <w:rPr>
                <w:rFonts w:cs="Times New Roman"/>
                <w:i/>
                <w:sz w:val="28"/>
                <w:szCs w:val="28"/>
              </w:rPr>
              <w:t>Enterobacter spp</w:t>
            </w:r>
            <w:r w:rsidRPr="00120E35">
              <w:rPr>
                <w:rFonts w:cs="Times New Roman"/>
                <w:sz w:val="28"/>
                <w:szCs w:val="28"/>
              </w:rPr>
              <w:t xml:space="preserve">., </w:t>
            </w:r>
            <w:r w:rsidR="00E104A1" w:rsidRPr="00E104A1">
              <w:rPr>
                <w:rFonts w:cs="Times New Roman"/>
                <w:i/>
                <w:sz w:val="28"/>
                <w:szCs w:val="28"/>
              </w:rPr>
              <w:t>Escherichia coli</w:t>
            </w:r>
            <w:r w:rsidRPr="00120E35">
              <w:rPr>
                <w:rFonts w:cs="Times New Roman"/>
                <w:sz w:val="28"/>
                <w:szCs w:val="28"/>
              </w:rPr>
              <w:t>)</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β-лактамаза</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фермент, который вырабатывается некоторыми бактериями и позволяет им сопротивляться действию β-лактамных антибиотиков, таких как пенициллины и цефалоспорины</w:t>
            </w:r>
          </w:p>
        </w:tc>
      </w:tr>
      <w:tr w:rsidR="003243B1" w:rsidRPr="00120E35" w:rsidTr="00D70A55">
        <w:tc>
          <w:tcPr>
            <w:tcW w:w="2014" w:type="dxa"/>
          </w:tcPr>
          <w:p w:rsidR="003243B1" w:rsidRDefault="003243B1" w:rsidP="00120E35">
            <w:pPr>
              <w:rPr>
                <w:rFonts w:cs="Times New Roman"/>
                <w:sz w:val="28"/>
                <w:szCs w:val="28"/>
              </w:rPr>
            </w:pPr>
            <w:r w:rsidRPr="00120E35">
              <w:rPr>
                <w:rFonts w:cs="Times New Roman"/>
                <w:sz w:val="28"/>
                <w:szCs w:val="28"/>
              </w:rPr>
              <w:t>АБП</w:t>
            </w:r>
          </w:p>
          <w:p w:rsidR="00D70A55" w:rsidRPr="00120E35" w:rsidRDefault="00D70A55" w:rsidP="00120E35">
            <w:pPr>
              <w:rPr>
                <w:rFonts w:cs="Times New Roman"/>
                <w:sz w:val="28"/>
                <w:szCs w:val="28"/>
              </w:rPr>
            </w:pPr>
            <w:r>
              <w:rPr>
                <w:rFonts w:cs="Times New Roman"/>
                <w:sz w:val="28"/>
                <w:szCs w:val="28"/>
              </w:rPr>
              <w:t>АБР</w:t>
            </w:r>
          </w:p>
        </w:tc>
        <w:tc>
          <w:tcPr>
            <w:tcW w:w="7331" w:type="dxa"/>
            <w:tcBorders>
              <w:left w:val="nil"/>
            </w:tcBorders>
          </w:tcPr>
          <w:p w:rsidR="003243B1" w:rsidRDefault="003243B1" w:rsidP="00120E35">
            <w:pPr>
              <w:rPr>
                <w:rFonts w:cs="Times New Roman"/>
                <w:sz w:val="28"/>
                <w:szCs w:val="28"/>
              </w:rPr>
            </w:pPr>
            <w:r w:rsidRPr="00120E35">
              <w:rPr>
                <w:rFonts w:cs="Times New Roman"/>
                <w:sz w:val="28"/>
                <w:szCs w:val="28"/>
              </w:rPr>
              <w:t>- антибактериальный препарат</w:t>
            </w:r>
          </w:p>
          <w:p w:rsidR="00D70A55" w:rsidRPr="00120E35" w:rsidRDefault="00D70A55" w:rsidP="00120E35">
            <w:pPr>
              <w:rPr>
                <w:rFonts w:cs="Times New Roman"/>
                <w:sz w:val="28"/>
                <w:szCs w:val="28"/>
              </w:rPr>
            </w:pPr>
            <w:r>
              <w:rPr>
                <w:rFonts w:cs="Times New Roman"/>
                <w:sz w:val="28"/>
                <w:szCs w:val="28"/>
              </w:rPr>
              <w:t>- антибиотикорезистентность</w:t>
            </w:r>
          </w:p>
        </w:tc>
      </w:tr>
      <w:tr w:rsidR="003243B1" w:rsidRPr="00B62038"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PBP2a</w:t>
            </w:r>
          </w:p>
        </w:tc>
        <w:tc>
          <w:tcPr>
            <w:tcW w:w="7331" w:type="dxa"/>
            <w:tcBorders>
              <w:left w:val="nil"/>
            </w:tcBorders>
          </w:tcPr>
          <w:p w:rsidR="003243B1" w:rsidRPr="00193E25" w:rsidRDefault="003243B1" w:rsidP="00120E35">
            <w:pPr>
              <w:rPr>
                <w:rFonts w:cs="Times New Roman"/>
                <w:sz w:val="28"/>
                <w:szCs w:val="28"/>
                <w:lang w:val="en-US"/>
              </w:rPr>
            </w:pPr>
            <w:r w:rsidRPr="00193E25">
              <w:rPr>
                <w:rFonts w:cs="Times New Roman"/>
                <w:sz w:val="28"/>
                <w:szCs w:val="28"/>
                <w:lang w:val="en-US"/>
              </w:rPr>
              <w:t>- Penicillin-Binding Protein 2a (</w:t>
            </w:r>
            <w:r w:rsidRPr="00120E35">
              <w:rPr>
                <w:rFonts w:cs="Times New Roman"/>
                <w:sz w:val="28"/>
                <w:szCs w:val="28"/>
              </w:rPr>
              <w:t>пенициллинсвязывающий</w:t>
            </w:r>
            <w:r w:rsidRPr="00193E25">
              <w:rPr>
                <w:rFonts w:cs="Times New Roman"/>
                <w:sz w:val="28"/>
                <w:szCs w:val="28"/>
                <w:lang w:val="en-US"/>
              </w:rPr>
              <w:t xml:space="preserve"> </w:t>
            </w:r>
            <w:r w:rsidRPr="00120E35">
              <w:rPr>
                <w:rFonts w:cs="Times New Roman"/>
                <w:sz w:val="28"/>
                <w:szCs w:val="28"/>
              </w:rPr>
              <w:t>белок</w:t>
            </w:r>
            <w:r w:rsidRPr="00193E25">
              <w:rPr>
                <w:rFonts w:cs="Times New Roman"/>
                <w:sz w:val="28"/>
                <w:szCs w:val="28"/>
                <w:lang w:val="en-US"/>
              </w:rPr>
              <w:t xml:space="preserve"> 2a)</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PBP</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Penicillin-Binding Proteins (пенициллин связывающие белки)</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mec</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methicillin resistance (устойчивость к метициллину)</w:t>
            </w:r>
          </w:p>
        </w:tc>
      </w:tr>
      <w:tr w:rsidR="003243B1" w:rsidRPr="00B62038"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mecA</w:t>
            </w:r>
          </w:p>
        </w:tc>
        <w:tc>
          <w:tcPr>
            <w:tcW w:w="7331" w:type="dxa"/>
            <w:tcBorders>
              <w:left w:val="nil"/>
            </w:tcBorders>
          </w:tcPr>
          <w:p w:rsidR="003243B1" w:rsidRPr="00193E25" w:rsidRDefault="003243B1" w:rsidP="00120E35">
            <w:pPr>
              <w:rPr>
                <w:rFonts w:cs="Times New Roman"/>
                <w:sz w:val="28"/>
                <w:szCs w:val="28"/>
                <w:lang w:val="en-US"/>
              </w:rPr>
            </w:pPr>
            <w:r w:rsidRPr="00193E25">
              <w:rPr>
                <w:rFonts w:cs="Times New Roman"/>
                <w:sz w:val="28"/>
                <w:szCs w:val="28"/>
                <w:lang w:val="en-US"/>
              </w:rPr>
              <w:t>- methicillin resistance gene A (</w:t>
            </w:r>
            <w:r w:rsidRPr="00120E35">
              <w:rPr>
                <w:rFonts w:cs="Times New Roman"/>
                <w:sz w:val="28"/>
                <w:szCs w:val="28"/>
              </w:rPr>
              <w:t>метициллин</w:t>
            </w:r>
            <w:r w:rsidRPr="00193E25">
              <w:rPr>
                <w:rFonts w:cs="Times New Roman"/>
                <w:sz w:val="28"/>
                <w:szCs w:val="28"/>
                <w:lang w:val="en-US"/>
              </w:rPr>
              <w:t>-</w:t>
            </w:r>
            <w:r w:rsidRPr="00120E35">
              <w:rPr>
                <w:rFonts w:cs="Times New Roman"/>
                <w:sz w:val="28"/>
                <w:szCs w:val="28"/>
              </w:rPr>
              <w:t>резистентный</w:t>
            </w:r>
            <w:r w:rsidRPr="00193E25">
              <w:rPr>
                <w:rFonts w:cs="Times New Roman"/>
                <w:sz w:val="28"/>
                <w:szCs w:val="28"/>
                <w:lang w:val="en-US"/>
              </w:rPr>
              <w:t xml:space="preserve"> </w:t>
            </w:r>
            <w:r w:rsidRPr="00120E35">
              <w:rPr>
                <w:rFonts w:cs="Times New Roman"/>
                <w:sz w:val="28"/>
                <w:szCs w:val="28"/>
              </w:rPr>
              <w:t>ген</w:t>
            </w:r>
            <w:r w:rsidRPr="00193E25">
              <w:rPr>
                <w:rFonts w:cs="Times New Roman"/>
                <w:sz w:val="28"/>
                <w:szCs w:val="28"/>
                <w:lang w:val="en-US"/>
              </w:rPr>
              <w:t xml:space="preserve"> A)</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blaZ</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beta-lactamase gene Z (ген бета-лактамазы Z)</w:t>
            </w:r>
          </w:p>
        </w:tc>
      </w:tr>
      <w:tr w:rsidR="003243B1" w:rsidRPr="00B62038"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blaI</w:t>
            </w:r>
          </w:p>
        </w:tc>
        <w:tc>
          <w:tcPr>
            <w:tcW w:w="7331" w:type="dxa"/>
            <w:tcBorders>
              <w:left w:val="nil"/>
            </w:tcBorders>
          </w:tcPr>
          <w:p w:rsidR="003243B1" w:rsidRPr="00193E25" w:rsidRDefault="003243B1" w:rsidP="00120E35">
            <w:pPr>
              <w:rPr>
                <w:rFonts w:cs="Times New Roman"/>
                <w:sz w:val="28"/>
                <w:szCs w:val="28"/>
                <w:lang w:val="en-US"/>
              </w:rPr>
            </w:pPr>
            <w:r w:rsidRPr="00193E25">
              <w:rPr>
                <w:rFonts w:cs="Times New Roman"/>
                <w:sz w:val="28"/>
                <w:szCs w:val="28"/>
                <w:lang w:val="en-US"/>
              </w:rPr>
              <w:t>- beta-lactamase regulatory gene I (</w:t>
            </w:r>
            <w:r w:rsidRPr="00120E35">
              <w:rPr>
                <w:rFonts w:cs="Times New Roman"/>
                <w:sz w:val="28"/>
                <w:szCs w:val="28"/>
              </w:rPr>
              <w:t>регуляторный</w:t>
            </w:r>
            <w:r w:rsidRPr="00193E25">
              <w:rPr>
                <w:rFonts w:cs="Times New Roman"/>
                <w:sz w:val="28"/>
                <w:szCs w:val="28"/>
                <w:lang w:val="en-US"/>
              </w:rPr>
              <w:t xml:space="preserve"> </w:t>
            </w:r>
            <w:r w:rsidRPr="00120E35">
              <w:rPr>
                <w:rFonts w:cs="Times New Roman"/>
                <w:sz w:val="28"/>
                <w:szCs w:val="28"/>
              </w:rPr>
              <w:t>ген</w:t>
            </w:r>
            <w:r w:rsidRPr="00193E25">
              <w:rPr>
                <w:rFonts w:cs="Times New Roman"/>
                <w:sz w:val="28"/>
                <w:szCs w:val="28"/>
                <w:lang w:val="en-US"/>
              </w:rPr>
              <w:t xml:space="preserve"> </w:t>
            </w:r>
            <w:r w:rsidRPr="00120E35">
              <w:rPr>
                <w:rFonts w:cs="Times New Roman"/>
                <w:sz w:val="28"/>
                <w:szCs w:val="28"/>
              </w:rPr>
              <w:t>бета</w:t>
            </w:r>
            <w:r w:rsidRPr="00193E25">
              <w:rPr>
                <w:rFonts w:cs="Times New Roman"/>
                <w:sz w:val="28"/>
                <w:szCs w:val="28"/>
                <w:lang w:val="en-US"/>
              </w:rPr>
              <w:t>-</w:t>
            </w:r>
            <w:r w:rsidRPr="00120E35">
              <w:rPr>
                <w:rFonts w:cs="Times New Roman"/>
                <w:sz w:val="28"/>
                <w:szCs w:val="28"/>
              </w:rPr>
              <w:t>лактамазы</w:t>
            </w:r>
            <w:r w:rsidRPr="00193E25">
              <w:rPr>
                <w:rFonts w:cs="Times New Roman"/>
                <w:sz w:val="28"/>
                <w:szCs w:val="28"/>
                <w:lang w:val="en-US"/>
              </w:rPr>
              <w:t xml:space="preserve"> I)</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blaR1</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beta-lactamase regulatory gene R1 (регуляторный ген бета-лактамазы R1)</w:t>
            </w:r>
          </w:p>
        </w:tc>
      </w:tr>
      <w:tr w:rsidR="003243B1" w:rsidRPr="00B62038"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PBP2</w:t>
            </w:r>
          </w:p>
        </w:tc>
        <w:tc>
          <w:tcPr>
            <w:tcW w:w="7331" w:type="dxa"/>
            <w:tcBorders>
              <w:left w:val="nil"/>
            </w:tcBorders>
          </w:tcPr>
          <w:p w:rsidR="003243B1" w:rsidRPr="00193E25" w:rsidRDefault="003243B1" w:rsidP="00120E35">
            <w:pPr>
              <w:rPr>
                <w:rFonts w:cs="Times New Roman"/>
                <w:sz w:val="28"/>
                <w:szCs w:val="28"/>
                <w:lang w:val="en-US"/>
              </w:rPr>
            </w:pPr>
            <w:r w:rsidRPr="00193E25">
              <w:rPr>
                <w:rFonts w:cs="Times New Roman"/>
                <w:sz w:val="28"/>
                <w:szCs w:val="28"/>
                <w:lang w:val="en-US"/>
              </w:rPr>
              <w:t>- Penicillin-Binding Protein 2′ (</w:t>
            </w:r>
            <w:r w:rsidRPr="00120E35">
              <w:rPr>
                <w:rFonts w:cs="Times New Roman"/>
                <w:sz w:val="28"/>
                <w:szCs w:val="28"/>
              </w:rPr>
              <w:t>пенициллинсвязывающий</w:t>
            </w:r>
            <w:r w:rsidRPr="00193E25">
              <w:rPr>
                <w:rFonts w:cs="Times New Roman"/>
                <w:sz w:val="28"/>
                <w:szCs w:val="28"/>
                <w:lang w:val="en-US"/>
              </w:rPr>
              <w:t xml:space="preserve"> </w:t>
            </w:r>
            <w:r w:rsidRPr="00120E35">
              <w:rPr>
                <w:rFonts w:cs="Times New Roman"/>
                <w:sz w:val="28"/>
                <w:szCs w:val="28"/>
              </w:rPr>
              <w:t>белок</w:t>
            </w:r>
            <w:r w:rsidRPr="00193E25">
              <w:rPr>
                <w:rFonts w:cs="Times New Roman"/>
                <w:sz w:val="28"/>
                <w:szCs w:val="28"/>
                <w:lang w:val="en-US"/>
              </w:rPr>
              <w:t xml:space="preserve"> 2′)</w:t>
            </w:r>
          </w:p>
        </w:tc>
      </w:tr>
      <w:tr w:rsidR="003243B1" w:rsidRPr="00B62038" w:rsidTr="00D70A55">
        <w:tc>
          <w:tcPr>
            <w:tcW w:w="2014" w:type="dxa"/>
          </w:tcPr>
          <w:p w:rsidR="003243B1" w:rsidRPr="00120E35" w:rsidRDefault="003243B1" w:rsidP="00120E35">
            <w:pPr>
              <w:rPr>
                <w:rFonts w:cs="Times New Roman"/>
                <w:sz w:val="28"/>
                <w:szCs w:val="28"/>
              </w:rPr>
            </w:pPr>
            <w:r w:rsidRPr="00120E35">
              <w:rPr>
                <w:rFonts w:cs="Times New Roman"/>
                <w:sz w:val="28"/>
                <w:szCs w:val="28"/>
              </w:rPr>
              <w:lastRenderedPageBreak/>
              <w:t>MecI</w:t>
            </w:r>
          </w:p>
        </w:tc>
        <w:tc>
          <w:tcPr>
            <w:tcW w:w="7331" w:type="dxa"/>
            <w:tcBorders>
              <w:left w:val="nil"/>
            </w:tcBorders>
          </w:tcPr>
          <w:p w:rsidR="003243B1" w:rsidRPr="00193E25" w:rsidRDefault="003243B1" w:rsidP="00120E35">
            <w:pPr>
              <w:rPr>
                <w:rFonts w:cs="Times New Roman"/>
                <w:sz w:val="28"/>
                <w:szCs w:val="28"/>
                <w:lang w:val="en-US"/>
              </w:rPr>
            </w:pPr>
            <w:r w:rsidRPr="00193E25">
              <w:rPr>
                <w:rFonts w:cs="Times New Roman"/>
                <w:sz w:val="28"/>
                <w:szCs w:val="28"/>
                <w:lang w:val="en-US"/>
              </w:rPr>
              <w:t>- Methicillin Resistance Regulator I (</w:t>
            </w:r>
            <w:r w:rsidRPr="00120E35">
              <w:rPr>
                <w:rFonts w:cs="Times New Roman"/>
                <w:sz w:val="28"/>
                <w:szCs w:val="28"/>
              </w:rPr>
              <w:t>регулятор</w:t>
            </w:r>
            <w:r w:rsidRPr="00193E25">
              <w:rPr>
                <w:rFonts w:cs="Times New Roman"/>
                <w:sz w:val="28"/>
                <w:szCs w:val="28"/>
                <w:lang w:val="en-US"/>
              </w:rPr>
              <w:t xml:space="preserve"> </w:t>
            </w:r>
            <w:r w:rsidRPr="00120E35">
              <w:rPr>
                <w:rFonts w:cs="Times New Roman"/>
                <w:sz w:val="28"/>
                <w:szCs w:val="28"/>
              </w:rPr>
              <w:t>устойчивости</w:t>
            </w:r>
            <w:r w:rsidRPr="00193E25">
              <w:rPr>
                <w:rFonts w:cs="Times New Roman"/>
                <w:sz w:val="28"/>
                <w:szCs w:val="28"/>
                <w:lang w:val="en-US"/>
              </w:rPr>
              <w:t xml:space="preserve"> </w:t>
            </w:r>
            <w:r w:rsidRPr="00120E35">
              <w:rPr>
                <w:rFonts w:cs="Times New Roman"/>
                <w:sz w:val="28"/>
                <w:szCs w:val="28"/>
              </w:rPr>
              <w:t>к</w:t>
            </w:r>
            <w:r w:rsidRPr="00193E25">
              <w:rPr>
                <w:rFonts w:cs="Times New Roman"/>
                <w:sz w:val="28"/>
                <w:szCs w:val="28"/>
                <w:lang w:val="en-US"/>
              </w:rPr>
              <w:t xml:space="preserve"> </w:t>
            </w:r>
            <w:r w:rsidRPr="00120E35">
              <w:rPr>
                <w:rFonts w:cs="Times New Roman"/>
                <w:sz w:val="28"/>
                <w:szCs w:val="28"/>
              </w:rPr>
              <w:t>метициллину</w:t>
            </w:r>
            <w:r w:rsidRPr="00193E25">
              <w:rPr>
                <w:rFonts w:cs="Times New Roman"/>
                <w:sz w:val="28"/>
                <w:szCs w:val="28"/>
                <w:lang w:val="en-US"/>
              </w:rPr>
              <w:t xml:space="preserve"> I)</w:t>
            </w:r>
          </w:p>
        </w:tc>
      </w:tr>
      <w:tr w:rsidR="003243B1" w:rsidRPr="00B62038"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MecR1</w:t>
            </w:r>
          </w:p>
        </w:tc>
        <w:tc>
          <w:tcPr>
            <w:tcW w:w="7331" w:type="dxa"/>
            <w:tcBorders>
              <w:left w:val="nil"/>
            </w:tcBorders>
          </w:tcPr>
          <w:p w:rsidR="003243B1" w:rsidRPr="00193E25" w:rsidRDefault="003243B1" w:rsidP="00120E35">
            <w:pPr>
              <w:rPr>
                <w:rFonts w:cs="Times New Roman"/>
                <w:sz w:val="28"/>
                <w:szCs w:val="28"/>
                <w:lang w:val="en-US"/>
              </w:rPr>
            </w:pPr>
            <w:r w:rsidRPr="00193E25">
              <w:rPr>
                <w:rFonts w:cs="Times New Roman"/>
                <w:sz w:val="28"/>
                <w:szCs w:val="28"/>
                <w:lang w:val="en-US"/>
              </w:rPr>
              <w:t>- Methicillin Resistance Regulator 1 (</w:t>
            </w:r>
            <w:r w:rsidRPr="00120E35">
              <w:rPr>
                <w:rFonts w:cs="Times New Roman"/>
                <w:sz w:val="28"/>
                <w:szCs w:val="28"/>
              </w:rPr>
              <w:t>Регулятор</w:t>
            </w:r>
            <w:r w:rsidRPr="00193E25">
              <w:rPr>
                <w:rFonts w:cs="Times New Roman"/>
                <w:sz w:val="28"/>
                <w:szCs w:val="28"/>
                <w:lang w:val="en-US"/>
              </w:rPr>
              <w:t xml:space="preserve"> </w:t>
            </w:r>
            <w:r w:rsidRPr="00120E35">
              <w:rPr>
                <w:rFonts w:cs="Times New Roman"/>
                <w:sz w:val="28"/>
                <w:szCs w:val="28"/>
              </w:rPr>
              <w:t>устойчивости</w:t>
            </w:r>
            <w:r w:rsidRPr="00193E25">
              <w:rPr>
                <w:rFonts w:cs="Times New Roman"/>
                <w:sz w:val="28"/>
                <w:szCs w:val="28"/>
                <w:lang w:val="en-US"/>
              </w:rPr>
              <w:t xml:space="preserve"> </w:t>
            </w:r>
            <w:r w:rsidRPr="00120E35">
              <w:rPr>
                <w:rFonts w:cs="Times New Roman"/>
                <w:sz w:val="28"/>
                <w:szCs w:val="28"/>
              </w:rPr>
              <w:t>к</w:t>
            </w:r>
            <w:r w:rsidRPr="00193E25">
              <w:rPr>
                <w:rFonts w:cs="Times New Roman"/>
                <w:sz w:val="28"/>
                <w:szCs w:val="28"/>
                <w:lang w:val="en-US"/>
              </w:rPr>
              <w:t xml:space="preserve"> </w:t>
            </w:r>
            <w:r w:rsidRPr="00120E35">
              <w:rPr>
                <w:rFonts w:cs="Times New Roman"/>
                <w:sz w:val="28"/>
                <w:szCs w:val="28"/>
              </w:rPr>
              <w:t>метициллину</w:t>
            </w:r>
            <w:r w:rsidRPr="00193E25">
              <w:rPr>
                <w:rFonts w:cs="Times New Roman"/>
                <w:sz w:val="28"/>
                <w:szCs w:val="28"/>
                <w:lang w:val="en-US"/>
              </w:rPr>
              <w:t xml:space="preserve"> 1)</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SSCmec</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Staphylococcal Cassette Chromosome mec (стафилококковая кассетная хромосома mec)</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orfX</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Open Reading Frame X (Открытый рамочный код X)</w:t>
            </w:r>
          </w:p>
        </w:tc>
      </w:tr>
      <w:tr w:rsidR="003243B1" w:rsidRPr="00B62038"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CcrA</w:t>
            </w:r>
          </w:p>
        </w:tc>
        <w:tc>
          <w:tcPr>
            <w:tcW w:w="7331" w:type="dxa"/>
            <w:tcBorders>
              <w:left w:val="nil"/>
            </w:tcBorders>
          </w:tcPr>
          <w:p w:rsidR="003243B1" w:rsidRPr="00193E25" w:rsidRDefault="003243B1" w:rsidP="00120E35">
            <w:pPr>
              <w:rPr>
                <w:rFonts w:cs="Times New Roman"/>
                <w:sz w:val="28"/>
                <w:szCs w:val="28"/>
                <w:lang w:val="en-US"/>
              </w:rPr>
            </w:pPr>
            <w:r w:rsidRPr="00193E25">
              <w:rPr>
                <w:rFonts w:cs="Times New Roman"/>
                <w:sz w:val="28"/>
                <w:szCs w:val="28"/>
                <w:lang w:val="en-US"/>
              </w:rPr>
              <w:t>- Cassette Chromosome Repressor A (</w:t>
            </w:r>
            <w:r w:rsidRPr="00120E35">
              <w:rPr>
                <w:rFonts w:cs="Times New Roman"/>
                <w:sz w:val="28"/>
                <w:szCs w:val="28"/>
              </w:rPr>
              <w:t>репрессор</w:t>
            </w:r>
            <w:r w:rsidRPr="00193E25">
              <w:rPr>
                <w:rFonts w:cs="Times New Roman"/>
                <w:sz w:val="28"/>
                <w:szCs w:val="28"/>
                <w:lang w:val="en-US"/>
              </w:rPr>
              <w:t xml:space="preserve"> </w:t>
            </w:r>
            <w:r w:rsidRPr="00120E35">
              <w:rPr>
                <w:rFonts w:cs="Times New Roman"/>
                <w:sz w:val="28"/>
                <w:szCs w:val="28"/>
              </w:rPr>
              <w:t>кассетного</w:t>
            </w:r>
            <w:r w:rsidRPr="00193E25">
              <w:rPr>
                <w:rFonts w:cs="Times New Roman"/>
                <w:sz w:val="28"/>
                <w:szCs w:val="28"/>
                <w:lang w:val="en-US"/>
              </w:rPr>
              <w:t xml:space="preserve"> </w:t>
            </w:r>
            <w:r w:rsidRPr="00120E35">
              <w:rPr>
                <w:rFonts w:cs="Times New Roman"/>
                <w:sz w:val="28"/>
                <w:szCs w:val="28"/>
              </w:rPr>
              <w:t>хромосомы</w:t>
            </w:r>
            <w:r w:rsidRPr="00193E25">
              <w:rPr>
                <w:rFonts w:cs="Times New Roman"/>
                <w:sz w:val="28"/>
                <w:szCs w:val="28"/>
                <w:lang w:val="en-US"/>
              </w:rPr>
              <w:t xml:space="preserve"> A)</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CcrB</w:t>
            </w:r>
          </w:p>
        </w:tc>
        <w:tc>
          <w:tcPr>
            <w:tcW w:w="7331" w:type="dxa"/>
            <w:tcBorders>
              <w:left w:val="nil"/>
            </w:tcBorders>
          </w:tcPr>
          <w:p w:rsidR="003243B1" w:rsidRPr="00120E35" w:rsidRDefault="003243B1" w:rsidP="00E104A1">
            <w:pPr>
              <w:rPr>
                <w:rFonts w:cs="Times New Roman"/>
                <w:sz w:val="28"/>
                <w:szCs w:val="28"/>
              </w:rPr>
            </w:pPr>
            <w:r w:rsidRPr="00120E35">
              <w:rPr>
                <w:rFonts w:cs="Times New Roman"/>
                <w:sz w:val="28"/>
                <w:szCs w:val="28"/>
              </w:rPr>
              <w:t xml:space="preserve">- </w:t>
            </w:r>
            <w:r w:rsidR="00E104A1">
              <w:rPr>
                <w:rFonts w:cs="Times New Roman"/>
                <w:sz w:val="28"/>
                <w:szCs w:val="28"/>
              </w:rPr>
              <w:t>«</w:t>
            </w:r>
            <w:r w:rsidRPr="00120E35">
              <w:rPr>
                <w:rFonts w:cs="Times New Roman"/>
                <w:sz w:val="28"/>
                <w:szCs w:val="28"/>
              </w:rPr>
              <w:t>Cassette Chromosome Recombinase B</w:t>
            </w:r>
            <w:r w:rsidR="00E104A1">
              <w:rPr>
                <w:rFonts w:cs="Times New Roman"/>
                <w:sz w:val="28"/>
                <w:szCs w:val="28"/>
              </w:rPr>
              <w:t>»</w:t>
            </w:r>
            <w:r w:rsidRPr="00120E35">
              <w:rPr>
                <w:rFonts w:cs="Times New Roman"/>
                <w:sz w:val="28"/>
                <w:szCs w:val="28"/>
              </w:rPr>
              <w:t xml:space="preserve"> (рекомбиназа кассетного хромосомы B)</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tetK</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tetracycline resistance determinant K (определяющий фактор устойчивости к тетрациклину K)</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tetM</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tetracycline resistance determinant M (определяющий фактор устойчивости к тетрациклину M)</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erm</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erythromycin resistance methylase (метилаза устойчивости к эритромицину)</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msr</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митохондриальный геном (Mitochondrial Genome)</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mef</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Myelin Eliciting Factor (фактор, стимулирующий миелин)</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mph</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миллиметры в час (мм/ч)</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рРНК</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рибосомальная РНК</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МГЭ</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мобильные генетические элементы</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dhps или dihydropteroate</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Dihydropteroate Synthase (дигидроптероатсинтаза)</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sul1, sul2, sul3</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обозначают гены, ответственные за устойчивость к сульфаниламидам (сульфонамидам)</w:t>
            </w:r>
          </w:p>
        </w:tc>
      </w:tr>
      <w:tr w:rsidR="003243B1" w:rsidRPr="00B62038"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MALDI-TOF</w:t>
            </w:r>
          </w:p>
        </w:tc>
        <w:tc>
          <w:tcPr>
            <w:tcW w:w="7331" w:type="dxa"/>
            <w:tcBorders>
              <w:left w:val="nil"/>
            </w:tcBorders>
          </w:tcPr>
          <w:p w:rsidR="003243B1" w:rsidRPr="00193E25" w:rsidRDefault="003243B1" w:rsidP="00120E35">
            <w:pPr>
              <w:rPr>
                <w:rFonts w:cs="Times New Roman"/>
                <w:sz w:val="28"/>
                <w:szCs w:val="28"/>
                <w:lang w:val="en-US"/>
              </w:rPr>
            </w:pPr>
            <w:r w:rsidRPr="00193E25">
              <w:rPr>
                <w:rFonts w:cs="Times New Roman"/>
                <w:sz w:val="28"/>
                <w:szCs w:val="28"/>
                <w:lang w:val="en-US"/>
              </w:rPr>
              <w:t>- Matrix-Assisted Laser Desorption/Ionization - Time of Flight</w:t>
            </w:r>
          </w:p>
        </w:tc>
      </w:tr>
      <w:tr w:rsidR="003243B1" w:rsidRPr="00B62038"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MALDI-TOF MS</w:t>
            </w:r>
          </w:p>
        </w:tc>
        <w:tc>
          <w:tcPr>
            <w:tcW w:w="7331" w:type="dxa"/>
            <w:tcBorders>
              <w:left w:val="nil"/>
            </w:tcBorders>
          </w:tcPr>
          <w:p w:rsidR="003243B1" w:rsidRPr="00193E25" w:rsidRDefault="003243B1" w:rsidP="00120E35">
            <w:pPr>
              <w:rPr>
                <w:rFonts w:cs="Times New Roman"/>
                <w:sz w:val="28"/>
                <w:szCs w:val="28"/>
                <w:lang w:val="en-US"/>
              </w:rPr>
            </w:pPr>
            <w:r w:rsidRPr="00193E25">
              <w:rPr>
                <w:rFonts w:cs="Times New Roman"/>
                <w:sz w:val="28"/>
                <w:szCs w:val="28"/>
                <w:lang w:val="en-US"/>
              </w:rPr>
              <w:t>- Matrix-Assisted Laser Desorption/Ionization - Time of Flight Mass Spectrometry</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МДБ</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Микродилюция бульона</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E-тест</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метод для определения антибиотикочувтвительности</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МПБ</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мясопептонный бульон</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МПА</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мясопептонный агар</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STAPHYtest</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xml:space="preserve">- биохимический тест-набор для идентификации и дифференциации бактерий рода </w:t>
            </w:r>
            <w:r w:rsidR="00AE0408" w:rsidRPr="00AE0408">
              <w:rPr>
                <w:rFonts w:cs="Times New Roman"/>
                <w:i/>
                <w:sz w:val="28"/>
                <w:szCs w:val="28"/>
              </w:rPr>
              <w:t>Staphylococcus</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1N HCl</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одно молярный раствор соляной кислоты</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ДД</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диско-диффузный метод</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мкг</w:t>
            </w:r>
          </w:p>
        </w:tc>
        <w:tc>
          <w:tcPr>
            <w:tcW w:w="7331" w:type="dxa"/>
            <w:tcBorders>
              <w:left w:val="nil"/>
            </w:tcBorders>
          </w:tcPr>
          <w:p w:rsidR="003243B1" w:rsidRPr="00120E35" w:rsidRDefault="00120E35" w:rsidP="00120E35">
            <w:pPr>
              <w:rPr>
                <w:rFonts w:cs="Times New Roman"/>
                <w:sz w:val="28"/>
                <w:szCs w:val="28"/>
              </w:rPr>
            </w:pPr>
            <w:r w:rsidRPr="00120E35">
              <w:rPr>
                <w:rFonts w:cs="Times New Roman"/>
                <w:sz w:val="28"/>
                <w:szCs w:val="28"/>
              </w:rPr>
              <w:t xml:space="preserve">- </w:t>
            </w:r>
            <w:r w:rsidR="003243B1" w:rsidRPr="00120E35">
              <w:rPr>
                <w:rFonts w:cs="Times New Roman"/>
                <w:sz w:val="28"/>
                <w:szCs w:val="28"/>
              </w:rPr>
              <w:t>микрограмм</w:t>
            </w:r>
          </w:p>
        </w:tc>
      </w:tr>
      <w:tr w:rsidR="003243B1" w:rsidRPr="00120E35" w:rsidTr="00D70A55">
        <w:tc>
          <w:tcPr>
            <w:tcW w:w="2014" w:type="dxa"/>
          </w:tcPr>
          <w:p w:rsidR="003243B1" w:rsidRPr="00120E35" w:rsidRDefault="003243B1" w:rsidP="00120E35">
            <w:pPr>
              <w:rPr>
                <w:rFonts w:cs="Times New Roman"/>
                <w:sz w:val="28"/>
                <w:szCs w:val="28"/>
              </w:rPr>
            </w:pPr>
            <w:r w:rsidRPr="00120E35">
              <w:rPr>
                <w:rFonts w:cs="Times New Roman"/>
                <w:sz w:val="28"/>
                <w:szCs w:val="28"/>
              </w:rPr>
              <w:t>ЕД</w:t>
            </w:r>
          </w:p>
        </w:tc>
        <w:tc>
          <w:tcPr>
            <w:tcW w:w="7331" w:type="dxa"/>
            <w:tcBorders>
              <w:left w:val="nil"/>
            </w:tcBorders>
          </w:tcPr>
          <w:p w:rsidR="003243B1" w:rsidRPr="00120E35" w:rsidRDefault="003243B1" w:rsidP="00120E35">
            <w:pPr>
              <w:rPr>
                <w:rFonts w:cs="Times New Roman"/>
                <w:sz w:val="28"/>
                <w:szCs w:val="28"/>
              </w:rPr>
            </w:pPr>
            <w:r w:rsidRPr="00120E35">
              <w:rPr>
                <w:rFonts w:cs="Times New Roman"/>
                <w:sz w:val="28"/>
                <w:szCs w:val="28"/>
              </w:rPr>
              <w:t>- единица измерения биологической активности вещества</w:t>
            </w:r>
          </w:p>
        </w:tc>
      </w:tr>
      <w:tr w:rsidR="003243B1" w:rsidRPr="00120E35" w:rsidTr="00D70A55">
        <w:tc>
          <w:tcPr>
            <w:tcW w:w="2014" w:type="dxa"/>
          </w:tcPr>
          <w:p w:rsidR="003243B1" w:rsidRPr="00120E35" w:rsidRDefault="00120E35" w:rsidP="00120E35">
            <w:pPr>
              <w:rPr>
                <w:rFonts w:cs="Times New Roman"/>
                <w:sz w:val="28"/>
                <w:szCs w:val="28"/>
              </w:rPr>
            </w:pPr>
            <w:r w:rsidRPr="00120E35">
              <w:rPr>
                <w:rFonts w:cs="Times New Roman"/>
                <w:sz w:val="28"/>
                <w:szCs w:val="28"/>
              </w:rPr>
              <w:t>мл</w:t>
            </w:r>
          </w:p>
        </w:tc>
        <w:tc>
          <w:tcPr>
            <w:tcW w:w="7331" w:type="dxa"/>
            <w:tcBorders>
              <w:left w:val="nil"/>
            </w:tcBorders>
          </w:tcPr>
          <w:p w:rsidR="003243B1" w:rsidRPr="00120E35" w:rsidRDefault="00120E35" w:rsidP="00120E35">
            <w:pPr>
              <w:rPr>
                <w:rFonts w:cs="Times New Roman"/>
                <w:sz w:val="28"/>
                <w:szCs w:val="28"/>
              </w:rPr>
            </w:pPr>
            <w:r w:rsidRPr="00120E35">
              <w:rPr>
                <w:rFonts w:cs="Times New Roman"/>
                <w:sz w:val="28"/>
                <w:szCs w:val="28"/>
              </w:rPr>
              <w:t>- миллилитр</w:t>
            </w:r>
          </w:p>
        </w:tc>
      </w:tr>
      <w:tr w:rsidR="003243B1" w:rsidRPr="00120E35" w:rsidTr="00D70A55">
        <w:tc>
          <w:tcPr>
            <w:tcW w:w="2014" w:type="dxa"/>
          </w:tcPr>
          <w:p w:rsidR="003243B1" w:rsidRPr="00120E35" w:rsidRDefault="00120E35" w:rsidP="00120E35">
            <w:pPr>
              <w:rPr>
                <w:rFonts w:cs="Times New Roman"/>
                <w:sz w:val="28"/>
                <w:szCs w:val="28"/>
              </w:rPr>
            </w:pPr>
            <w:r w:rsidRPr="00120E35">
              <w:rPr>
                <w:rFonts w:cs="Times New Roman"/>
                <w:sz w:val="28"/>
                <w:szCs w:val="28"/>
              </w:rPr>
              <w:t>мм</w:t>
            </w:r>
          </w:p>
        </w:tc>
        <w:tc>
          <w:tcPr>
            <w:tcW w:w="7331" w:type="dxa"/>
            <w:tcBorders>
              <w:left w:val="nil"/>
            </w:tcBorders>
          </w:tcPr>
          <w:p w:rsidR="003243B1" w:rsidRPr="00120E35" w:rsidRDefault="00120E35" w:rsidP="00120E35">
            <w:pPr>
              <w:rPr>
                <w:rFonts w:cs="Times New Roman"/>
                <w:sz w:val="28"/>
                <w:szCs w:val="28"/>
              </w:rPr>
            </w:pPr>
            <w:r w:rsidRPr="00120E35">
              <w:rPr>
                <w:rFonts w:cs="Times New Roman"/>
                <w:sz w:val="28"/>
                <w:szCs w:val="28"/>
              </w:rPr>
              <w:t>- миллиметр</w:t>
            </w:r>
          </w:p>
        </w:tc>
      </w:tr>
      <w:tr w:rsidR="003243B1" w:rsidRPr="00120E35" w:rsidTr="00D70A55">
        <w:tc>
          <w:tcPr>
            <w:tcW w:w="2014" w:type="dxa"/>
          </w:tcPr>
          <w:p w:rsidR="003243B1" w:rsidRPr="00120E35" w:rsidRDefault="00120E35" w:rsidP="00120E35">
            <w:pPr>
              <w:rPr>
                <w:rFonts w:cs="Times New Roman"/>
                <w:sz w:val="28"/>
                <w:szCs w:val="28"/>
              </w:rPr>
            </w:pPr>
            <w:r w:rsidRPr="00120E35">
              <w:rPr>
                <w:rFonts w:cs="Times New Roman"/>
                <w:sz w:val="28"/>
                <w:szCs w:val="28"/>
              </w:rPr>
              <w:lastRenderedPageBreak/>
              <w:t>EUCAST</w:t>
            </w:r>
          </w:p>
        </w:tc>
        <w:tc>
          <w:tcPr>
            <w:tcW w:w="7331" w:type="dxa"/>
            <w:tcBorders>
              <w:left w:val="nil"/>
            </w:tcBorders>
          </w:tcPr>
          <w:p w:rsidR="003243B1" w:rsidRPr="00120E35" w:rsidRDefault="00120E35" w:rsidP="00120E35">
            <w:pPr>
              <w:rPr>
                <w:rFonts w:cs="Times New Roman"/>
                <w:sz w:val="28"/>
                <w:szCs w:val="28"/>
              </w:rPr>
            </w:pPr>
            <w:r w:rsidRPr="00120E35">
              <w:rPr>
                <w:rFonts w:cs="Times New Roman"/>
                <w:sz w:val="28"/>
                <w:szCs w:val="28"/>
              </w:rPr>
              <w:t>- European CoмМittee on Antimicrobial Susceptibility Testing (Европейский комитет по тестированию на чувствительность к противомикробным препаратам)</w:t>
            </w:r>
          </w:p>
        </w:tc>
      </w:tr>
      <w:tr w:rsidR="003243B1" w:rsidRPr="00B62038" w:rsidTr="00D70A55">
        <w:tc>
          <w:tcPr>
            <w:tcW w:w="2014" w:type="dxa"/>
          </w:tcPr>
          <w:p w:rsidR="003243B1" w:rsidRPr="00120E35" w:rsidRDefault="00120E35" w:rsidP="00120E35">
            <w:pPr>
              <w:rPr>
                <w:rFonts w:cs="Times New Roman"/>
                <w:sz w:val="28"/>
                <w:szCs w:val="28"/>
              </w:rPr>
            </w:pPr>
            <w:r w:rsidRPr="00120E35">
              <w:rPr>
                <w:rFonts w:cs="Times New Roman"/>
                <w:sz w:val="28"/>
                <w:szCs w:val="28"/>
              </w:rPr>
              <w:t>NСBI</w:t>
            </w:r>
          </w:p>
        </w:tc>
        <w:tc>
          <w:tcPr>
            <w:tcW w:w="7331" w:type="dxa"/>
            <w:tcBorders>
              <w:left w:val="nil"/>
            </w:tcBorders>
          </w:tcPr>
          <w:p w:rsidR="003243B1" w:rsidRPr="00193E25" w:rsidRDefault="00120E35" w:rsidP="00120E35">
            <w:pPr>
              <w:rPr>
                <w:rFonts w:cs="Times New Roman"/>
                <w:sz w:val="28"/>
                <w:szCs w:val="28"/>
                <w:lang w:val="en-US"/>
              </w:rPr>
            </w:pPr>
            <w:r w:rsidRPr="00193E25">
              <w:rPr>
                <w:rFonts w:cs="Times New Roman"/>
                <w:sz w:val="28"/>
                <w:szCs w:val="28"/>
                <w:lang w:val="en-US"/>
              </w:rPr>
              <w:t>- National Center for Biotechnology Information</w:t>
            </w:r>
          </w:p>
        </w:tc>
      </w:tr>
      <w:tr w:rsidR="003243B1" w:rsidRPr="00120E35" w:rsidTr="00D70A55">
        <w:tc>
          <w:tcPr>
            <w:tcW w:w="2014" w:type="dxa"/>
          </w:tcPr>
          <w:p w:rsidR="003243B1" w:rsidRPr="00120E35" w:rsidRDefault="00120E35" w:rsidP="00120E35">
            <w:pPr>
              <w:rPr>
                <w:rFonts w:cs="Times New Roman"/>
                <w:sz w:val="28"/>
                <w:szCs w:val="28"/>
              </w:rPr>
            </w:pPr>
            <w:r w:rsidRPr="00120E35">
              <w:rPr>
                <w:rFonts w:cs="Times New Roman"/>
                <w:sz w:val="28"/>
                <w:szCs w:val="28"/>
              </w:rPr>
              <w:t>OligoAnalyzer Tool</w:t>
            </w:r>
          </w:p>
        </w:tc>
        <w:tc>
          <w:tcPr>
            <w:tcW w:w="7331" w:type="dxa"/>
            <w:tcBorders>
              <w:left w:val="nil"/>
            </w:tcBorders>
          </w:tcPr>
          <w:p w:rsidR="003243B1" w:rsidRPr="00120E35" w:rsidRDefault="00120E35" w:rsidP="00120E35">
            <w:pPr>
              <w:rPr>
                <w:rFonts w:cs="Times New Roman"/>
                <w:sz w:val="28"/>
                <w:szCs w:val="28"/>
              </w:rPr>
            </w:pPr>
            <w:r w:rsidRPr="00120E35">
              <w:rPr>
                <w:rFonts w:cs="Times New Roman"/>
                <w:sz w:val="28"/>
                <w:szCs w:val="28"/>
              </w:rPr>
              <w:t>- аналитический инструмент для определения олигонуклеотидов</w:t>
            </w:r>
          </w:p>
        </w:tc>
      </w:tr>
      <w:tr w:rsidR="003243B1" w:rsidRPr="00120E35" w:rsidTr="00D70A55">
        <w:tc>
          <w:tcPr>
            <w:tcW w:w="2014" w:type="dxa"/>
          </w:tcPr>
          <w:p w:rsidR="003243B1" w:rsidRPr="00120E35" w:rsidRDefault="00120E35" w:rsidP="00120E35">
            <w:pPr>
              <w:rPr>
                <w:rFonts w:cs="Times New Roman"/>
                <w:sz w:val="28"/>
                <w:szCs w:val="28"/>
              </w:rPr>
            </w:pPr>
            <w:r w:rsidRPr="00120E35">
              <w:rPr>
                <w:rFonts w:cs="Times New Roman"/>
                <w:sz w:val="28"/>
                <w:szCs w:val="28"/>
              </w:rPr>
              <w:t>Taq ДНК</w:t>
            </w:r>
          </w:p>
        </w:tc>
        <w:tc>
          <w:tcPr>
            <w:tcW w:w="7331" w:type="dxa"/>
            <w:tcBorders>
              <w:left w:val="nil"/>
            </w:tcBorders>
          </w:tcPr>
          <w:p w:rsidR="003243B1" w:rsidRPr="00120E35" w:rsidRDefault="00120E35" w:rsidP="00120E35">
            <w:pPr>
              <w:rPr>
                <w:rFonts w:cs="Times New Roman"/>
                <w:sz w:val="28"/>
                <w:szCs w:val="28"/>
              </w:rPr>
            </w:pPr>
            <w:r w:rsidRPr="00120E35">
              <w:rPr>
                <w:rFonts w:cs="Times New Roman"/>
                <w:sz w:val="28"/>
                <w:szCs w:val="28"/>
              </w:rPr>
              <w:t>- термостабильный ДНК-полимеразный фермент</w:t>
            </w:r>
          </w:p>
        </w:tc>
      </w:tr>
      <w:tr w:rsidR="003243B1" w:rsidRPr="00120E35" w:rsidTr="00D70A55">
        <w:tc>
          <w:tcPr>
            <w:tcW w:w="2014" w:type="dxa"/>
          </w:tcPr>
          <w:p w:rsidR="003243B1" w:rsidRPr="00120E35" w:rsidRDefault="00120E35" w:rsidP="00120E35">
            <w:pPr>
              <w:rPr>
                <w:rFonts w:cs="Times New Roman"/>
                <w:sz w:val="28"/>
                <w:szCs w:val="28"/>
              </w:rPr>
            </w:pPr>
            <w:r w:rsidRPr="00120E35">
              <w:rPr>
                <w:rFonts w:cs="Times New Roman"/>
                <w:sz w:val="28"/>
                <w:szCs w:val="28"/>
              </w:rPr>
              <w:t>мМ</w:t>
            </w:r>
          </w:p>
        </w:tc>
        <w:tc>
          <w:tcPr>
            <w:tcW w:w="7331" w:type="dxa"/>
            <w:tcBorders>
              <w:left w:val="nil"/>
            </w:tcBorders>
          </w:tcPr>
          <w:p w:rsidR="003243B1" w:rsidRPr="00120E35" w:rsidRDefault="00120E35" w:rsidP="00120E35">
            <w:pPr>
              <w:rPr>
                <w:rFonts w:cs="Times New Roman"/>
                <w:sz w:val="28"/>
                <w:szCs w:val="28"/>
              </w:rPr>
            </w:pPr>
            <w:r w:rsidRPr="00120E35">
              <w:rPr>
                <w:rFonts w:cs="Times New Roman"/>
                <w:sz w:val="28"/>
                <w:szCs w:val="28"/>
              </w:rPr>
              <w:t>- миллимоль</w:t>
            </w:r>
          </w:p>
        </w:tc>
      </w:tr>
      <w:tr w:rsidR="003243B1" w:rsidRPr="00120E35" w:rsidTr="00D70A55">
        <w:tc>
          <w:tcPr>
            <w:tcW w:w="2014" w:type="dxa"/>
          </w:tcPr>
          <w:p w:rsidR="003243B1" w:rsidRPr="00120E35" w:rsidRDefault="00120E35" w:rsidP="00120E35">
            <w:pPr>
              <w:rPr>
                <w:rFonts w:cs="Times New Roman"/>
                <w:sz w:val="28"/>
                <w:szCs w:val="28"/>
              </w:rPr>
            </w:pPr>
            <w:r w:rsidRPr="00120E35">
              <w:rPr>
                <w:rFonts w:cs="Times New Roman"/>
                <w:sz w:val="28"/>
                <w:szCs w:val="28"/>
              </w:rPr>
              <w:t>нмоль/л</w:t>
            </w:r>
          </w:p>
        </w:tc>
        <w:tc>
          <w:tcPr>
            <w:tcW w:w="7331" w:type="dxa"/>
            <w:tcBorders>
              <w:left w:val="nil"/>
            </w:tcBorders>
          </w:tcPr>
          <w:p w:rsidR="003243B1" w:rsidRPr="00120E35" w:rsidRDefault="00120E35" w:rsidP="00120E35">
            <w:pPr>
              <w:rPr>
                <w:rFonts w:cs="Times New Roman"/>
                <w:sz w:val="28"/>
                <w:szCs w:val="28"/>
              </w:rPr>
            </w:pPr>
            <w:r w:rsidRPr="00120E35">
              <w:rPr>
                <w:rFonts w:cs="Times New Roman"/>
                <w:sz w:val="28"/>
                <w:szCs w:val="28"/>
              </w:rPr>
              <w:t>- наномоль на литр</w:t>
            </w:r>
          </w:p>
        </w:tc>
      </w:tr>
      <w:tr w:rsidR="003243B1" w:rsidRPr="00120E35" w:rsidTr="00D70A55">
        <w:tc>
          <w:tcPr>
            <w:tcW w:w="2014" w:type="dxa"/>
          </w:tcPr>
          <w:p w:rsidR="003243B1" w:rsidRPr="00120E35" w:rsidRDefault="00120E35" w:rsidP="00120E35">
            <w:pPr>
              <w:rPr>
                <w:rFonts w:cs="Times New Roman"/>
                <w:sz w:val="28"/>
                <w:szCs w:val="28"/>
              </w:rPr>
            </w:pPr>
            <w:r w:rsidRPr="00120E35">
              <w:rPr>
                <w:rFonts w:cs="Times New Roman"/>
                <w:sz w:val="28"/>
                <w:szCs w:val="28"/>
              </w:rPr>
              <w:t>Tm</w:t>
            </w:r>
          </w:p>
        </w:tc>
        <w:tc>
          <w:tcPr>
            <w:tcW w:w="7331" w:type="dxa"/>
            <w:tcBorders>
              <w:left w:val="nil"/>
            </w:tcBorders>
          </w:tcPr>
          <w:p w:rsidR="003243B1" w:rsidRPr="00120E35" w:rsidRDefault="00120E35" w:rsidP="00120E35">
            <w:pPr>
              <w:rPr>
                <w:rFonts w:cs="Times New Roman"/>
                <w:sz w:val="28"/>
                <w:szCs w:val="28"/>
              </w:rPr>
            </w:pPr>
            <w:r w:rsidRPr="00120E35">
              <w:rPr>
                <w:rFonts w:cs="Times New Roman"/>
                <w:sz w:val="28"/>
                <w:szCs w:val="28"/>
              </w:rPr>
              <w:t>- температура</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in silico</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виртуальные (означает проведение экспериментов или исследований с использованием компьютерных моделей или симуляций)</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Primer-BLAST</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биоинформационный инструмент для разработки праймеров</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Ct</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циклы порога</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UV</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ультрафиолет</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Nuc</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нуклеаза</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MQ</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ультрачистая вода</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pmol/μl</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пикомоль на микролитр</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GenBank</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Genetic Sequence Database (публичная база данных нуклеотидных последовательностей)</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ENA</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European Nucleotide Archive (Европейский архив нуклеотидов)</w:t>
            </w:r>
          </w:p>
        </w:tc>
      </w:tr>
      <w:tr w:rsidR="00120E35" w:rsidRPr="00B62038"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DDBJ</w:t>
            </w:r>
          </w:p>
        </w:tc>
        <w:tc>
          <w:tcPr>
            <w:tcW w:w="7331" w:type="dxa"/>
            <w:tcBorders>
              <w:left w:val="nil"/>
            </w:tcBorders>
          </w:tcPr>
          <w:p w:rsidR="00120E35" w:rsidRPr="00193E25" w:rsidRDefault="00120E35" w:rsidP="00120E35">
            <w:pPr>
              <w:rPr>
                <w:rFonts w:cs="Times New Roman"/>
                <w:sz w:val="28"/>
                <w:szCs w:val="28"/>
                <w:lang w:val="en-US"/>
              </w:rPr>
            </w:pPr>
            <w:r w:rsidRPr="00193E25">
              <w:rPr>
                <w:rFonts w:cs="Times New Roman"/>
                <w:sz w:val="28"/>
                <w:szCs w:val="28"/>
                <w:lang w:val="en-US"/>
              </w:rPr>
              <w:t>- DNA Data Bank of Japan (</w:t>
            </w:r>
            <w:r w:rsidRPr="00120E35">
              <w:rPr>
                <w:rFonts w:cs="Times New Roman"/>
                <w:sz w:val="28"/>
                <w:szCs w:val="28"/>
              </w:rPr>
              <w:t>Банк</w:t>
            </w:r>
            <w:r w:rsidRPr="00193E25">
              <w:rPr>
                <w:rFonts w:cs="Times New Roman"/>
                <w:sz w:val="28"/>
                <w:szCs w:val="28"/>
                <w:lang w:val="en-US"/>
              </w:rPr>
              <w:t xml:space="preserve"> </w:t>
            </w:r>
            <w:r w:rsidRPr="00120E35">
              <w:rPr>
                <w:rFonts w:cs="Times New Roman"/>
                <w:sz w:val="28"/>
                <w:szCs w:val="28"/>
              </w:rPr>
              <w:t>данных</w:t>
            </w:r>
            <w:r w:rsidRPr="00193E25">
              <w:rPr>
                <w:rFonts w:cs="Times New Roman"/>
                <w:sz w:val="28"/>
                <w:szCs w:val="28"/>
                <w:lang w:val="en-US"/>
              </w:rPr>
              <w:t xml:space="preserve"> </w:t>
            </w:r>
            <w:r w:rsidRPr="00120E35">
              <w:rPr>
                <w:rFonts w:cs="Times New Roman"/>
                <w:sz w:val="28"/>
                <w:szCs w:val="28"/>
              </w:rPr>
              <w:t>ДНК</w:t>
            </w:r>
            <w:r w:rsidRPr="00193E25">
              <w:rPr>
                <w:rFonts w:cs="Times New Roman"/>
                <w:sz w:val="28"/>
                <w:szCs w:val="28"/>
                <w:lang w:val="en-US"/>
              </w:rPr>
              <w:t xml:space="preserve"> </w:t>
            </w:r>
            <w:r w:rsidRPr="00120E35">
              <w:rPr>
                <w:rFonts w:cs="Times New Roman"/>
                <w:sz w:val="28"/>
                <w:szCs w:val="28"/>
              </w:rPr>
              <w:t>Японии</w:t>
            </w:r>
            <w:r w:rsidRPr="00193E25">
              <w:rPr>
                <w:rFonts w:cs="Times New Roman"/>
                <w:sz w:val="28"/>
                <w:szCs w:val="28"/>
                <w:lang w:val="en-US"/>
              </w:rPr>
              <w:t>)</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ПКО</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положительный контрольный образец</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п.н</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пар нуклеотидов</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среда LB с ампициллином</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Lysogeny Broth with Ampicillin (лизогенная бульонная среда с ампициллином)</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RT-PCR</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Reverse Transcription Polymerase Chain Reaction (полимеразная цепная реакция с обратной транскрипцией)</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PPV</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положительная прогностическая ценность</w:t>
            </w:r>
          </w:p>
        </w:tc>
      </w:tr>
      <w:tr w:rsidR="00120E35" w:rsidRPr="00120E35" w:rsidTr="00D70A55">
        <w:tc>
          <w:tcPr>
            <w:tcW w:w="2014" w:type="dxa"/>
          </w:tcPr>
          <w:p w:rsidR="00120E35" w:rsidRPr="00120E35" w:rsidRDefault="00120E35" w:rsidP="00120E35">
            <w:pPr>
              <w:rPr>
                <w:rFonts w:cs="Times New Roman"/>
                <w:sz w:val="28"/>
                <w:szCs w:val="28"/>
              </w:rPr>
            </w:pPr>
            <w:r w:rsidRPr="00120E35">
              <w:rPr>
                <w:rFonts w:cs="Times New Roman"/>
                <w:sz w:val="28"/>
                <w:szCs w:val="28"/>
              </w:rPr>
              <w:t>NPV</w:t>
            </w:r>
          </w:p>
        </w:tc>
        <w:tc>
          <w:tcPr>
            <w:tcW w:w="7331" w:type="dxa"/>
            <w:tcBorders>
              <w:left w:val="nil"/>
            </w:tcBorders>
          </w:tcPr>
          <w:p w:rsidR="00120E35" w:rsidRPr="00120E35" w:rsidRDefault="00120E35" w:rsidP="00120E35">
            <w:pPr>
              <w:rPr>
                <w:rFonts w:cs="Times New Roman"/>
                <w:sz w:val="28"/>
                <w:szCs w:val="28"/>
              </w:rPr>
            </w:pPr>
            <w:r w:rsidRPr="00120E35">
              <w:rPr>
                <w:rFonts w:cs="Times New Roman"/>
                <w:sz w:val="28"/>
                <w:szCs w:val="28"/>
              </w:rPr>
              <w:t>- негативная прогностическая ценность</w:t>
            </w:r>
          </w:p>
        </w:tc>
      </w:tr>
    </w:tbl>
    <w:p w:rsidR="004B222C" w:rsidRDefault="004B222C" w:rsidP="00541107">
      <w:pPr>
        <w:rPr>
          <w:sz w:val="28"/>
        </w:rPr>
      </w:pPr>
    </w:p>
    <w:p w:rsidR="00120E35" w:rsidRDefault="00120E35" w:rsidP="00541107">
      <w:pPr>
        <w:rPr>
          <w:sz w:val="28"/>
        </w:rPr>
      </w:pPr>
    </w:p>
    <w:p w:rsidR="00120E35" w:rsidRDefault="00120E35" w:rsidP="00541107">
      <w:pPr>
        <w:rPr>
          <w:sz w:val="28"/>
        </w:rPr>
      </w:pPr>
    </w:p>
    <w:p w:rsidR="00120E35" w:rsidRDefault="00120E35" w:rsidP="00541107">
      <w:pPr>
        <w:rPr>
          <w:sz w:val="28"/>
        </w:rPr>
      </w:pPr>
    </w:p>
    <w:p w:rsidR="00120E35" w:rsidRDefault="00120E35" w:rsidP="00541107">
      <w:pPr>
        <w:rPr>
          <w:sz w:val="28"/>
        </w:rPr>
      </w:pPr>
    </w:p>
    <w:p w:rsidR="00132C71" w:rsidRDefault="00132C71" w:rsidP="00541107">
      <w:pPr>
        <w:rPr>
          <w:sz w:val="28"/>
        </w:rPr>
      </w:pPr>
    </w:p>
    <w:p w:rsidR="00120E35" w:rsidRPr="00D80965" w:rsidRDefault="00120E35" w:rsidP="00AE0408">
      <w:pPr>
        <w:jc w:val="center"/>
        <w:rPr>
          <w:rFonts w:cs="Times New Roman"/>
          <w:b/>
          <w:sz w:val="28"/>
          <w:szCs w:val="28"/>
        </w:rPr>
      </w:pPr>
      <w:r w:rsidRPr="00D80965">
        <w:rPr>
          <w:rFonts w:cs="Times New Roman"/>
          <w:b/>
          <w:sz w:val="28"/>
          <w:szCs w:val="28"/>
        </w:rPr>
        <w:t>ВВЕДЕНИЕ</w:t>
      </w:r>
    </w:p>
    <w:p w:rsidR="00120E35" w:rsidRPr="00120E35" w:rsidRDefault="00120E35" w:rsidP="00120E35">
      <w:pPr>
        <w:rPr>
          <w:rFonts w:cs="Times New Roman"/>
          <w:sz w:val="28"/>
          <w:szCs w:val="28"/>
        </w:rPr>
      </w:pPr>
    </w:p>
    <w:p w:rsidR="00120E35" w:rsidRPr="00120E35" w:rsidRDefault="007A7888" w:rsidP="00AE0408">
      <w:pPr>
        <w:ind w:firstLine="709"/>
        <w:rPr>
          <w:rFonts w:cs="Times New Roman"/>
          <w:sz w:val="28"/>
          <w:szCs w:val="28"/>
        </w:rPr>
      </w:pPr>
      <w:r w:rsidRPr="007A7888">
        <w:rPr>
          <w:rFonts w:cs="Times New Roman"/>
          <w:i/>
          <w:sz w:val="28"/>
          <w:szCs w:val="28"/>
        </w:rPr>
        <w:lastRenderedPageBreak/>
        <w:t>S. aureus</w:t>
      </w:r>
      <w:r w:rsidR="00120E35" w:rsidRPr="00120E35">
        <w:rPr>
          <w:rFonts w:cs="Times New Roman"/>
          <w:sz w:val="28"/>
          <w:szCs w:val="28"/>
        </w:rPr>
        <w:t xml:space="preserve"> - наиболее патогенный вид стафилококков, вызывающий широкий спектр заболеваний, от гнойных инфекций кожи и мягких тканей до системных и смертельных заболеваний таких как сепсис и пневмония [1-3]. </w:t>
      </w:r>
      <w:r w:rsidRPr="007A7888">
        <w:rPr>
          <w:rFonts w:cs="Times New Roman"/>
          <w:i/>
          <w:sz w:val="28"/>
          <w:szCs w:val="28"/>
        </w:rPr>
        <w:t>S. aureus</w:t>
      </w:r>
      <w:r w:rsidR="00120E35" w:rsidRPr="00120E35">
        <w:rPr>
          <w:rFonts w:cs="Times New Roman"/>
          <w:sz w:val="28"/>
          <w:szCs w:val="28"/>
        </w:rPr>
        <w:t xml:space="preserve"> становится более опасным организмом из-за его повышенной способности приобретать устойчивость к различным антибиотикам и способности образовывать биопленки [4-6]. Эта вездесущая бактерия является важным патогеном из-за сочетания токсин-опосредованной вирулентности, инвазивности и устойчивости к антибиотикам [7, 8].</w:t>
      </w:r>
    </w:p>
    <w:p w:rsidR="00120E35" w:rsidRPr="00120E35" w:rsidRDefault="00120E35" w:rsidP="00AE0408">
      <w:pPr>
        <w:ind w:firstLine="709"/>
        <w:rPr>
          <w:rFonts w:cs="Times New Roman"/>
          <w:sz w:val="28"/>
          <w:szCs w:val="28"/>
        </w:rPr>
      </w:pPr>
      <w:r w:rsidRPr="00120E35">
        <w:rPr>
          <w:rFonts w:cs="Times New Roman"/>
          <w:sz w:val="28"/>
          <w:szCs w:val="28"/>
        </w:rPr>
        <w:t>Согласно последним отчетам Европейского союза «Единое здравоохранение», стафилококковые энтеротоксины являются одной из основных причин отравлений в Европе, и занимают третье место среди возбудителей пищевых токсикоинфекций. Только в 2021 году 16 государств-членов сообщили о 61 вспышке пищевых отравлений (640 случаев), вызванных стафилококковыми токсинами классифицированны</w:t>
      </w:r>
      <w:r w:rsidR="00015F5F">
        <w:rPr>
          <w:rFonts w:cs="Times New Roman"/>
          <w:sz w:val="28"/>
          <w:szCs w:val="28"/>
        </w:rPr>
        <w:t xml:space="preserve">х как «убедительно доказанные» </w:t>
      </w:r>
      <w:r w:rsidR="00015F5F" w:rsidRPr="00120E35">
        <w:rPr>
          <w:rFonts w:cs="Times New Roman"/>
          <w:sz w:val="28"/>
          <w:szCs w:val="28"/>
        </w:rPr>
        <w:t>[9-11]</w:t>
      </w:r>
      <w:r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 xml:space="preserve">Наряду с высокой патогенностью, стафилококки известны своей высокой устойчивостью к антибиотикам, </w:t>
      </w:r>
      <w:r w:rsidR="007A7888" w:rsidRPr="007A7888">
        <w:rPr>
          <w:rFonts w:cs="Times New Roman"/>
          <w:i/>
          <w:sz w:val="28"/>
          <w:szCs w:val="28"/>
        </w:rPr>
        <w:t>S. aureus</w:t>
      </w:r>
      <w:r w:rsidRPr="00120E35">
        <w:rPr>
          <w:rFonts w:cs="Times New Roman"/>
          <w:sz w:val="28"/>
          <w:szCs w:val="28"/>
        </w:rPr>
        <w:t xml:space="preserve"> в результате мутаций или горизонтального переноса генов может развить устойчивость к практически всем существующим антибиотикам [12-15]. </w:t>
      </w:r>
    </w:p>
    <w:p w:rsidR="00120E35" w:rsidRPr="00120E35" w:rsidRDefault="00120E35" w:rsidP="00AE0408">
      <w:pPr>
        <w:ind w:firstLine="709"/>
        <w:rPr>
          <w:rFonts w:cs="Times New Roman"/>
          <w:sz w:val="28"/>
          <w:szCs w:val="28"/>
        </w:rPr>
      </w:pPr>
      <w:r w:rsidRPr="00120E35">
        <w:rPr>
          <w:rFonts w:cs="Times New Roman"/>
          <w:sz w:val="28"/>
          <w:szCs w:val="28"/>
        </w:rPr>
        <w:t xml:space="preserve">В последние десятилетия в Казахстане, как и во всем мире, отмечается стремительное распространение устойчивости возбудителей инфекционных заболеваний к антибактериальным препаратам. По результатам исследований, проведенных на територии Республики Казахстан в период с 2018 по 2022, из 146 изолятов </w:t>
      </w:r>
      <w:r w:rsidR="007A7888" w:rsidRPr="007A7888">
        <w:rPr>
          <w:rFonts w:cs="Times New Roman"/>
          <w:i/>
          <w:sz w:val="28"/>
          <w:szCs w:val="28"/>
        </w:rPr>
        <w:t>S. aureus</w:t>
      </w:r>
      <w:r w:rsidRPr="00120E35">
        <w:rPr>
          <w:rFonts w:cs="Times New Roman"/>
          <w:sz w:val="28"/>
          <w:szCs w:val="28"/>
        </w:rPr>
        <w:t xml:space="preserve">, выделенных из пищевой продукции в Казахстане, 70,5% были устойчивы хотя бы к одному антибиотику, наиболее часто встречались гены blaZ (87,1%), mecA (45,2%), lnuA (40,7%), ermC и tetK. [16]. На севере Казахстана отмечался высокий процент устойчивых изолятов </w:t>
      </w:r>
      <w:r w:rsidR="00B832C8" w:rsidRPr="00B832C8">
        <w:rPr>
          <w:rFonts w:cs="Times New Roman"/>
          <w:i/>
          <w:sz w:val="28"/>
          <w:szCs w:val="28"/>
        </w:rPr>
        <w:t>Salmonella</w:t>
      </w:r>
      <w:r w:rsidRPr="00120E35">
        <w:rPr>
          <w:rFonts w:cs="Times New Roman"/>
          <w:sz w:val="28"/>
          <w:szCs w:val="28"/>
        </w:rPr>
        <w:t xml:space="preserve"> spp. и </w:t>
      </w:r>
      <w:r w:rsidR="007A7888" w:rsidRPr="007A7888">
        <w:rPr>
          <w:rFonts w:cs="Times New Roman"/>
          <w:i/>
          <w:sz w:val="28"/>
          <w:szCs w:val="28"/>
        </w:rPr>
        <w:t>S. aureus</w:t>
      </w:r>
      <w:r w:rsidRPr="00120E35">
        <w:rPr>
          <w:rFonts w:cs="Times New Roman"/>
          <w:sz w:val="28"/>
          <w:szCs w:val="28"/>
        </w:rPr>
        <w:t xml:space="preserve"> выделенных от животных, особенно к антибиотикам групп тетрациклинов, нитрофуранов, β-лактамов и макролидов [17]. Исследования, проведенные в 2021-2022 году в Алматинской области, показали, что </w:t>
      </w:r>
      <w:r w:rsidR="007A7888" w:rsidRPr="007A7888">
        <w:rPr>
          <w:rFonts w:cs="Times New Roman"/>
          <w:i/>
          <w:sz w:val="28"/>
          <w:szCs w:val="28"/>
        </w:rPr>
        <w:t>S. aureus</w:t>
      </w:r>
      <w:r w:rsidRPr="00120E35">
        <w:rPr>
          <w:rFonts w:cs="Times New Roman"/>
          <w:sz w:val="28"/>
          <w:szCs w:val="28"/>
        </w:rPr>
        <w:t xml:space="preserve"> является основным патогеном, вызывающим клинические и субклинические формы мастита. Выделенные штаммы отличались широким спектром устойчивости к антибиотикам [18].</w:t>
      </w:r>
    </w:p>
    <w:p w:rsidR="00120E35" w:rsidRPr="00120E35" w:rsidRDefault="00120E35" w:rsidP="00AE0408">
      <w:pPr>
        <w:ind w:firstLine="709"/>
        <w:rPr>
          <w:rFonts w:cs="Times New Roman"/>
          <w:sz w:val="28"/>
          <w:szCs w:val="28"/>
        </w:rPr>
      </w:pPr>
      <w:r w:rsidRPr="00120E35">
        <w:rPr>
          <w:rFonts w:cs="Times New Roman"/>
          <w:sz w:val="28"/>
          <w:szCs w:val="28"/>
        </w:rPr>
        <w:t>Устойчивость к антимикробным препаратам имеет огромное социально-экономическое значение, представляет серьезную угрозу глобальной безопасности здравоохранения и социально-экономическому развитию и рассматривается как угроза национальной безопасности [19-21]. Надзор за распространением антибиотикорезистентности является стратегической задачей ветеринарии и, включает в себя мониторинг антибиотикорезистентности возбудителей среди сельскохозяйственных животных и в животноводческой продукции потребительского назначения.</w:t>
      </w:r>
    </w:p>
    <w:p w:rsidR="00120E35" w:rsidRPr="00120E35" w:rsidRDefault="00120E35" w:rsidP="00AE0408">
      <w:pPr>
        <w:ind w:firstLine="709"/>
        <w:rPr>
          <w:rFonts w:cs="Times New Roman"/>
          <w:sz w:val="28"/>
          <w:szCs w:val="28"/>
        </w:rPr>
      </w:pPr>
      <w:r w:rsidRPr="00120E35">
        <w:rPr>
          <w:rFonts w:cs="Times New Roman"/>
          <w:sz w:val="28"/>
          <w:szCs w:val="28"/>
        </w:rPr>
        <w:t xml:space="preserve">Одним из перспективных направлений, позволяющих расширить возможности в изучении и диагностике антибиотикорезистентности является использование молекулярно-генетических подходов: полимеразной цепной </w:t>
      </w:r>
      <w:r w:rsidRPr="00120E35">
        <w:rPr>
          <w:rFonts w:cs="Times New Roman"/>
          <w:sz w:val="28"/>
          <w:szCs w:val="28"/>
        </w:rPr>
        <w:lastRenderedPageBreak/>
        <w:t>реакции (ПЦР), секвенирования и минисеквенирования, секвенирования нового поколения [22-26].</w:t>
      </w:r>
    </w:p>
    <w:p w:rsidR="00120E35" w:rsidRPr="00120E35" w:rsidRDefault="00120E35" w:rsidP="00AE0408">
      <w:pPr>
        <w:ind w:firstLine="709"/>
        <w:rPr>
          <w:rFonts w:cs="Times New Roman"/>
          <w:sz w:val="28"/>
          <w:szCs w:val="28"/>
        </w:rPr>
      </w:pPr>
      <w:r w:rsidRPr="00120E35">
        <w:rPr>
          <w:rFonts w:cs="Times New Roman"/>
          <w:sz w:val="28"/>
          <w:szCs w:val="28"/>
        </w:rPr>
        <w:t xml:space="preserve">Преимущества генотипического определения устойчивости к антибиотикам заключаются в том, что выявление генотипа не зависит от фенотипических категорий, таких как чувствительность, промежуточная чувствительность и устойчивость, для которых пограничные значения могут различаться в разных странах. Генотипическое определение устойчивости к антибиотикам имеет ряд преимуществ перед фенотипическими методами и обеспечивает более быстрые результаты, часто в течение нескольких часов [27]. Кроме того, механизмы резистентности, связанные с низким уровнем резистентности, трудно обнаружить с помощью фенотипических методов [28, 29]. </w:t>
      </w:r>
      <w:r w:rsidR="00132C71" w:rsidRPr="00132C71">
        <w:rPr>
          <w:rFonts w:cs="Times New Roman"/>
          <w:sz w:val="28"/>
          <w:szCs w:val="28"/>
        </w:rPr>
        <w:t xml:space="preserve">Внедрение современных генетических методов при мониторинге метициллинрезистентных стафилококков необходимо для быстрой и точной идентификации микроорганизмов, контроля за эпизоотологической ситуацией и за обеспечением качества и безопасности продуктов животного происхождения </w:t>
      </w:r>
      <w:r w:rsidRPr="00120E35">
        <w:rPr>
          <w:rFonts w:cs="Times New Roman"/>
          <w:sz w:val="28"/>
          <w:szCs w:val="28"/>
        </w:rPr>
        <w:t xml:space="preserve">[30]. Оперативная и надежная диагностика резистентности </w:t>
      </w:r>
      <w:r w:rsidR="007A7888" w:rsidRPr="007A7888">
        <w:rPr>
          <w:rFonts w:cs="Times New Roman"/>
          <w:i/>
          <w:sz w:val="28"/>
          <w:szCs w:val="28"/>
        </w:rPr>
        <w:t>S. aureus</w:t>
      </w:r>
      <w:r w:rsidRPr="00120E35">
        <w:rPr>
          <w:rFonts w:cs="Times New Roman"/>
          <w:sz w:val="28"/>
          <w:szCs w:val="28"/>
        </w:rPr>
        <w:t xml:space="preserve"> к антибактериальным препаратам играет ключевую роль в </w:t>
      </w:r>
      <w:r w:rsidR="00132C71" w:rsidRPr="00132C71">
        <w:rPr>
          <w:rFonts w:cs="Times New Roman"/>
          <w:sz w:val="28"/>
          <w:szCs w:val="28"/>
        </w:rPr>
        <w:t xml:space="preserve">своевременном </w:t>
      </w:r>
      <w:r w:rsidRPr="00120E35">
        <w:rPr>
          <w:rFonts w:cs="Times New Roman"/>
          <w:sz w:val="28"/>
          <w:szCs w:val="28"/>
        </w:rPr>
        <w:t>начале противомикробной терапии [31].</w:t>
      </w:r>
    </w:p>
    <w:p w:rsidR="00120E35" w:rsidRPr="00120E35" w:rsidRDefault="00120E35" w:rsidP="00AE0408">
      <w:pPr>
        <w:ind w:firstLine="709"/>
        <w:rPr>
          <w:rFonts w:cs="Times New Roman"/>
          <w:sz w:val="28"/>
          <w:szCs w:val="28"/>
        </w:rPr>
      </w:pPr>
      <w:r w:rsidRPr="00D80965">
        <w:rPr>
          <w:rFonts w:cs="Times New Roman"/>
          <w:b/>
          <w:sz w:val="28"/>
          <w:szCs w:val="28"/>
        </w:rPr>
        <w:t>Цель работы</w:t>
      </w:r>
      <w:r w:rsidRPr="00120E35">
        <w:rPr>
          <w:rFonts w:cs="Times New Roman"/>
          <w:sz w:val="28"/>
          <w:szCs w:val="28"/>
        </w:rPr>
        <w:t xml:space="preserve">: Идентификация </w:t>
      </w:r>
      <w:r w:rsidR="007A7888" w:rsidRPr="007A7888">
        <w:rPr>
          <w:rFonts w:cs="Times New Roman"/>
          <w:i/>
          <w:sz w:val="28"/>
          <w:szCs w:val="28"/>
        </w:rPr>
        <w:t>S. aureus</w:t>
      </w:r>
      <w:r w:rsidRPr="00120E35">
        <w:rPr>
          <w:rFonts w:cs="Times New Roman"/>
          <w:sz w:val="28"/>
          <w:szCs w:val="28"/>
        </w:rPr>
        <w:t xml:space="preserve"> и его генетических маркеров устойчивости (blaZ, ermC и tetK) к антибактериальным препаратам в пищевых продуктах животного происхождения методом мультиплексной полимеразной цепной реакции в реальном времени (ПЦР-РВ).</w:t>
      </w:r>
    </w:p>
    <w:p w:rsidR="00120E35" w:rsidRPr="00120E35" w:rsidRDefault="00120E35" w:rsidP="00AE0408">
      <w:pPr>
        <w:ind w:firstLine="709"/>
        <w:rPr>
          <w:rFonts w:cs="Times New Roman"/>
          <w:sz w:val="28"/>
          <w:szCs w:val="28"/>
        </w:rPr>
      </w:pPr>
      <w:r w:rsidRPr="00120E35">
        <w:rPr>
          <w:rFonts w:cs="Times New Roman"/>
          <w:sz w:val="28"/>
          <w:szCs w:val="28"/>
        </w:rPr>
        <w:t xml:space="preserve">Для достижения цели были поставлены следующие </w:t>
      </w:r>
      <w:r w:rsidRPr="00D80965">
        <w:rPr>
          <w:rFonts w:cs="Times New Roman"/>
          <w:b/>
          <w:sz w:val="28"/>
          <w:szCs w:val="28"/>
        </w:rPr>
        <w:t>задачи</w:t>
      </w:r>
      <w:r w:rsidRPr="00120E35">
        <w:rPr>
          <w:rFonts w:cs="Times New Roman"/>
          <w:sz w:val="28"/>
          <w:szCs w:val="28"/>
        </w:rPr>
        <w:t>:</w:t>
      </w:r>
    </w:p>
    <w:p w:rsidR="00932B96" w:rsidRPr="002C019E" w:rsidRDefault="00932B96" w:rsidP="00932B96">
      <w:pPr>
        <w:ind w:firstLine="709"/>
        <w:rPr>
          <w:rFonts w:cs="Times New Roman"/>
          <w:sz w:val="28"/>
          <w:szCs w:val="28"/>
        </w:rPr>
      </w:pPr>
      <w:r w:rsidRPr="002C019E">
        <w:rPr>
          <w:rFonts w:cs="Times New Roman"/>
          <w:sz w:val="28"/>
          <w:szCs w:val="28"/>
        </w:rPr>
        <w:t xml:space="preserve">1. Выделение штаммов </w:t>
      </w:r>
      <w:r w:rsidRPr="002C019E">
        <w:rPr>
          <w:rFonts w:cs="Times New Roman"/>
          <w:i/>
          <w:sz w:val="28"/>
          <w:szCs w:val="28"/>
        </w:rPr>
        <w:t>S. aureus</w:t>
      </w:r>
      <w:r w:rsidRPr="002C019E">
        <w:rPr>
          <w:rFonts w:cs="Times New Roman"/>
          <w:sz w:val="28"/>
          <w:szCs w:val="28"/>
        </w:rPr>
        <w:t xml:space="preserve"> из пищевых продуктов животного происхождения, исследование биологических свойств и антибиотикорезистентности.</w:t>
      </w:r>
    </w:p>
    <w:p w:rsidR="00932B96" w:rsidRPr="002C019E" w:rsidRDefault="00932B96" w:rsidP="00932B96">
      <w:pPr>
        <w:ind w:firstLine="709"/>
        <w:rPr>
          <w:rFonts w:cs="Times New Roman"/>
          <w:sz w:val="28"/>
          <w:szCs w:val="28"/>
        </w:rPr>
      </w:pPr>
      <w:r w:rsidRPr="002C019E">
        <w:rPr>
          <w:rFonts w:cs="Times New Roman"/>
          <w:sz w:val="28"/>
          <w:szCs w:val="28"/>
        </w:rPr>
        <w:t>2. Дизайн, синтез и валидация праймерных и зондовых последовательностей для мультиплексной ПЦР-РВ.</w:t>
      </w:r>
    </w:p>
    <w:p w:rsidR="00932B96" w:rsidRPr="002C019E" w:rsidRDefault="00932B96" w:rsidP="00932B96">
      <w:pPr>
        <w:ind w:firstLine="709"/>
        <w:rPr>
          <w:rFonts w:cs="Times New Roman"/>
          <w:sz w:val="28"/>
          <w:szCs w:val="28"/>
        </w:rPr>
      </w:pPr>
      <w:r w:rsidRPr="002C019E">
        <w:rPr>
          <w:rFonts w:cs="Times New Roman"/>
          <w:sz w:val="28"/>
          <w:szCs w:val="28"/>
        </w:rPr>
        <w:t>3. Оптимизация условий ПЦР-РВ и оценка её аналитических характеристик – специфичности и чувствительности.</w:t>
      </w:r>
    </w:p>
    <w:p w:rsidR="00932B96" w:rsidRPr="002C019E" w:rsidRDefault="00932B96" w:rsidP="00932B96">
      <w:pPr>
        <w:ind w:firstLine="709"/>
        <w:rPr>
          <w:rFonts w:cs="Times New Roman"/>
          <w:sz w:val="28"/>
          <w:szCs w:val="28"/>
        </w:rPr>
      </w:pPr>
      <w:r w:rsidRPr="002C019E">
        <w:rPr>
          <w:rFonts w:cs="Times New Roman"/>
          <w:sz w:val="28"/>
          <w:szCs w:val="28"/>
        </w:rPr>
        <w:t xml:space="preserve">4. Идентификация изолятов </w:t>
      </w:r>
      <w:r w:rsidRPr="002C019E">
        <w:rPr>
          <w:rFonts w:cs="Times New Roman"/>
          <w:i/>
          <w:sz w:val="28"/>
          <w:szCs w:val="28"/>
        </w:rPr>
        <w:t>S. aureus</w:t>
      </w:r>
      <w:r w:rsidRPr="002C019E">
        <w:rPr>
          <w:rFonts w:cs="Times New Roman"/>
          <w:sz w:val="28"/>
          <w:szCs w:val="28"/>
        </w:rPr>
        <w:t xml:space="preserve"> и генетических маркеров устойчивости (blaZ, ermC и tetK) с применением разработанных праймерных и зондовых последовательностей. Проведение оценки согласованности фенотипических и генотипических методов идентификации.</w:t>
      </w:r>
    </w:p>
    <w:p w:rsidR="00120E35" w:rsidRPr="00120E35" w:rsidRDefault="00120E35" w:rsidP="00AE0408">
      <w:pPr>
        <w:ind w:firstLine="709"/>
        <w:rPr>
          <w:rFonts w:cs="Times New Roman"/>
          <w:sz w:val="28"/>
          <w:szCs w:val="28"/>
        </w:rPr>
      </w:pPr>
      <w:r w:rsidRPr="00D80965">
        <w:rPr>
          <w:rFonts w:cs="Times New Roman"/>
          <w:b/>
          <w:sz w:val="28"/>
          <w:szCs w:val="28"/>
        </w:rPr>
        <w:t>Объект исследования</w:t>
      </w:r>
      <w:r w:rsidRPr="00120E35">
        <w:rPr>
          <w:rFonts w:cs="Times New Roman"/>
          <w:sz w:val="28"/>
          <w:szCs w:val="28"/>
        </w:rPr>
        <w:t>: бактериальные изоляты стафилококков, выделенные из различных источников на т</w:t>
      </w:r>
      <w:r w:rsidR="00D80965">
        <w:rPr>
          <w:rFonts w:cs="Times New Roman"/>
          <w:sz w:val="28"/>
          <w:szCs w:val="28"/>
        </w:rPr>
        <w:t>ерритории Костанайской области.</w:t>
      </w:r>
    </w:p>
    <w:p w:rsidR="00120E35" w:rsidRPr="00120E35" w:rsidRDefault="00120E35" w:rsidP="00AE0408">
      <w:pPr>
        <w:ind w:firstLine="709"/>
        <w:rPr>
          <w:rFonts w:cs="Times New Roman"/>
          <w:sz w:val="28"/>
          <w:szCs w:val="28"/>
        </w:rPr>
      </w:pPr>
      <w:r w:rsidRPr="00D80965">
        <w:rPr>
          <w:rFonts w:cs="Times New Roman"/>
          <w:b/>
          <w:sz w:val="28"/>
          <w:szCs w:val="28"/>
        </w:rPr>
        <w:t>Предмет исследования</w:t>
      </w:r>
      <w:r w:rsidRPr="00120E35">
        <w:rPr>
          <w:rFonts w:cs="Times New Roman"/>
          <w:sz w:val="28"/>
          <w:szCs w:val="28"/>
        </w:rPr>
        <w:t xml:space="preserve">: антибиотикорезистентность и молекулярно-генетические механизмы устойчивости штаммов </w:t>
      </w:r>
      <w:r w:rsidR="007A7888" w:rsidRPr="007A7888">
        <w:rPr>
          <w:rFonts w:cs="Times New Roman"/>
          <w:i/>
          <w:sz w:val="28"/>
          <w:szCs w:val="28"/>
        </w:rPr>
        <w:t>S. aureus</w:t>
      </w:r>
      <w:r w:rsidRPr="00120E35">
        <w:rPr>
          <w:rFonts w:cs="Times New Roman"/>
          <w:sz w:val="28"/>
          <w:szCs w:val="28"/>
        </w:rPr>
        <w:t>.</w:t>
      </w:r>
    </w:p>
    <w:p w:rsidR="007A7888" w:rsidRPr="007A7888" w:rsidRDefault="00120E35" w:rsidP="007A7888">
      <w:pPr>
        <w:ind w:firstLine="709"/>
        <w:rPr>
          <w:rFonts w:cs="Times New Roman"/>
          <w:sz w:val="28"/>
          <w:szCs w:val="28"/>
        </w:rPr>
      </w:pPr>
      <w:r w:rsidRPr="00D80965">
        <w:rPr>
          <w:rFonts w:cs="Times New Roman"/>
          <w:b/>
          <w:sz w:val="28"/>
          <w:szCs w:val="28"/>
        </w:rPr>
        <w:t>Научная новизна</w:t>
      </w:r>
      <w:r w:rsidR="00121CC7">
        <w:rPr>
          <w:rFonts w:cs="Times New Roman"/>
          <w:b/>
          <w:sz w:val="28"/>
          <w:szCs w:val="28"/>
        </w:rPr>
        <w:t xml:space="preserve">. </w:t>
      </w:r>
      <w:r w:rsidR="003D540B" w:rsidRPr="003D540B">
        <w:rPr>
          <w:rFonts w:cs="Times New Roman"/>
          <w:sz w:val="28"/>
          <w:szCs w:val="28"/>
        </w:rPr>
        <w:t xml:space="preserve">Впервые разработана мультиплексная полимеразная цепная реакция в реальном времени для экспресс-идентификации </w:t>
      </w:r>
      <w:r w:rsidR="007A7888" w:rsidRPr="007A7888">
        <w:rPr>
          <w:rFonts w:cs="Times New Roman"/>
          <w:i/>
          <w:sz w:val="28"/>
          <w:szCs w:val="28"/>
        </w:rPr>
        <w:t>S. аureus</w:t>
      </w:r>
      <w:r w:rsidR="007A7888" w:rsidRPr="007A7888">
        <w:rPr>
          <w:rFonts w:cs="Times New Roman"/>
          <w:sz w:val="28"/>
          <w:szCs w:val="28"/>
        </w:rPr>
        <w:t xml:space="preserve">, с одновременным определением генов устойчивости (blaZ, ermC и tetK) к антимикробным препаратам. При разработке ПЦР для идентификации </w:t>
      </w:r>
      <w:r w:rsidR="007A7888" w:rsidRPr="007A7888">
        <w:rPr>
          <w:rFonts w:cs="Times New Roman"/>
          <w:i/>
          <w:sz w:val="28"/>
          <w:szCs w:val="28"/>
        </w:rPr>
        <w:t>S. aureus</w:t>
      </w:r>
      <w:r w:rsidR="007A7888" w:rsidRPr="007A7888">
        <w:rPr>
          <w:rFonts w:cs="Times New Roman"/>
          <w:sz w:val="28"/>
          <w:szCs w:val="28"/>
        </w:rPr>
        <w:t xml:space="preserve"> выбран участок гена термостабильной нуклеазы (nuc). Научно обоснована и экспериментально доказана эффективность его использования для </w:t>
      </w:r>
      <w:r w:rsidR="007A7888" w:rsidRPr="007A7888">
        <w:rPr>
          <w:rFonts w:cs="Times New Roman"/>
          <w:sz w:val="28"/>
          <w:szCs w:val="28"/>
        </w:rPr>
        <w:lastRenderedPageBreak/>
        <w:t>исследования пищевых продуктов и биологического материала животного происхождения. Аналитическая чувствительность набора составила от 10 копий ДНК/мкл, специфичность – 100%, восп</w:t>
      </w:r>
      <w:r w:rsidR="007A7888">
        <w:rPr>
          <w:rFonts w:cs="Times New Roman"/>
          <w:sz w:val="28"/>
          <w:szCs w:val="28"/>
        </w:rPr>
        <w:t>роизводимость – 100%.</w:t>
      </w:r>
    </w:p>
    <w:p w:rsidR="007A7888" w:rsidRPr="007A7888" w:rsidRDefault="007A7888" w:rsidP="007A7888">
      <w:pPr>
        <w:ind w:firstLine="709"/>
        <w:rPr>
          <w:rFonts w:cs="Times New Roman"/>
          <w:sz w:val="28"/>
          <w:szCs w:val="28"/>
        </w:rPr>
      </w:pPr>
      <w:r w:rsidRPr="007A7888">
        <w:rPr>
          <w:rFonts w:cs="Times New Roman"/>
          <w:sz w:val="28"/>
          <w:szCs w:val="28"/>
        </w:rPr>
        <w:t xml:space="preserve">Продемонстрированы значительные уровни устойчивости к антибиотикам группы β-лактамов, тетрациклинов, макролидов и фторхинолонов, а также установлена частота встречаемости генов blaZ, ermC и tetK в изолятах </w:t>
      </w:r>
      <w:r w:rsidRPr="007A7888">
        <w:rPr>
          <w:rFonts w:cs="Times New Roman"/>
          <w:i/>
          <w:sz w:val="28"/>
          <w:szCs w:val="28"/>
        </w:rPr>
        <w:t>S. aureus</w:t>
      </w:r>
      <w:r w:rsidRPr="007A7888">
        <w:rPr>
          <w:rFonts w:cs="Times New Roman"/>
          <w:sz w:val="28"/>
          <w:szCs w:val="28"/>
        </w:rPr>
        <w:t>. Выявлены статистически значимые вариации в результатах определения генов устойчивости blaZ, ermC и tetK к антибиотикам с использованием дискового диффузионного метода на дисках и ПЦР.</w:t>
      </w:r>
    </w:p>
    <w:p w:rsidR="007A7888" w:rsidRDefault="007A7888" w:rsidP="007A7888">
      <w:pPr>
        <w:ind w:firstLine="709"/>
        <w:rPr>
          <w:rFonts w:cs="Times New Roman"/>
          <w:sz w:val="28"/>
          <w:szCs w:val="28"/>
        </w:rPr>
      </w:pPr>
      <w:r w:rsidRPr="007A7888">
        <w:rPr>
          <w:rFonts w:cs="Times New Roman"/>
          <w:sz w:val="28"/>
          <w:szCs w:val="28"/>
        </w:rPr>
        <w:t xml:space="preserve">Получены новые данные, которые подтверждают необходимость мониторинга профилей резистентности изолятов </w:t>
      </w:r>
      <w:r w:rsidRPr="007A7888">
        <w:rPr>
          <w:rFonts w:cs="Times New Roman"/>
          <w:i/>
          <w:sz w:val="28"/>
          <w:szCs w:val="28"/>
        </w:rPr>
        <w:t>S. aureus</w:t>
      </w:r>
      <w:r w:rsidRPr="007A7888">
        <w:rPr>
          <w:rFonts w:cs="Times New Roman"/>
          <w:sz w:val="28"/>
          <w:szCs w:val="28"/>
        </w:rPr>
        <w:t xml:space="preserve"> в животноводческих фермах для обеспечения безопасности продуктов животного происхождения.</w:t>
      </w:r>
    </w:p>
    <w:p w:rsidR="00120E35" w:rsidRPr="00D80965" w:rsidRDefault="00120E35" w:rsidP="007A7888">
      <w:pPr>
        <w:ind w:firstLine="709"/>
        <w:rPr>
          <w:rFonts w:cs="Times New Roman"/>
          <w:b/>
          <w:sz w:val="28"/>
          <w:szCs w:val="28"/>
        </w:rPr>
      </w:pPr>
      <w:r w:rsidRPr="00D80965">
        <w:rPr>
          <w:rFonts w:cs="Times New Roman"/>
          <w:b/>
          <w:sz w:val="28"/>
          <w:szCs w:val="28"/>
        </w:rPr>
        <w:t>Теоретическая и практическая значимость</w:t>
      </w:r>
    </w:p>
    <w:p w:rsidR="00120E35" w:rsidRPr="00120E35" w:rsidRDefault="00120E35" w:rsidP="00AE0408">
      <w:pPr>
        <w:ind w:firstLine="709"/>
        <w:rPr>
          <w:rFonts w:cs="Times New Roman"/>
          <w:sz w:val="28"/>
          <w:szCs w:val="28"/>
        </w:rPr>
      </w:pPr>
      <w:r w:rsidRPr="00120E35">
        <w:rPr>
          <w:rFonts w:cs="Times New Roman"/>
          <w:sz w:val="28"/>
          <w:szCs w:val="28"/>
        </w:rPr>
        <w:t>На основании проведенных исследований разработаны и предложены:</w:t>
      </w:r>
    </w:p>
    <w:p w:rsidR="00120E35" w:rsidRPr="00120E35" w:rsidRDefault="00120E35" w:rsidP="00AE0408">
      <w:pPr>
        <w:ind w:firstLine="709"/>
        <w:rPr>
          <w:rFonts w:cs="Times New Roman"/>
          <w:sz w:val="28"/>
          <w:szCs w:val="28"/>
        </w:rPr>
      </w:pPr>
      <w:r w:rsidRPr="00120E35">
        <w:rPr>
          <w:rFonts w:cs="Times New Roman"/>
          <w:sz w:val="28"/>
          <w:szCs w:val="28"/>
        </w:rPr>
        <w:t xml:space="preserve">- набор на основе мультиплексной ПЦР-РВ для одновременной детекции штаммов </w:t>
      </w:r>
      <w:r w:rsidR="007A7888" w:rsidRPr="007A7888">
        <w:rPr>
          <w:rFonts w:cs="Times New Roman"/>
          <w:i/>
          <w:sz w:val="28"/>
          <w:szCs w:val="28"/>
        </w:rPr>
        <w:t>S. aureus</w:t>
      </w:r>
      <w:r w:rsidRPr="00120E35">
        <w:rPr>
          <w:rFonts w:cs="Times New Roman"/>
          <w:sz w:val="28"/>
          <w:szCs w:val="28"/>
        </w:rPr>
        <w:t xml:space="preserve"> и генетических маркеров резистентности (blaZ, ermC и tetK) к антибактериальным препаратам.</w:t>
      </w:r>
    </w:p>
    <w:p w:rsidR="00120E35" w:rsidRPr="00120E35" w:rsidRDefault="00120E35" w:rsidP="00AE0408">
      <w:pPr>
        <w:ind w:firstLine="709"/>
        <w:rPr>
          <w:rFonts w:cs="Times New Roman"/>
          <w:sz w:val="28"/>
          <w:szCs w:val="28"/>
        </w:rPr>
      </w:pPr>
      <w:r w:rsidRPr="00120E35">
        <w:rPr>
          <w:rFonts w:cs="Times New Roman"/>
          <w:sz w:val="28"/>
          <w:szCs w:val="28"/>
        </w:rPr>
        <w:t xml:space="preserve">- нормативно-техническая документация по использованию «Мультиплексной ПЦР в реальном времени для выявления </w:t>
      </w:r>
      <w:r w:rsidR="007A7888" w:rsidRPr="007A7888">
        <w:rPr>
          <w:rFonts w:cs="Times New Roman"/>
          <w:i/>
          <w:sz w:val="28"/>
          <w:szCs w:val="28"/>
        </w:rPr>
        <w:t>S. aureus</w:t>
      </w:r>
      <w:r w:rsidRPr="00120E35">
        <w:rPr>
          <w:rFonts w:cs="Times New Roman"/>
          <w:sz w:val="28"/>
          <w:szCs w:val="28"/>
        </w:rPr>
        <w:t xml:space="preserve"> в молочной продукции и определения локусов их АБР методом ПЦР в молочной продукции» разработанная согласно «Правилам согласования нормативно-технической документации на новые, усовершенствованные ветеринарные препараты, кормовые добавки», утвержденных приказом Министра сельского хозяйства Республики Казахстан от 28 ноября 2014 года № 7-1/625, которая состоит из 3 структурных нормативных документов:</w:t>
      </w:r>
    </w:p>
    <w:p w:rsidR="00120E35" w:rsidRPr="00120E35" w:rsidRDefault="00120E35" w:rsidP="00AE0408">
      <w:pPr>
        <w:ind w:firstLine="709"/>
        <w:rPr>
          <w:rFonts w:cs="Times New Roman"/>
          <w:sz w:val="28"/>
          <w:szCs w:val="28"/>
        </w:rPr>
      </w:pPr>
      <w:r w:rsidRPr="00120E35">
        <w:rPr>
          <w:rFonts w:cs="Times New Roman"/>
          <w:sz w:val="28"/>
          <w:szCs w:val="28"/>
        </w:rPr>
        <w:t>1. инструкция по изготовлению и контролю (приложение А);</w:t>
      </w:r>
    </w:p>
    <w:p w:rsidR="00120E35" w:rsidRPr="00120E35" w:rsidRDefault="00120E35" w:rsidP="00AE0408">
      <w:pPr>
        <w:ind w:firstLine="709"/>
        <w:rPr>
          <w:rFonts w:cs="Times New Roman"/>
          <w:sz w:val="28"/>
          <w:szCs w:val="28"/>
        </w:rPr>
      </w:pPr>
      <w:r w:rsidRPr="00120E35">
        <w:rPr>
          <w:rFonts w:cs="Times New Roman"/>
          <w:sz w:val="28"/>
          <w:szCs w:val="28"/>
        </w:rPr>
        <w:t>2. инструкция по применению (приложение Б);</w:t>
      </w:r>
    </w:p>
    <w:p w:rsidR="00120E35" w:rsidRPr="00120E35" w:rsidRDefault="00120E35" w:rsidP="00AE0408">
      <w:pPr>
        <w:ind w:firstLine="709"/>
        <w:rPr>
          <w:rFonts w:cs="Times New Roman"/>
          <w:sz w:val="28"/>
          <w:szCs w:val="28"/>
        </w:rPr>
      </w:pPr>
      <w:r w:rsidRPr="00120E35">
        <w:rPr>
          <w:rFonts w:cs="Times New Roman"/>
          <w:sz w:val="28"/>
          <w:szCs w:val="28"/>
        </w:rPr>
        <w:t>3. стандарт организации 034-2023 (приложение В).</w:t>
      </w:r>
    </w:p>
    <w:p w:rsidR="00120E35" w:rsidRPr="00120E35" w:rsidRDefault="00120E35" w:rsidP="00AE0408">
      <w:pPr>
        <w:ind w:firstLine="709"/>
        <w:rPr>
          <w:rFonts w:cs="Times New Roman"/>
          <w:sz w:val="28"/>
          <w:szCs w:val="28"/>
        </w:rPr>
      </w:pPr>
      <w:r w:rsidRPr="00120E35">
        <w:rPr>
          <w:rFonts w:cs="Times New Roman"/>
          <w:sz w:val="28"/>
          <w:szCs w:val="28"/>
        </w:rPr>
        <w:t>- практические рекомендации «Лабораторная диагностика и идентификация возбудителей стафилококкозов, сальмонеллезов и эшерихиозов» для специалистов диагностических лабораторий, преподавателей, студентов, магистрантов и докторантов ветеринарных специальностей (приложение Г);</w:t>
      </w:r>
    </w:p>
    <w:p w:rsidR="00120E35" w:rsidRDefault="00120E35" w:rsidP="00AE0408">
      <w:pPr>
        <w:ind w:firstLine="709"/>
        <w:rPr>
          <w:rFonts w:cs="Times New Roman"/>
          <w:sz w:val="28"/>
          <w:szCs w:val="28"/>
        </w:rPr>
      </w:pPr>
      <w:r w:rsidRPr="00120E35">
        <w:rPr>
          <w:rFonts w:cs="Times New Roman"/>
          <w:sz w:val="28"/>
          <w:szCs w:val="28"/>
        </w:rPr>
        <w:t>- учебное пособие «Диагностика возбудителей энтеропатогенных зооантропонозных заболеваний» для специалистов диагностических лабораторий, преподавателей, студентов, магистрантов и докторантов ветеринарных специальностей (приложение Д);</w:t>
      </w:r>
    </w:p>
    <w:p w:rsidR="009B3C57" w:rsidRPr="00120E35" w:rsidRDefault="009B3C57" w:rsidP="009B3C57">
      <w:pPr>
        <w:ind w:firstLine="709"/>
        <w:rPr>
          <w:rFonts w:cs="Times New Roman"/>
          <w:sz w:val="28"/>
          <w:szCs w:val="28"/>
        </w:rPr>
      </w:pPr>
      <w:r>
        <w:rPr>
          <w:rFonts w:cs="Times New Roman"/>
          <w:sz w:val="28"/>
          <w:szCs w:val="28"/>
        </w:rPr>
        <w:t>- методическое пособие «</w:t>
      </w:r>
      <w:r w:rsidRPr="009B3C57">
        <w:rPr>
          <w:rFonts w:cs="Times New Roman"/>
          <w:sz w:val="28"/>
          <w:szCs w:val="28"/>
        </w:rPr>
        <w:t>Патогендік микроорганизмдердің микробқа қарсы препараттарға сезімталдығын анықтау</w:t>
      </w:r>
      <w:r>
        <w:rPr>
          <w:rFonts w:cs="Times New Roman"/>
          <w:sz w:val="28"/>
          <w:szCs w:val="28"/>
        </w:rPr>
        <w:t>» (</w:t>
      </w:r>
      <w:r w:rsidRPr="00120E35">
        <w:rPr>
          <w:rFonts w:cs="Times New Roman"/>
          <w:sz w:val="28"/>
          <w:szCs w:val="28"/>
        </w:rPr>
        <w:t xml:space="preserve">приложение </w:t>
      </w:r>
      <w:r>
        <w:rPr>
          <w:rFonts w:cs="Times New Roman"/>
          <w:sz w:val="28"/>
          <w:szCs w:val="28"/>
        </w:rPr>
        <w:t>Е);</w:t>
      </w:r>
    </w:p>
    <w:p w:rsidR="00120E35" w:rsidRPr="00120E35" w:rsidRDefault="00120E35" w:rsidP="00AE0408">
      <w:pPr>
        <w:ind w:firstLine="709"/>
        <w:rPr>
          <w:rFonts w:cs="Times New Roman"/>
          <w:sz w:val="28"/>
          <w:szCs w:val="28"/>
        </w:rPr>
      </w:pPr>
      <w:r w:rsidRPr="00120E35">
        <w:rPr>
          <w:rFonts w:cs="Times New Roman"/>
          <w:sz w:val="28"/>
          <w:szCs w:val="28"/>
        </w:rPr>
        <w:t xml:space="preserve">- Полученные результаты диссертационной работы используются при проведении теоретических и практических занятий по дисциплинам «Микробиологическая диагностика болезней сельскохозяйственных животных» образовательная программа бакалавриата 6В09102-Ветеринарная санитария и </w:t>
      </w:r>
      <w:r w:rsidRPr="00120E35">
        <w:rPr>
          <w:rFonts w:cs="Times New Roman"/>
          <w:sz w:val="28"/>
          <w:szCs w:val="28"/>
        </w:rPr>
        <w:lastRenderedPageBreak/>
        <w:t xml:space="preserve">дисциплины «Современные методы диагностики болезней животных» образовательной программы магистратуры 7М09102-Ветеринарная санитария факультета сельскохозяйственных наук КРУ имени Ахмет Байтұрсынұлы, акт внедрения от 12.11.2024 г. (приложение </w:t>
      </w:r>
      <w:r w:rsidR="009B3C57">
        <w:rPr>
          <w:rFonts w:cs="Times New Roman"/>
          <w:sz w:val="28"/>
          <w:szCs w:val="28"/>
        </w:rPr>
        <w:t>Ж</w:t>
      </w:r>
      <w:r w:rsidRPr="00120E35">
        <w:rPr>
          <w:rFonts w:cs="Times New Roman"/>
          <w:sz w:val="28"/>
          <w:szCs w:val="28"/>
        </w:rPr>
        <w:t xml:space="preserve">), и проведении исследовательских работ в лаборатории Западно-Казахстанского технического университета имени Жангир хана (приложение </w:t>
      </w:r>
      <w:r w:rsidR="001C4327">
        <w:rPr>
          <w:rFonts w:cs="Times New Roman"/>
          <w:sz w:val="28"/>
          <w:szCs w:val="28"/>
        </w:rPr>
        <w:t>И</w:t>
      </w:r>
      <w:r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 xml:space="preserve">Работа выполнена в рамках научно-технической программы BR10764944 «Разработка методов аналитического контроля и проведения мониторинга безопасности пищевой продукции» финансированной МСХ в рамках бюджетной программы 267 «Повышение доступности знаний и научных исследований», подпрограмма 101 «Программно-целевое финансирование научных исследований и мероприятий», проект «Разработка мультиплексной ПЦР в реальном времени для выявления </w:t>
      </w:r>
      <w:r w:rsidR="00AE0408" w:rsidRPr="00AE0408">
        <w:rPr>
          <w:rFonts w:cs="Times New Roman"/>
          <w:i/>
          <w:sz w:val="28"/>
          <w:szCs w:val="28"/>
        </w:rPr>
        <w:t>Staphylococcus</w:t>
      </w:r>
      <w:r w:rsidRPr="00120E35">
        <w:rPr>
          <w:rFonts w:cs="Times New Roman"/>
          <w:sz w:val="28"/>
          <w:szCs w:val="28"/>
        </w:rPr>
        <w:t xml:space="preserve"> </w:t>
      </w:r>
      <w:r w:rsidR="00AE0408" w:rsidRPr="00AE0408">
        <w:rPr>
          <w:rFonts w:cs="Times New Roman"/>
          <w:i/>
          <w:sz w:val="28"/>
          <w:szCs w:val="28"/>
        </w:rPr>
        <w:t>aureus</w:t>
      </w:r>
      <w:r w:rsidRPr="00120E35">
        <w:rPr>
          <w:rFonts w:cs="Times New Roman"/>
          <w:sz w:val="28"/>
          <w:szCs w:val="28"/>
        </w:rPr>
        <w:t xml:space="preserve"> и </w:t>
      </w:r>
      <w:r w:rsidR="00AE0408" w:rsidRPr="00AE0408">
        <w:rPr>
          <w:rFonts w:cs="Times New Roman"/>
          <w:i/>
          <w:sz w:val="28"/>
          <w:szCs w:val="28"/>
        </w:rPr>
        <w:t>Streptococcus agalactiae</w:t>
      </w:r>
      <w:r w:rsidRPr="00120E35">
        <w:rPr>
          <w:rFonts w:cs="Times New Roman"/>
          <w:sz w:val="28"/>
          <w:szCs w:val="28"/>
        </w:rPr>
        <w:t xml:space="preserve"> в молочной продукции и определение локусов антибиотикорезистентности» (приложение </w:t>
      </w:r>
      <w:r w:rsidR="001C4327">
        <w:rPr>
          <w:rFonts w:cs="Times New Roman"/>
          <w:sz w:val="28"/>
          <w:szCs w:val="28"/>
        </w:rPr>
        <w:t>К</w:t>
      </w:r>
      <w:r w:rsidRPr="00120E35">
        <w:rPr>
          <w:rFonts w:cs="Times New Roman"/>
          <w:sz w:val="28"/>
          <w:szCs w:val="28"/>
        </w:rPr>
        <w:t xml:space="preserve">). </w:t>
      </w:r>
    </w:p>
    <w:p w:rsidR="00120E35" w:rsidRPr="00120E35" w:rsidRDefault="00120E35" w:rsidP="00AE0408">
      <w:pPr>
        <w:ind w:firstLine="709"/>
        <w:rPr>
          <w:rFonts w:cs="Times New Roman"/>
          <w:sz w:val="28"/>
          <w:szCs w:val="28"/>
        </w:rPr>
      </w:pPr>
      <w:r w:rsidRPr="00D80965">
        <w:rPr>
          <w:rFonts w:cs="Times New Roman"/>
          <w:b/>
          <w:sz w:val="28"/>
          <w:szCs w:val="28"/>
        </w:rPr>
        <w:t>Положения, выносимые на защиту</w:t>
      </w:r>
      <w:r w:rsidRPr="00120E35">
        <w:rPr>
          <w:rFonts w:cs="Times New Roman"/>
          <w:sz w:val="28"/>
          <w:szCs w:val="28"/>
        </w:rPr>
        <w:t>:</w:t>
      </w:r>
    </w:p>
    <w:p w:rsidR="00932B96" w:rsidRPr="002C019E" w:rsidRDefault="00932B96" w:rsidP="00932B96">
      <w:pPr>
        <w:ind w:firstLine="709"/>
        <w:rPr>
          <w:rFonts w:cs="Times New Roman"/>
          <w:sz w:val="28"/>
          <w:szCs w:val="28"/>
        </w:rPr>
      </w:pPr>
      <w:r w:rsidRPr="002C019E">
        <w:rPr>
          <w:rFonts w:cs="Times New Roman"/>
          <w:sz w:val="28"/>
          <w:szCs w:val="28"/>
        </w:rPr>
        <w:t xml:space="preserve">1. Распространённость штаммов </w:t>
      </w:r>
      <w:r w:rsidRPr="002C019E">
        <w:rPr>
          <w:rFonts w:cs="Times New Roman"/>
          <w:i/>
          <w:sz w:val="28"/>
          <w:szCs w:val="28"/>
        </w:rPr>
        <w:t>S. aureus</w:t>
      </w:r>
      <w:r w:rsidRPr="002C019E">
        <w:rPr>
          <w:rFonts w:cs="Times New Roman"/>
          <w:sz w:val="28"/>
          <w:szCs w:val="28"/>
        </w:rPr>
        <w:t>, выделенных из продуктов животного происхождения, устойчивых к антибактериальным препаратам, циркулирующих на территории Костанайской области;</w:t>
      </w:r>
    </w:p>
    <w:p w:rsidR="00932B96" w:rsidRPr="002C019E" w:rsidRDefault="00932B96" w:rsidP="00932B96">
      <w:pPr>
        <w:ind w:firstLine="709"/>
        <w:rPr>
          <w:rFonts w:cs="Times New Roman"/>
          <w:sz w:val="28"/>
          <w:szCs w:val="28"/>
        </w:rPr>
      </w:pPr>
      <w:r w:rsidRPr="002C019E">
        <w:rPr>
          <w:rFonts w:cs="Times New Roman"/>
          <w:sz w:val="28"/>
          <w:szCs w:val="28"/>
        </w:rPr>
        <w:t xml:space="preserve">2. Разработка мультиплексной ПЦР для идентификации </w:t>
      </w:r>
      <w:r w:rsidRPr="002C019E">
        <w:rPr>
          <w:rFonts w:cs="Times New Roman"/>
          <w:i/>
          <w:sz w:val="28"/>
          <w:szCs w:val="28"/>
        </w:rPr>
        <w:t>S. aureus</w:t>
      </w:r>
      <w:r w:rsidRPr="002C019E">
        <w:rPr>
          <w:rFonts w:cs="Times New Roman"/>
          <w:sz w:val="28"/>
          <w:szCs w:val="28"/>
        </w:rPr>
        <w:t xml:space="preserve"> и генетических маркеров устойчивости (blaZ, ermC и tetK) к антибактериальным препаратам в пищевых продуктах животного происхождения;</w:t>
      </w:r>
    </w:p>
    <w:p w:rsidR="00932B96" w:rsidRDefault="00932B96" w:rsidP="00932B96">
      <w:pPr>
        <w:ind w:firstLine="709"/>
        <w:rPr>
          <w:rFonts w:cs="Times New Roman"/>
          <w:sz w:val="28"/>
          <w:szCs w:val="28"/>
        </w:rPr>
      </w:pPr>
      <w:r w:rsidRPr="002C019E">
        <w:rPr>
          <w:rFonts w:cs="Times New Roman"/>
          <w:sz w:val="28"/>
          <w:szCs w:val="28"/>
        </w:rPr>
        <w:t xml:space="preserve">3. Идентификация </w:t>
      </w:r>
      <w:r w:rsidRPr="002C019E">
        <w:rPr>
          <w:rFonts w:cs="Times New Roman"/>
          <w:i/>
          <w:sz w:val="28"/>
          <w:szCs w:val="28"/>
        </w:rPr>
        <w:t>S. aureus</w:t>
      </w:r>
      <w:r w:rsidRPr="002C019E">
        <w:rPr>
          <w:rFonts w:cs="Times New Roman"/>
          <w:sz w:val="28"/>
          <w:szCs w:val="28"/>
        </w:rPr>
        <w:t xml:space="preserve"> и генетических маркеров устойчивости (blaZ, ermC и tetK) к антибактериальным препаратам в пищевых продуктах животного происхождения с применением разработанной мультиплексной полимеразной цепной реакции в реальном времени.</w:t>
      </w:r>
    </w:p>
    <w:p w:rsidR="00120E35" w:rsidRPr="00120E35" w:rsidRDefault="00120E35" w:rsidP="00932B96">
      <w:pPr>
        <w:ind w:firstLine="709"/>
        <w:rPr>
          <w:rFonts w:cs="Times New Roman"/>
          <w:sz w:val="28"/>
          <w:szCs w:val="28"/>
        </w:rPr>
      </w:pPr>
      <w:r w:rsidRPr="00D80965">
        <w:rPr>
          <w:rFonts w:cs="Times New Roman"/>
          <w:b/>
          <w:sz w:val="28"/>
          <w:szCs w:val="28"/>
        </w:rPr>
        <w:t>Апробация работы</w:t>
      </w:r>
      <w:r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 xml:space="preserve">Основные положения, выносимые на защиту, были доложены на международных научно-практических конференциях: </w:t>
      </w:r>
    </w:p>
    <w:p w:rsidR="00120E35" w:rsidRPr="00120E35" w:rsidRDefault="00120E35" w:rsidP="00AE0408">
      <w:pPr>
        <w:ind w:firstLine="709"/>
        <w:rPr>
          <w:rFonts w:cs="Times New Roman"/>
          <w:sz w:val="28"/>
          <w:szCs w:val="28"/>
        </w:rPr>
      </w:pPr>
      <w:r w:rsidRPr="00120E35">
        <w:rPr>
          <w:rFonts w:cs="Times New Roman"/>
          <w:sz w:val="28"/>
          <w:szCs w:val="28"/>
        </w:rPr>
        <w:t>- в материалах международной научно-практической конференции «Байтурсыновские чтения – 2019» 26 апреля 2019 г. (Костанай)</w:t>
      </w:r>
      <w:r w:rsidR="00285025" w:rsidRPr="00285025">
        <w:rPr>
          <w:rFonts w:cs="Times New Roman"/>
          <w:sz w:val="28"/>
          <w:szCs w:val="28"/>
        </w:rPr>
        <w:t xml:space="preserve"> </w:t>
      </w:r>
      <w:r w:rsidR="00285025" w:rsidRPr="00120E35">
        <w:rPr>
          <w:rFonts w:cs="Times New Roman"/>
          <w:sz w:val="28"/>
          <w:szCs w:val="28"/>
        </w:rPr>
        <w:t xml:space="preserve">(приложение </w:t>
      </w:r>
      <w:r w:rsidR="001A43AE">
        <w:rPr>
          <w:rFonts w:cs="Times New Roman"/>
          <w:sz w:val="28"/>
          <w:szCs w:val="28"/>
        </w:rPr>
        <w:t>Л</w:t>
      </w:r>
      <w:r w:rsidR="00285025" w:rsidRPr="00120E35">
        <w:rPr>
          <w:rFonts w:cs="Times New Roman"/>
          <w:sz w:val="28"/>
          <w:szCs w:val="28"/>
        </w:rPr>
        <w:t>)</w:t>
      </w:r>
      <w:r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 xml:space="preserve"> - в материалах международной научно-практической конференции «Байтурсыновские чтения - 2024» на тему: «Концепция развития высшего образования и науки Казахстана – основа роста человеческого капитала и инноваций» 19 апреля 2024 года. (Костанай) (приложение </w:t>
      </w:r>
      <w:r w:rsidR="001A43AE">
        <w:rPr>
          <w:rFonts w:cs="Times New Roman"/>
          <w:sz w:val="28"/>
          <w:szCs w:val="28"/>
        </w:rPr>
        <w:t>Л</w:t>
      </w:r>
      <w:r w:rsidRPr="00120E35">
        <w:rPr>
          <w:rFonts w:cs="Times New Roman"/>
          <w:sz w:val="28"/>
          <w:szCs w:val="28"/>
        </w:rPr>
        <w:t>).</w:t>
      </w:r>
    </w:p>
    <w:p w:rsidR="00120E35" w:rsidRPr="00D80965" w:rsidRDefault="00120E35" w:rsidP="00AE0408">
      <w:pPr>
        <w:ind w:firstLine="709"/>
        <w:rPr>
          <w:rFonts w:cs="Times New Roman"/>
          <w:b/>
          <w:sz w:val="28"/>
          <w:szCs w:val="28"/>
        </w:rPr>
      </w:pPr>
      <w:r w:rsidRPr="00D80965">
        <w:rPr>
          <w:rFonts w:cs="Times New Roman"/>
          <w:b/>
          <w:sz w:val="28"/>
          <w:szCs w:val="28"/>
        </w:rPr>
        <w:t>Публикации</w:t>
      </w:r>
    </w:p>
    <w:p w:rsidR="00120E35" w:rsidRPr="00120E35" w:rsidRDefault="00120E35" w:rsidP="00AE0408">
      <w:pPr>
        <w:ind w:firstLine="709"/>
        <w:rPr>
          <w:rFonts w:cs="Times New Roman"/>
          <w:sz w:val="28"/>
          <w:szCs w:val="28"/>
        </w:rPr>
      </w:pPr>
      <w:r w:rsidRPr="00120E35">
        <w:rPr>
          <w:rFonts w:cs="Times New Roman"/>
          <w:sz w:val="28"/>
          <w:szCs w:val="28"/>
        </w:rPr>
        <w:t xml:space="preserve">По результатам проделанной работы опубликованы </w:t>
      </w:r>
      <w:r w:rsidR="00A106E4">
        <w:rPr>
          <w:rFonts w:cs="Times New Roman"/>
          <w:sz w:val="28"/>
          <w:szCs w:val="28"/>
        </w:rPr>
        <w:t>11</w:t>
      </w:r>
      <w:r w:rsidRPr="00120E35">
        <w:rPr>
          <w:rFonts w:cs="Times New Roman"/>
          <w:sz w:val="28"/>
          <w:szCs w:val="28"/>
        </w:rPr>
        <w:t xml:space="preserve"> статей, в т.ч.:</w:t>
      </w:r>
    </w:p>
    <w:p w:rsidR="00120E35" w:rsidRPr="00120E35" w:rsidRDefault="00120E35" w:rsidP="00AE0408">
      <w:pPr>
        <w:ind w:firstLine="709"/>
        <w:rPr>
          <w:rFonts w:cs="Times New Roman"/>
          <w:sz w:val="28"/>
          <w:szCs w:val="28"/>
        </w:rPr>
      </w:pPr>
      <w:r w:rsidRPr="00120E35">
        <w:rPr>
          <w:rFonts w:cs="Times New Roman"/>
          <w:sz w:val="28"/>
          <w:szCs w:val="28"/>
        </w:rPr>
        <w:t>1 - в журнале «Veterinary World», входящем в международную базу данных Scopus (процентиль 80)</w:t>
      </w:r>
      <w:r w:rsidR="00285025">
        <w:rPr>
          <w:rFonts w:cs="Times New Roman"/>
          <w:sz w:val="28"/>
          <w:szCs w:val="28"/>
        </w:rPr>
        <w:t xml:space="preserve"> </w:t>
      </w:r>
      <w:r w:rsidR="00285025" w:rsidRPr="00120E35">
        <w:rPr>
          <w:rFonts w:cs="Times New Roman"/>
          <w:sz w:val="28"/>
          <w:szCs w:val="28"/>
        </w:rPr>
        <w:t xml:space="preserve">(приложение </w:t>
      </w:r>
      <w:r w:rsidR="001A43AE">
        <w:rPr>
          <w:rFonts w:cs="Times New Roman"/>
          <w:sz w:val="28"/>
          <w:szCs w:val="28"/>
        </w:rPr>
        <w:t>Л</w:t>
      </w:r>
      <w:r w:rsidR="00285025" w:rsidRPr="00120E35">
        <w:rPr>
          <w:rFonts w:cs="Times New Roman"/>
          <w:sz w:val="28"/>
          <w:szCs w:val="28"/>
        </w:rPr>
        <w:t>)</w:t>
      </w:r>
      <w:r w:rsidRPr="00120E35">
        <w:rPr>
          <w:rFonts w:cs="Times New Roman"/>
          <w:sz w:val="28"/>
          <w:szCs w:val="28"/>
        </w:rPr>
        <w:t>;</w:t>
      </w:r>
    </w:p>
    <w:p w:rsidR="00120E35" w:rsidRPr="00120E35" w:rsidRDefault="00A106E4" w:rsidP="00AE0408">
      <w:pPr>
        <w:ind w:firstLine="709"/>
        <w:rPr>
          <w:rFonts w:cs="Times New Roman"/>
          <w:sz w:val="28"/>
          <w:szCs w:val="28"/>
        </w:rPr>
      </w:pPr>
      <w:r>
        <w:rPr>
          <w:rFonts w:cs="Times New Roman"/>
          <w:sz w:val="28"/>
          <w:szCs w:val="28"/>
        </w:rPr>
        <w:t>8</w:t>
      </w:r>
      <w:r w:rsidR="00120E35" w:rsidRPr="00120E35">
        <w:rPr>
          <w:rFonts w:cs="Times New Roman"/>
          <w:sz w:val="28"/>
          <w:szCs w:val="28"/>
        </w:rPr>
        <w:t xml:space="preserve"> - в изданиях, рекомендованных КОКСНВО МНВО РК</w:t>
      </w:r>
      <w:r w:rsidR="00285025">
        <w:rPr>
          <w:rFonts w:cs="Times New Roman"/>
          <w:sz w:val="28"/>
          <w:szCs w:val="28"/>
        </w:rPr>
        <w:t xml:space="preserve"> </w:t>
      </w:r>
      <w:r w:rsidR="00285025" w:rsidRPr="00120E35">
        <w:rPr>
          <w:rFonts w:cs="Times New Roman"/>
          <w:sz w:val="28"/>
          <w:szCs w:val="28"/>
        </w:rPr>
        <w:t xml:space="preserve">(приложение </w:t>
      </w:r>
      <w:r w:rsidR="001A43AE">
        <w:rPr>
          <w:rFonts w:cs="Times New Roman"/>
          <w:sz w:val="28"/>
          <w:szCs w:val="28"/>
        </w:rPr>
        <w:t>Л</w:t>
      </w:r>
      <w:r w:rsidR="00285025" w:rsidRPr="00120E35">
        <w:rPr>
          <w:rFonts w:cs="Times New Roman"/>
          <w:sz w:val="28"/>
          <w:szCs w:val="28"/>
        </w:rPr>
        <w:t>)</w:t>
      </w:r>
      <w:r w:rsidR="00120E35"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2 – в материалах конференций</w:t>
      </w:r>
      <w:r w:rsidR="00285025">
        <w:rPr>
          <w:rFonts w:cs="Times New Roman"/>
          <w:sz w:val="28"/>
          <w:szCs w:val="28"/>
        </w:rPr>
        <w:t xml:space="preserve"> </w:t>
      </w:r>
      <w:r w:rsidR="00285025" w:rsidRPr="00120E35">
        <w:rPr>
          <w:rFonts w:cs="Times New Roman"/>
          <w:sz w:val="28"/>
          <w:szCs w:val="28"/>
        </w:rPr>
        <w:t xml:space="preserve">(приложение </w:t>
      </w:r>
      <w:r w:rsidR="001A43AE">
        <w:rPr>
          <w:rFonts w:cs="Times New Roman"/>
          <w:sz w:val="28"/>
          <w:szCs w:val="28"/>
        </w:rPr>
        <w:t>Л</w:t>
      </w:r>
      <w:r w:rsidR="00285025" w:rsidRPr="00120E35">
        <w:rPr>
          <w:rFonts w:cs="Times New Roman"/>
          <w:sz w:val="28"/>
          <w:szCs w:val="28"/>
        </w:rPr>
        <w:t>)</w:t>
      </w:r>
      <w:r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Получен 1 патент на полезную модель</w:t>
      </w:r>
      <w:r w:rsidR="00285025">
        <w:rPr>
          <w:rFonts w:cs="Times New Roman"/>
          <w:sz w:val="28"/>
          <w:szCs w:val="28"/>
        </w:rPr>
        <w:t xml:space="preserve"> </w:t>
      </w:r>
      <w:r w:rsidR="00285025" w:rsidRPr="00120E35">
        <w:rPr>
          <w:rFonts w:cs="Times New Roman"/>
          <w:sz w:val="28"/>
          <w:szCs w:val="28"/>
        </w:rPr>
        <w:t xml:space="preserve">(приложение </w:t>
      </w:r>
      <w:r w:rsidR="001A43AE">
        <w:rPr>
          <w:rFonts w:cs="Times New Roman"/>
          <w:sz w:val="28"/>
          <w:szCs w:val="28"/>
        </w:rPr>
        <w:t>Л</w:t>
      </w:r>
      <w:r w:rsidR="00285025" w:rsidRPr="00120E35">
        <w:rPr>
          <w:rFonts w:cs="Times New Roman"/>
          <w:sz w:val="28"/>
          <w:szCs w:val="28"/>
        </w:rPr>
        <w:t>)</w:t>
      </w:r>
      <w:r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lastRenderedPageBreak/>
        <w:t>Издана 1 практическая рекомендация</w:t>
      </w:r>
      <w:r w:rsidR="00285025">
        <w:rPr>
          <w:rFonts w:cs="Times New Roman"/>
          <w:sz w:val="28"/>
          <w:szCs w:val="28"/>
        </w:rPr>
        <w:t xml:space="preserve"> </w:t>
      </w:r>
      <w:r w:rsidR="00285025" w:rsidRPr="00120E35">
        <w:rPr>
          <w:rFonts w:cs="Times New Roman"/>
          <w:sz w:val="28"/>
          <w:szCs w:val="28"/>
        </w:rPr>
        <w:t xml:space="preserve">(приложение </w:t>
      </w:r>
      <w:r w:rsidR="001A43AE">
        <w:rPr>
          <w:rFonts w:cs="Times New Roman"/>
          <w:sz w:val="28"/>
          <w:szCs w:val="28"/>
        </w:rPr>
        <w:t>Л</w:t>
      </w:r>
      <w:r w:rsidR="00285025" w:rsidRPr="00120E35">
        <w:rPr>
          <w:rFonts w:cs="Times New Roman"/>
          <w:sz w:val="28"/>
          <w:szCs w:val="28"/>
        </w:rPr>
        <w:t>)</w:t>
      </w:r>
      <w:r w:rsidRPr="00120E35">
        <w:rPr>
          <w:rFonts w:cs="Times New Roman"/>
          <w:sz w:val="28"/>
          <w:szCs w:val="28"/>
        </w:rPr>
        <w:t xml:space="preserve">; </w:t>
      </w:r>
    </w:p>
    <w:p w:rsidR="00120E35" w:rsidRDefault="00120E35" w:rsidP="00AE0408">
      <w:pPr>
        <w:ind w:firstLine="709"/>
        <w:rPr>
          <w:rFonts w:cs="Times New Roman"/>
          <w:sz w:val="28"/>
          <w:szCs w:val="28"/>
        </w:rPr>
      </w:pPr>
      <w:r w:rsidRPr="00120E35">
        <w:rPr>
          <w:rFonts w:cs="Times New Roman"/>
          <w:sz w:val="28"/>
          <w:szCs w:val="28"/>
        </w:rPr>
        <w:t>Издано 1 учебное пособие</w:t>
      </w:r>
      <w:r w:rsidR="00285025">
        <w:rPr>
          <w:rFonts w:cs="Times New Roman"/>
          <w:sz w:val="28"/>
          <w:szCs w:val="28"/>
        </w:rPr>
        <w:t xml:space="preserve"> </w:t>
      </w:r>
      <w:r w:rsidR="00285025" w:rsidRPr="00120E35">
        <w:rPr>
          <w:rFonts w:cs="Times New Roman"/>
          <w:sz w:val="28"/>
          <w:szCs w:val="28"/>
        </w:rPr>
        <w:t xml:space="preserve">(приложение </w:t>
      </w:r>
      <w:r w:rsidR="001A43AE">
        <w:rPr>
          <w:rFonts w:cs="Times New Roman"/>
          <w:sz w:val="28"/>
          <w:szCs w:val="28"/>
        </w:rPr>
        <w:t>Л</w:t>
      </w:r>
      <w:r w:rsidR="00285025" w:rsidRPr="00120E35">
        <w:rPr>
          <w:rFonts w:cs="Times New Roman"/>
          <w:sz w:val="28"/>
          <w:szCs w:val="28"/>
        </w:rPr>
        <w:t>)</w:t>
      </w:r>
      <w:r w:rsidRPr="00120E35">
        <w:rPr>
          <w:rFonts w:cs="Times New Roman"/>
          <w:sz w:val="28"/>
          <w:szCs w:val="28"/>
        </w:rPr>
        <w:t>;</w:t>
      </w:r>
    </w:p>
    <w:p w:rsidR="009B3C57" w:rsidRPr="00120E35" w:rsidRDefault="009B3C57" w:rsidP="00AE0408">
      <w:pPr>
        <w:ind w:firstLine="709"/>
        <w:rPr>
          <w:rFonts w:cs="Times New Roman"/>
          <w:sz w:val="28"/>
          <w:szCs w:val="28"/>
        </w:rPr>
      </w:pPr>
      <w:r w:rsidRPr="00120E35">
        <w:rPr>
          <w:rFonts w:cs="Times New Roman"/>
          <w:sz w:val="28"/>
          <w:szCs w:val="28"/>
        </w:rPr>
        <w:t>Издано 1</w:t>
      </w:r>
      <w:r>
        <w:rPr>
          <w:rFonts w:cs="Times New Roman"/>
          <w:sz w:val="28"/>
          <w:szCs w:val="28"/>
        </w:rPr>
        <w:t xml:space="preserve"> м</w:t>
      </w:r>
      <w:r w:rsidRPr="009B3C57">
        <w:rPr>
          <w:rFonts w:cs="Times New Roman"/>
          <w:sz w:val="28"/>
          <w:szCs w:val="28"/>
        </w:rPr>
        <w:t>етодическое пособие</w:t>
      </w:r>
      <w:r>
        <w:rPr>
          <w:rFonts w:cs="Times New Roman"/>
          <w:sz w:val="28"/>
          <w:szCs w:val="28"/>
        </w:rPr>
        <w:t xml:space="preserve"> </w:t>
      </w:r>
      <w:r w:rsidRPr="00120E35">
        <w:rPr>
          <w:rFonts w:cs="Times New Roman"/>
          <w:sz w:val="28"/>
          <w:szCs w:val="28"/>
        </w:rPr>
        <w:t xml:space="preserve">(приложение </w:t>
      </w:r>
      <w:r w:rsidR="001A43AE">
        <w:rPr>
          <w:rFonts w:cs="Times New Roman"/>
          <w:sz w:val="28"/>
          <w:szCs w:val="28"/>
        </w:rPr>
        <w:t>Л</w:t>
      </w:r>
      <w:r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Разработан</w:t>
      </w:r>
      <w:r w:rsidR="009F1B2C">
        <w:rPr>
          <w:rFonts w:cs="Times New Roman"/>
          <w:sz w:val="28"/>
          <w:szCs w:val="28"/>
        </w:rPr>
        <w:t>а</w:t>
      </w:r>
      <w:r w:rsidRPr="00120E35">
        <w:rPr>
          <w:rFonts w:cs="Times New Roman"/>
          <w:sz w:val="28"/>
          <w:szCs w:val="28"/>
        </w:rPr>
        <w:t xml:space="preserve"> НТД</w:t>
      </w:r>
      <w:r w:rsidR="00285025">
        <w:rPr>
          <w:rFonts w:cs="Times New Roman"/>
          <w:sz w:val="28"/>
          <w:szCs w:val="28"/>
        </w:rPr>
        <w:t xml:space="preserve"> </w:t>
      </w:r>
      <w:r w:rsidR="00285025" w:rsidRPr="00120E35">
        <w:rPr>
          <w:rFonts w:cs="Times New Roman"/>
          <w:sz w:val="28"/>
          <w:szCs w:val="28"/>
        </w:rPr>
        <w:t xml:space="preserve">(приложение </w:t>
      </w:r>
      <w:r w:rsidR="00285025">
        <w:rPr>
          <w:rFonts w:cs="Times New Roman"/>
          <w:sz w:val="28"/>
          <w:szCs w:val="28"/>
        </w:rPr>
        <w:t>А, Б, В</w:t>
      </w:r>
      <w:r w:rsidR="00285025" w:rsidRPr="00120E35">
        <w:rPr>
          <w:rFonts w:cs="Times New Roman"/>
          <w:sz w:val="28"/>
          <w:szCs w:val="28"/>
        </w:rPr>
        <w:t>)</w:t>
      </w:r>
      <w:r w:rsidR="0028502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Издана 1 монография</w:t>
      </w:r>
      <w:r w:rsidR="00285025">
        <w:rPr>
          <w:rFonts w:cs="Times New Roman"/>
          <w:sz w:val="28"/>
          <w:szCs w:val="28"/>
        </w:rPr>
        <w:t xml:space="preserve"> </w:t>
      </w:r>
      <w:r w:rsidR="00285025" w:rsidRPr="00120E35">
        <w:rPr>
          <w:rFonts w:cs="Times New Roman"/>
          <w:sz w:val="28"/>
          <w:szCs w:val="28"/>
        </w:rPr>
        <w:t xml:space="preserve">(приложение </w:t>
      </w:r>
      <w:r w:rsidR="001A43AE">
        <w:rPr>
          <w:rFonts w:cs="Times New Roman"/>
          <w:sz w:val="28"/>
          <w:szCs w:val="28"/>
        </w:rPr>
        <w:t>Л</w:t>
      </w:r>
      <w:r w:rsidR="00285025" w:rsidRPr="00120E35">
        <w:rPr>
          <w:rFonts w:cs="Times New Roman"/>
          <w:sz w:val="28"/>
          <w:szCs w:val="28"/>
        </w:rPr>
        <w:t>)</w:t>
      </w:r>
      <w:r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Степень достоверности результатов данной работы подтверждена достаточным объёмом проведённых исследований с использованием современных лабораторных методов, воспроизводимостью результатов исследований, применением статистических методов. Эксперименты по определению чувствительности и специфичности разработанной ПЦР поставлены в нескольких повторах. Научные положения и выводы, сформулированные в диссертационной работе, подкреплены убедительными фактическими данными, наглядно представленными в приведенных таблицах. Работа выполнялась на сертифицированном и метрологически поверенном оборудовании в аккредитованной лаборатории.</w:t>
      </w:r>
    </w:p>
    <w:p w:rsidR="00120E35" w:rsidRPr="00120E35" w:rsidRDefault="00120E35" w:rsidP="00AE0408">
      <w:pPr>
        <w:ind w:firstLine="709"/>
        <w:rPr>
          <w:rFonts w:cs="Times New Roman"/>
          <w:sz w:val="28"/>
          <w:szCs w:val="28"/>
        </w:rPr>
      </w:pPr>
      <w:r w:rsidRPr="00120E35">
        <w:rPr>
          <w:rFonts w:cs="Times New Roman"/>
          <w:sz w:val="28"/>
          <w:szCs w:val="28"/>
        </w:rPr>
        <w:t xml:space="preserve">Результаты НИР отражены в заключительном отчёте в рамках научно-технической программы BR10764944 «Разработка методов аналитического контроля и проведения мониторинга безопасности пищевой продукции» (приложение </w:t>
      </w:r>
      <w:r w:rsidR="001A43AE">
        <w:rPr>
          <w:rFonts w:cs="Times New Roman"/>
          <w:sz w:val="28"/>
          <w:szCs w:val="28"/>
        </w:rPr>
        <w:t>М</w:t>
      </w:r>
      <w:r w:rsidRPr="00120E35">
        <w:rPr>
          <w:rFonts w:cs="Times New Roman"/>
          <w:sz w:val="28"/>
          <w:szCs w:val="28"/>
        </w:rPr>
        <w:t>).</w:t>
      </w:r>
    </w:p>
    <w:p w:rsidR="00120E35" w:rsidRPr="00120E35" w:rsidRDefault="00120E35" w:rsidP="00AE0408">
      <w:pPr>
        <w:ind w:firstLine="709"/>
        <w:rPr>
          <w:rFonts w:cs="Times New Roman"/>
          <w:sz w:val="28"/>
          <w:szCs w:val="28"/>
        </w:rPr>
      </w:pPr>
      <w:r w:rsidRPr="00120E35">
        <w:rPr>
          <w:rFonts w:cs="Times New Roman"/>
          <w:sz w:val="28"/>
          <w:szCs w:val="28"/>
        </w:rPr>
        <w:t>Личный вклад Диссертантом самостоятельно выполнен анализ зарубежной и отечественной литературы по теме исследования. Все молекулярно-биологические исследования выполнял лично, участвовал в сборе биологических образцов. Автором проведено обобщение и анализ полученных данных, сформулированы выводы и практические рекомендации. Самостоятельно осуществлены статистическая обработка данных, опубликованы статьи, получен патент на полезную модель, подготовлен соответствующий раздел монографии, разработана нормативно-техническая документация.</w:t>
      </w:r>
    </w:p>
    <w:p w:rsidR="00120E35" w:rsidRDefault="00120E35" w:rsidP="00AE0408">
      <w:pPr>
        <w:ind w:firstLine="709"/>
        <w:rPr>
          <w:rFonts w:cs="Times New Roman"/>
          <w:sz w:val="28"/>
          <w:szCs w:val="28"/>
        </w:rPr>
      </w:pPr>
      <w:r w:rsidRPr="00473FBA">
        <w:rPr>
          <w:rFonts w:cs="Times New Roman"/>
          <w:b/>
          <w:sz w:val="28"/>
          <w:szCs w:val="28"/>
        </w:rPr>
        <w:t>Объем и структура диссертационных исследований</w:t>
      </w:r>
      <w:r w:rsidR="00473FBA" w:rsidRPr="00473FBA">
        <w:rPr>
          <w:rFonts w:cs="Times New Roman"/>
          <w:b/>
          <w:sz w:val="28"/>
          <w:szCs w:val="28"/>
        </w:rPr>
        <w:t>.</w:t>
      </w:r>
      <w:r w:rsidRPr="007A7888">
        <w:rPr>
          <w:rFonts w:cs="Times New Roman"/>
          <w:sz w:val="28"/>
          <w:szCs w:val="28"/>
        </w:rPr>
        <w:t xml:space="preserve"> </w:t>
      </w:r>
      <w:r w:rsidR="00932B96" w:rsidRPr="002C019E">
        <w:rPr>
          <w:rFonts w:cs="Times New Roman"/>
          <w:sz w:val="28"/>
          <w:szCs w:val="28"/>
        </w:rPr>
        <w:t>Диссертационная работа изложена на 18</w:t>
      </w:r>
      <w:r w:rsidR="00FB61F2">
        <w:rPr>
          <w:rFonts w:cs="Times New Roman"/>
          <w:sz w:val="28"/>
          <w:szCs w:val="28"/>
        </w:rPr>
        <w:t>6</w:t>
      </w:r>
      <w:r w:rsidR="00932B96" w:rsidRPr="002C019E">
        <w:rPr>
          <w:rFonts w:cs="Times New Roman"/>
          <w:sz w:val="28"/>
          <w:szCs w:val="28"/>
        </w:rPr>
        <w:t xml:space="preserve"> листах машинописного текста и включает разделы: введение, обзор литературы, собственные исследования, результаты исследований, обобщение и оценка результатов исследований, список использованных источников, приложения. Работа содержит 10 формул, 59 рисунков, 29 таблиц, 17 приложе</w:t>
      </w:r>
      <w:r w:rsidR="00932B96">
        <w:rPr>
          <w:rFonts w:cs="Times New Roman"/>
          <w:sz w:val="28"/>
          <w:szCs w:val="28"/>
        </w:rPr>
        <w:t>ний, 41</w:t>
      </w:r>
      <w:r w:rsidR="00015F5F" w:rsidRPr="00E1739C">
        <w:rPr>
          <w:rFonts w:cs="Times New Roman"/>
          <w:sz w:val="28"/>
          <w:szCs w:val="28"/>
        </w:rPr>
        <w:t>9</w:t>
      </w:r>
      <w:r w:rsidR="00932B96">
        <w:rPr>
          <w:rFonts w:cs="Times New Roman"/>
          <w:sz w:val="28"/>
          <w:szCs w:val="28"/>
        </w:rPr>
        <w:t xml:space="preserve"> источников литературы.</w:t>
      </w:r>
    </w:p>
    <w:p w:rsidR="00932B96" w:rsidRDefault="00932B96" w:rsidP="00AE0408">
      <w:pPr>
        <w:ind w:firstLine="709"/>
        <w:rPr>
          <w:rFonts w:cs="Times New Roman"/>
          <w:sz w:val="28"/>
          <w:szCs w:val="28"/>
        </w:rPr>
      </w:pPr>
    </w:p>
    <w:p w:rsidR="00932B96" w:rsidRDefault="00932B96" w:rsidP="00AE0408">
      <w:pPr>
        <w:ind w:firstLine="709"/>
        <w:rPr>
          <w:rFonts w:cs="Times New Roman"/>
          <w:sz w:val="28"/>
          <w:szCs w:val="28"/>
        </w:rPr>
      </w:pPr>
    </w:p>
    <w:p w:rsidR="00D80965" w:rsidRDefault="00D80965" w:rsidP="00120E35">
      <w:pPr>
        <w:rPr>
          <w:rFonts w:cs="Times New Roman"/>
          <w:sz w:val="28"/>
          <w:szCs w:val="28"/>
        </w:rPr>
      </w:pPr>
    </w:p>
    <w:p w:rsidR="00D80965" w:rsidRDefault="00D80965" w:rsidP="00120E35">
      <w:pPr>
        <w:rPr>
          <w:rFonts w:cs="Times New Roman"/>
          <w:sz w:val="28"/>
          <w:szCs w:val="28"/>
        </w:rPr>
      </w:pPr>
    </w:p>
    <w:p w:rsidR="003D540B" w:rsidRDefault="003D540B" w:rsidP="00120E35">
      <w:pPr>
        <w:rPr>
          <w:rFonts w:cs="Times New Roman"/>
          <w:sz w:val="28"/>
          <w:szCs w:val="28"/>
        </w:rPr>
      </w:pPr>
    </w:p>
    <w:p w:rsidR="003D540B" w:rsidRDefault="003D540B" w:rsidP="00120E35">
      <w:pPr>
        <w:rPr>
          <w:rFonts w:cs="Times New Roman"/>
          <w:sz w:val="28"/>
          <w:szCs w:val="28"/>
        </w:rPr>
      </w:pPr>
    </w:p>
    <w:p w:rsidR="004078AD" w:rsidRDefault="004078AD" w:rsidP="00AE0408">
      <w:pPr>
        <w:ind w:firstLine="709"/>
        <w:rPr>
          <w:b/>
          <w:sz w:val="28"/>
          <w:szCs w:val="28"/>
        </w:rPr>
      </w:pPr>
    </w:p>
    <w:p w:rsidR="004078AD" w:rsidRDefault="004078AD" w:rsidP="00AE0408">
      <w:pPr>
        <w:ind w:firstLine="709"/>
        <w:rPr>
          <w:b/>
          <w:sz w:val="28"/>
          <w:szCs w:val="28"/>
        </w:rPr>
      </w:pPr>
    </w:p>
    <w:p w:rsidR="00D80965" w:rsidRPr="00D80965" w:rsidRDefault="00D80965" w:rsidP="00AE0408">
      <w:pPr>
        <w:ind w:firstLine="709"/>
        <w:rPr>
          <w:b/>
          <w:sz w:val="28"/>
          <w:szCs w:val="28"/>
        </w:rPr>
      </w:pPr>
      <w:r w:rsidRPr="00D80965">
        <w:rPr>
          <w:b/>
          <w:sz w:val="28"/>
          <w:szCs w:val="28"/>
        </w:rPr>
        <w:t>1 ОБЗОР ЛИТЕРАТУРЫ</w:t>
      </w:r>
    </w:p>
    <w:p w:rsidR="00D80965" w:rsidRPr="00D80965" w:rsidRDefault="00D80965" w:rsidP="00AE0408">
      <w:pPr>
        <w:ind w:firstLine="709"/>
        <w:rPr>
          <w:b/>
          <w:sz w:val="28"/>
          <w:szCs w:val="28"/>
        </w:rPr>
      </w:pPr>
    </w:p>
    <w:p w:rsidR="00D80965" w:rsidRPr="00D80965" w:rsidRDefault="00D80965" w:rsidP="00AE0408">
      <w:pPr>
        <w:ind w:firstLine="709"/>
        <w:rPr>
          <w:b/>
          <w:sz w:val="28"/>
          <w:szCs w:val="28"/>
        </w:rPr>
      </w:pPr>
      <w:r w:rsidRPr="00D80965">
        <w:rPr>
          <w:b/>
          <w:sz w:val="28"/>
          <w:szCs w:val="28"/>
        </w:rPr>
        <w:t xml:space="preserve">1.1 Таксономия, биологические свойства и патогенность </w:t>
      </w:r>
      <w:r w:rsidR="007A7888" w:rsidRPr="007A7888">
        <w:rPr>
          <w:b/>
          <w:i/>
          <w:sz w:val="28"/>
          <w:szCs w:val="28"/>
        </w:rPr>
        <w:t>S. aureus</w:t>
      </w:r>
    </w:p>
    <w:p w:rsidR="00D80965" w:rsidRPr="00D80965" w:rsidRDefault="007A7888" w:rsidP="00AE0408">
      <w:pPr>
        <w:ind w:firstLine="709"/>
        <w:rPr>
          <w:sz w:val="28"/>
          <w:szCs w:val="28"/>
        </w:rPr>
      </w:pPr>
      <w:r w:rsidRPr="007A7888">
        <w:rPr>
          <w:i/>
          <w:sz w:val="28"/>
          <w:szCs w:val="28"/>
        </w:rPr>
        <w:t>S. aureus</w:t>
      </w:r>
      <w:r w:rsidR="00D80965" w:rsidRPr="00D80965">
        <w:rPr>
          <w:sz w:val="28"/>
          <w:szCs w:val="28"/>
        </w:rPr>
        <w:t xml:space="preserve"> – один из первых описанных патогенов. История познаний о </w:t>
      </w:r>
      <w:r w:rsidRPr="007A7888">
        <w:rPr>
          <w:i/>
          <w:sz w:val="28"/>
          <w:szCs w:val="28"/>
        </w:rPr>
        <w:t>S. aureus</w:t>
      </w:r>
      <w:r w:rsidR="00D80965" w:rsidRPr="00D80965">
        <w:rPr>
          <w:sz w:val="28"/>
          <w:szCs w:val="28"/>
        </w:rPr>
        <w:t xml:space="preserve"> начинается с 1880 года, когда Александр Огстон выделил </w:t>
      </w:r>
      <w:r w:rsidRPr="007A7888">
        <w:rPr>
          <w:i/>
          <w:sz w:val="28"/>
          <w:szCs w:val="28"/>
        </w:rPr>
        <w:t>S. aureus</w:t>
      </w:r>
      <w:r w:rsidR="00D80965" w:rsidRPr="00D80965">
        <w:rPr>
          <w:sz w:val="28"/>
          <w:szCs w:val="28"/>
        </w:rPr>
        <w:t xml:space="preserve"> из раневой инфекции. Изолированный организм обладал способностью вызывать абсцессы при введении морским свинкам и мышам [32]. После этого Луи Пастер вводил гной стафилококковой инфекции человека, вызывая у животных абсцессы. В 1882 году Огстон ввел для этого рода термин </w:t>
      </w:r>
      <w:r w:rsidR="00AE0408" w:rsidRPr="00AE0408">
        <w:rPr>
          <w:i/>
          <w:sz w:val="28"/>
          <w:szCs w:val="28"/>
        </w:rPr>
        <w:t>Staphylococcus</w:t>
      </w:r>
      <w:r w:rsidR="00D80965" w:rsidRPr="00D80965">
        <w:rPr>
          <w:sz w:val="28"/>
          <w:szCs w:val="28"/>
        </w:rPr>
        <w:t xml:space="preserve">, а в 1884 году Розенбах разделил род на виды </w:t>
      </w:r>
      <w:r w:rsidRPr="007A7888">
        <w:rPr>
          <w:i/>
          <w:sz w:val="28"/>
          <w:szCs w:val="28"/>
        </w:rPr>
        <w:t>S. aureus</w:t>
      </w:r>
      <w:r w:rsidR="00D80965" w:rsidRPr="00D80965">
        <w:rPr>
          <w:sz w:val="28"/>
          <w:szCs w:val="28"/>
        </w:rPr>
        <w:t xml:space="preserve"> и </w:t>
      </w:r>
      <w:r w:rsidR="00AE0408" w:rsidRPr="00AE0408">
        <w:rPr>
          <w:i/>
          <w:sz w:val="28"/>
          <w:szCs w:val="28"/>
        </w:rPr>
        <w:t>S. albus</w:t>
      </w:r>
      <w:r w:rsidR="00D80965" w:rsidRPr="00D80965">
        <w:rPr>
          <w:sz w:val="28"/>
          <w:szCs w:val="28"/>
        </w:rPr>
        <w:t xml:space="preserve"> [33, 34].</w:t>
      </w:r>
    </w:p>
    <w:p w:rsidR="00D80965" w:rsidRPr="00D80965" w:rsidRDefault="00D80965" w:rsidP="00AE0408">
      <w:pPr>
        <w:ind w:firstLine="709"/>
        <w:rPr>
          <w:sz w:val="28"/>
          <w:szCs w:val="28"/>
        </w:rPr>
      </w:pPr>
      <w:r w:rsidRPr="00D80965">
        <w:rPr>
          <w:sz w:val="28"/>
          <w:szCs w:val="28"/>
        </w:rPr>
        <w:t xml:space="preserve">Классификация в рамках таксономической системы: вид – </w:t>
      </w:r>
      <w:r w:rsidR="00AE0408" w:rsidRPr="00AE0408">
        <w:rPr>
          <w:i/>
          <w:sz w:val="28"/>
          <w:szCs w:val="28"/>
        </w:rPr>
        <w:t>Staphylococcus</w:t>
      </w:r>
      <w:r w:rsidRPr="00D80965">
        <w:rPr>
          <w:sz w:val="28"/>
          <w:szCs w:val="28"/>
        </w:rPr>
        <w:t xml:space="preserve"> </w:t>
      </w:r>
      <w:r w:rsidR="00AE0408" w:rsidRPr="00AE0408">
        <w:rPr>
          <w:i/>
          <w:sz w:val="28"/>
          <w:szCs w:val="28"/>
        </w:rPr>
        <w:t>aureus</w:t>
      </w:r>
      <w:r w:rsidRPr="00D80965">
        <w:rPr>
          <w:sz w:val="28"/>
          <w:szCs w:val="28"/>
        </w:rPr>
        <w:t xml:space="preserve">; род – </w:t>
      </w:r>
      <w:r w:rsidR="00AE0408" w:rsidRPr="00AE0408">
        <w:rPr>
          <w:i/>
          <w:sz w:val="28"/>
          <w:szCs w:val="28"/>
        </w:rPr>
        <w:t>Staphylococcus</w:t>
      </w:r>
      <w:r w:rsidRPr="00D80965">
        <w:rPr>
          <w:sz w:val="28"/>
          <w:szCs w:val="28"/>
        </w:rPr>
        <w:t xml:space="preserve">; принадлежит к домену </w:t>
      </w:r>
      <w:r w:rsidR="00AE0408" w:rsidRPr="00AE0408">
        <w:rPr>
          <w:i/>
          <w:sz w:val="28"/>
          <w:szCs w:val="28"/>
        </w:rPr>
        <w:t>Bacteria</w:t>
      </w:r>
      <w:r w:rsidRPr="00D80965">
        <w:rPr>
          <w:sz w:val="28"/>
          <w:szCs w:val="28"/>
        </w:rPr>
        <w:t xml:space="preserve">, который включает большинство прокариот; царство – </w:t>
      </w:r>
      <w:r w:rsidR="00AE0408" w:rsidRPr="00AE0408">
        <w:rPr>
          <w:i/>
          <w:sz w:val="28"/>
          <w:szCs w:val="28"/>
        </w:rPr>
        <w:t>Bacteria</w:t>
      </w:r>
      <w:r w:rsidRPr="00D80965">
        <w:rPr>
          <w:sz w:val="28"/>
          <w:szCs w:val="28"/>
        </w:rPr>
        <w:t xml:space="preserve">; отдел – </w:t>
      </w:r>
      <w:r w:rsidR="00AE0408" w:rsidRPr="00AE0408">
        <w:rPr>
          <w:i/>
          <w:sz w:val="28"/>
          <w:szCs w:val="28"/>
        </w:rPr>
        <w:t>Firmicutes</w:t>
      </w:r>
      <w:r w:rsidRPr="00D80965">
        <w:rPr>
          <w:sz w:val="28"/>
          <w:szCs w:val="28"/>
        </w:rPr>
        <w:t xml:space="preserve">; Класс – </w:t>
      </w:r>
      <w:r w:rsidR="00AE0408" w:rsidRPr="00AE0408">
        <w:rPr>
          <w:i/>
          <w:sz w:val="28"/>
          <w:szCs w:val="28"/>
        </w:rPr>
        <w:t>Bacilli</w:t>
      </w:r>
      <w:r w:rsidRPr="00D80965">
        <w:rPr>
          <w:sz w:val="28"/>
          <w:szCs w:val="28"/>
        </w:rPr>
        <w:t xml:space="preserve">; порядок внутри класса </w:t>
      </w:r>
      <w:r w:rsidR="00AE0408" w:rsidRPr="00AE0408">
        <w:rPr>
          <w:i/>
          <w:sz w:val="28"/>
          <w:szCs w:val="28"/>
        </w:rPr>
        <w:t>Bacilli</w:t>
      </w:r>
      <w:r w:rsidRPr="00D80965">
        <w:rPr>
          <w:sz w:val="28"/>
          <w:szCs w:val="28"/>
        </w:rPr>
        <w:t xml:space="preserve"> – </w:t>
      </w:r>
      <w:r w:rsidR="00AE0408" w:rsidRPr="00AE0408">
        <w:rPr>
          <w:i/>
          <w:sz w:val="28"/>
          <w:szCs w:val="28"/>
        </w:rPr>
        <w:t>Bacillales</w:t>
      </w:r>
      <w:r w:rsidRPr="00D80965">
        <w:rPr>
          <w:sz w:val="28"/>
          <w:szCs w:val="28"/>
        </w:rPr>
        <w:t xml:space="preserve">; семейство – </w:t>
      </w:r>
      <w:r w:rsidR="00AE0408" w:rsidRPr="00AE0408">
        <w:rPr>
          <w:i/>
          <w:sz w:val="28"/>
          <w:szCs w:val="28"/>
        </w:rPr>
        <w:t>Staphylococcaceae</w:t>
      </w:r>
      <w:r w:rsidRPr="00D80965">
        <w:rPr>
          <w:sz w:val="28"/>
          <w:szCs w:val="28"/>
        </w:rPr>
        <w:t xml:space="preserve"> [35].</w:t>
      </w:r>
    </w:p>
    <w:p w:rsidR="00D80965" w:rsidRPr="00D80965" w:rsidRDefault="00D80965" w:rsidP="00AE0408">
      <w:pPr>
        <w:ind w:firstLine="709"/>
        <w:rPr>
          <w:sz w:val="28"/>
          <w:szCs w:val="28"/>
        </w:rPr>
      </w:pPr>
      <w:r w:rsidRPr="00D80965">
        <w:rPr>
          <w:sz w:val="28"/>
          <w:szCs w:val="28"/>
        </w:rPr>
        <w:t xml:space="preserve">Биологические свойства. </w:t>
      </w:r>
      <w:r w:rsidR="007A7888" w:rsidRPr="007A7888">
        <w:rPr>
          <w:i/>
          <w:sz w:val="28"/>
          <w:szCs w:val="28"/>
        </w:rPr>
        <w:t>S. aureus</w:t>
      </w:r>
      <w:r w:rsidRPr="00D80965">
        <w:rPr>
          <w:sz w:val="28"/>
          <w:szCs w:val="28"/>
        </w:rPr>
        <w:t xml:space="preserve">, грамположительный, коагулазоположительный возбудитель, принадлежащий к семейству </w:t>
      </w:r>
      <w:r w:rsidR="00AE0408" w:rsidRPr="00AE0408">
        <w:rPr>
          <w:i/>
          <w:sz w:val="28"/>
          <w:szCs w:val="28"/>
        </w:rPr>
        <w:t>Staphylococcaceae</w:t>
      </w:r>
      <w:r w:rsidRPr="00D80965">
        <w:rPr>
          <w:sz w:val="28"/>
          <w:szCs w:val="28"/>
        </w:rPr>
        <w:t>, представляет собой сферическую бактерию диаметром около 1 мкм, образующую гроздья, похожие на гроздья винограда [36, 37]. Имеет толстую слоистую клеточную стенку, которая окрашивается кристаллами фиолетового кристаллического при грам-окрашивании, что делает ее грамположительной [38-41].</w:t>
      </w:r>
    </w:p>
    <w:p w:rsidR="00D80965" w:rsidRPr="00D80965" w:rsidRDefault="00D80965" w:rsidP="00AE0408">
      <w:pPr>
        <w:ind w:firstLine="709"/>
        <w:rPr>
          <w:sz w:val="28"/>
          <w:szCs w:val="28"/>
        </w:rPr>
      </w:pPr>
      <w:r w:rsidRPr="00D80965">
        <w:rPr>
          <w:sz w:val="28"/>
          <w:szCs w:val="28"/>
        </w:rPr>
        <w:t xml:space="preserve">Как и другие факультативные аэробы, </w:t>
      </w:r>
      <w:r w:rsidR="007A7888" w:rsidRPr="007A7888">
        <w:rPr>
          <w:i/>
          <w:sz w:val="28"/>
          <w:szCs w:val="28"/>
        </w:rPr>
        <w:t>S. aureus</w:t>
      </w:r>
      <w:r w:rsidRPr="00D80965">
        <w:rPr>
          <w:sz w:val="28"/>
          <w:szCs w:val="28"/>
        </w:rPr>
        <w:t xml:space="preserve"> может расти в отсутствии кислорода либо за счет ферментации, либо за счет использования альтернативного терминального акцептора электронов, такого как нитрат [42]. Традиционно бактерии рода </w:t>
      </w:r>
      <w:r w:rsidR="00AE0408" w:rsidRPr="00AE0408">
        <w:rPr>
          <w:i/>
          <w:sz w:val="28"/>
          <w:szCs w:val="28"/>
        </w:rPr>
        <w:t>Staphylococcus</w:t>
      </w:r>
      <w:r w:rsidRPr="00D80965">
        <w:rPr>
          <w:sz w:val="28"/>
          <w:szCs w:val="28"/>
        </w:rPr>
        <w:t xml:space="preserve"> делили на две группы на основании способности свертывать плазму крови (коагулазная реакция). Коагулазоположительные стафилококки представляют собой наиболее патогенный вид </w:t>
      </w:r>
      <w:r w:rsidR="007A7888" w:rsidRPr="007A7888">
        <w:rPr>
          <w:i/>
          <w:sz w:val="28"/>
          <w:szCs w:val="28"/>
        </w:rPr>
        <w:t>S. aureus</w:t>
      </w:r>
      <w:r w:rsidRPr="00D80965">
        <w:rPr>
          <w:sz w:val="28"/>
          <w:szCs w:val="28"/>
        </w:rPr>
        <w:t xml:space="preserve"> [43].</w:t>
      </w:r>
    </w:p>
    <w:p w:rsidR="00D80965" w:rsidRPr="00D80965" w:rsidRDefault="00D80965" w:rsidP="00AE0408">
      <w:pPr>
        <w:ind w:firstLine="709"/>
        <w:rPr>
          <w:sz w:val="28"/>
          <w:szCs w:val="28"/>
        </w:rPr>
      </w:pPr>
      <w:r w:rsidRPr="00D80965">
        <w:rPr>
          <w:sz w:val="28"/>
          <w:szCs w:val="28"/>
        </w:rPr>
        <w:t xml:space="preserve">Штаммы </w:t>
      </w:r>
      <w:r w:rsidR="007A7888" w:rsidRPr="007A7888">
        <w:rPr>
          <w:i/>
          <w:sz w:val="28"/>
          <w:szCs w:val="28"/>
        </w:rPr>
        <w:t>S. aureus</w:t>
      </w:r>
      <w:r w:rsidRPr="00D80965">
        <w:rPr>
          <w:sz w:val="28"/>
          <w:szCs w:val="28"/>
        </w:rPr>
        <w:t xml:space="preserve"> экспрессируют каротиноидные пигменты (золотистый пигмент), что отражает их характерную поверхностную пигментацию (</w:t>
      </w:r>
      <w:r w:rsidR="00AE0408" w:rsidRPr="00AE0408">
        <w:rPr>
          <w:i/>
          <w:sz w:val="28"/>
          <w:szCs w:val="28"/>
        </w:rPr>
        <w:t>aureus</w:t>
      </w:r>
      <w:r w:rsidRPr="00D80965">
        <w:rPr>
          <w:sz w:val="28"/>
          <w:szCs w:val="28"/>
        </w:rPr>
        <w:t xml:space="preserve"> на латыни означает «золотой»). Эти пигменты способствуют окислительному стрессу, резистентности нейтрофилов и вирулентности [44, 45].</w:t>
      </w:r>
    </w:p>
    <w:p w:rsidR="00D80965" w:rsidRPr="00D80965" w:rsidRDefault="007A7888" w:rsidP="00AE0408">
      <w:pPr>
        <w:ind w:firstLine="709"/>
        <w:rPr>
          <w:sz w:val="28"/>
          <w:szCs w:val="28"/>
        </w:rPr>
      </w:pPr>
      <w:r w:rsidRPr="007A7888">
        <w:rPr>
          <w:i/>
          <w:sz w:val="28"/>
          <w:szCs w:val="28"/>
        </w:rPr>
        <w:t>S. aureus</w:t>
      </w:r>
      <w:r w:rsidR="00D80965" w:rsidRPr="00D80965">
        <w:rPr>
          <w:sz w:val="28"/>
          <w:szCs w:val="28"/>
        </w:rPr>
        <w:t xml:space="preserve"> является одним из наиболее известных патогенов человека, вызывая самые разнообразные заболевания: от легких кожных и раневых инфекций до смертельного сепсиса или полиорганной недостаточности [46].</w:t>
      </w:r>
    </w:p>
    <w:p w:rsidR="00D80965" w:rsidRPr="00D80965" w:rsidRDefault="00D80965" w:rsidP="00AE0408">
      <w:pPr>
        <w:ind w:firstLine="709"/>
        <w:rPr>
          <w:sz w:val="28"/>
          <w:szCs w:val="28"/>
        </w:rPr>
      </w:pPr>
      <w:r w:rsidRPr="00D80965">
        <w:rPr>
          <w:sz w:val="28"/>
          <w:szCs w:val="28"/>
        </w:rPr>
        <w:t xml:space="preserve">Инфекции, вызванные </w:t>
      </w:r>
      <w:r w:rsidR="007A7888" w:rsidRPr="007A7888">
        <w:rPr>
          <w:i/>
          <w:sz w:val="28"/>
          <w:szCs w:val="28"/>
        </w:rPr>
        <w:t>S. aureus</w:t>
      </w:r>
      <w:r w:rsidRPr="00D80965">
        <w:rPr>
          <w:sz w:val="28"/>
          <w:szCs w:val="28"/>
        </w:rPr>
        <w:t>, основаны на выработке поверхностных белков, которые инициируют прикрепление бактерий к тканям хозяина, секреции внеклеточных токсинов и ферментов, разрушающих клетки и ткани хозяина, предотвращении или инактивации иммунной системы хозяина, а также росте и распространении бактерий. в клетках и тканях хозяина [7</w:t>
      </w:r>
      <w:r w:rsidR="001C6FD1">
        <w:rPr>
          <w:sz w:val="28"/>
          <w:szCs w:val="28"/>
        </w:rPr>
        <w:t>, с. 2</w:t>
      </w:r>
      <w:r w:rsidRPr="00D80965">
        <w:rPr>
          <w:sz w:val="28"/>
          <w:szCs w:val="28"/>
        </w:rPr>
        <w:t xml:space="preserve">]. Коагулаза, гиалуронидаза, дезоксирибонуклеаза и липаза являются некоторыми из ферментов, которые может синтезировать </w:t>
      </w:r>
      <w:r w:rsidR="007A7888" w:rsidRPr="007A7888">
        <w:rPr>
          <w:i/>
          <w:sz w:val="28"/>
          <w:szCs w:val="28"/>
        </w:rPr>
        <w:t>S. aureus</w:t>
      </w:r>
      <w:r w:rsidRPr="00D80965">
        <w:rPr>
          <w:sz w:val="28"/>
          <w:szCs w:val="28"/>
        </w:rPr>
        <w:t xml:space="preserve"> для повышения своей патогенности и распространения внутри хозяина [47]. Кроме того, </w:t>
      </w:r>
      <w:r w:rsidR="007A7888" w:rsidRPr="007A7888">
        <w:rPr>
          <w:i/>
          <w:sz w:val="28"/>
          <w:szCs w:val="28"/>
        </w:rPr>
        <w:t>S. aureus</w:t>
      </w:r>
      <w:r w:rsidRPr="00D80965">
        <w:rPr>
          <w:sz w:val="28"/>
          <w:szCs w:val="28"/>
        </w:rPr>
        <w:t xml:space="preserve"> может вырабатывать энтеротоксины, которые были идентифицированы как внеклеточные белковые токсины, усиливающие патогенность, такие как токсин </w:t>
      </w:r>
      <w:r w:rsidRPr="00D80965">
        <w:rPr>
          <w:sz w:val="28"/>
          <w:szCs w:val="28"/>
        </w:rPr>
        <w:lastRenderedPageBreak/>
        <w:t>синдрома токсического шока, эксфолиативные токсины, гемолизины, ингибиторы дифференцировки эпидермальных клеток и лейкоцидин Пантона-Валентина [48].</w:t>
      </w:r>
    </w:p>
    <w:p w:rsidR="00D80965" w:rsidRPr="00D80965" w:rsidRDefault="00D80965" w:rsidP="00AE0408">
      <w:pPr>
        <w:ind w:firstLine="709"/>
        <w:rPr>
          <w:sz w:val="28"/>
          <w:szCs w:val="28"/>
        </w:rPr>
      </w:pPr>
      <w:r w:rsidRPr="00D80965">
        <w:rPr>
          <w:sz w:val="28"/>
          <w:szCs w:val="28"/>
        </w:rPr>
        <w:t xml:space="preserve">Госпитализации, связанные со стафилококковыми инфекциями, являются частыми, что увеличивает смертность и затраты на здравоохранение [49, 50]. Более того, способность </w:t>
      </w:r>
      <w:r w:rsidR="007A7888" w:rsidRPr="007A7888">
        <w:rPr>
          <w:i/>
          <w:sz w:val="28"/>
          <w:szCs w:val="28"/>
        </w:rPr>
        <w:t>S. aureus</w:t>
      </w:r>
      <w:r w:rsidRPr="00D80965">
        <w:rPr>
          <w:sz w:val="28"/>
          <w:szCs w:val="28"/>
        </w:rPr>
        <w:t xml:space="preserve"> вырабатывать ферменты, нейтрализующие антибиотики, усугубила проблемы, связанные с противомикробной терапией, что привело к появлению многочисленных резистентностей к этим препаратам [51]. Ферменты устойчивости к антибиотикам играют важную роль в устойчивости бактерий к давлению антибиотиков с точки зрения разнообразия, эволюции и распространения. Бактерии, производящие антибиотики, для противодействия их смертельному воздействию, производят особые деградирующие ферменты [51,</w:t>
      </w:r>
      <w:r w:rsidR="001C6FD1">
        <w:rPr>
          <w:sz w:val="28"/>
          <w:szCs w:val="28"/>
        </w:rPr>
        <w:t xml:space="preserve"> с.33;</w:t>
      </w:r>
      <w:r w:rsidRPr="00D80965">
        <w:rPr>
          <w:sz w:val="28"/>
          <w:szCs w:val="28"/>
        </w:rPr>
        <w:t xml:space="preserve"> 52]. Давление отбора, вызванное широким применением антибиотиков у людей и животных, привело к размножению устойчивых бактериальных клонов [7</w:t>
      </w:r>
      <w:r w:rsidR="001C6FD1">
        <w:rPr>
          <w:sz w:val="28"/>
          <w:szCs w:val="28"/>
        </w:rPr>
        <w:t>, с. 2</w:t>
      </w:r>
      <w:r w:rsidRPr="00D80965">
        <w:rPr>
          <w:sz w:val="28"/>
          <w:szCs w:val="28"/>
        </w:rPr>
        <w:t>].</w:t>
      </w:r>
    </w:p>
    <w:p w:rsidR="00D80965" w:rsidRPr="00D80965" w:rsidRDefault="00D80965" w:rsidP="00AE0408">
      <w:pPr>
        <w:ind w:firstLine="709"/>
        <w:rPr>
          <w:sz w:val="28"/>
          <w:szCs w:val="28"/>
        </w:rPr>
      </w:pPr>
      <w:r w:rsidRPr="00D80965">
        <w:rPr>
          <w:sz w:val="28"/>
          <w:szCs w:val="28"/>
        </w:rPr>
        <w:t xml:space="preserve">Токсины, выделяемые </w:t>
      </w:r>
      <w:r w:rsidR="007A7888" w:rsidRPr="007A7888">
        <w:rPr>
          <w:i/>
          <w:sz w:val="28"/>
          <w:szCs w:val="28"/>
        </w:rPr>
        <w:t>S. aureus</w:t>
      </w:r>
    </w:p>
    <w:p w:rsidR="00D80965" w:rsidRPr="00D80965" w:rsidRDefault="00D80965" w:rsidP="00AE0408">
      <w:pPr>
        <w:ind w:firstLine="709"/>
        <w:rPr>
          <w:sz w:val="28"/>
          <w:szCs w:val="28"/>
        </w:rPr>
      </w:pPr>
      <w:r w:rsidRPr="00D80965">
        <w:rPr>
          <w:sz w:val="28"/>
          <w:szCs w:val="28"/>
        </w:rPr>
        <w:t>Гемолизины. Альфа-токсин (α-hemolysin). Вызывает лизис эритроцитов, лейкоцитов, эпителиальных клеток и фибробластов. Обладает провоспалительными свойствами. Вызывает пневмонию и сепсис [53-56]. Гемолизин, наиболее удачно называемый α-токсином из-за его широкого спектра клеточной специфичности, уже давно признан важной причиной повреждений в контексте как некроза кожи, так и летальной инфекции [53</w:t>
      </w:r>
      <w:r w:rsidR="00E20E33">
        <w:rPr>
          <w:sz w:val="28"/>
          <w:szCs w:val="28"/>
        </w:rPr>
        <w:t>, с 1140</w:t>
      </w:r>
      <w:r w:rsidRPr="00D80965">
        <w:rPr>
          <w:sz w:val="28"/>
          <w:szCs w:val="28"/>
        </w:rPr>
        <w:t xml:space="preserve">]. α-гемолизин </w:t>
      </w:r>
      <w:r w:rsidR="007A7888" w:rsidRPr="007A7888">
        <w:rPr>
          <w:i/>
          <w:sz w:val="28"/>
          <w:szCs w:val="28"/>
        </w:rPr>
        <w:t>S. aureus</w:t>
      </w:r>
      <w:r w:rsidRPr="00D80965">
        <w:rPr>
          <w:sz w:val="28"/>
          <w:szCs w:val="28"/>
        </w:rPr>
        <w:t xml:space="preserve"> (α-токсин) является прототипом класса малых β-бочкообразных порообразующих цитотоксинов [57, 58]. Секретируется в виде водорастворимого мономера, способного связываться и олигомеризироваться в гептамерную структуру на мембране клетки-хозяина [59, 60]. Исследования показывают, что кроме прямых последствий (поры в клеточной мембране и клеточный лизис), α-токсин вызывает разнообразные клеточные реакции при сублитической интоксикации, которые включают изменения в клеточных сигнальных путях, управляющих пролиферацией клеток, что влияет на способность клеток к делению и росту. Сублитическая интоксикация α-токсином может вызывать воспалительные реакции в клетках, что связано с активацией иммунных механизмов в ответ на повреждения, вызванные токсином [61-65]. α-токсин может отравлять широкий спектр типов клеток человека, включая эпителиальные клетки, которые составляют защитные барьеры в организме (клетки слизистой оболочки, эндотелиальные клетки), а также клетки гемопоэтического происхождения (Т-клетки, моноциты, макрофаги и нейтрофилы) [66-70].</w:t>
      </w:r>
    </w:p>
    <w:p w:rsidR="00D80965" w:rsidRPr="00D80965" w:rsidRDefault="00D80965" w:rsidP="00AE0408">
      <w:pPr>
        <w:ind w:firstLine="709"/>
        <w:rPr>
          <w:sz w:val="28"/>
          <w:szCs w:val="28"/>
        </w:rPr>
      </w:pPr>
      <w:r w:rsidRPr="00D80965">
        <w:rPr>
          <w:sz w:val="28"/>
          <w:szCs w:val="28"/>
        </w:rPr>
        <w:t xml:space="preserve">Цитотоксины. Пантон-Валентайн Лейкоцидин (ПВЛ) (Panton-Valentine Leukocidin - PVL). Этот токсин обладает порообразующей, провоспалительной активностью и способен вызывать лизис эритроцитов, лейкоцитов, эпителиальных клеток и фибробластов, а также имеет цитотоксическое действие на различные типы клеток. Участвуют в развитии тяжелых инфекций: пневмония, бактеремия, некротический фасциит, инфекции кожи и мягких </w:t>
      </w:r>
      <w:r w:rsidRPr="00D80965">
        <w:rPr>
          <w:sz w:val="28"/>
          <w:szCs w:val="28"/>
        </w:rPr>
        <w:lastRenderedPageBreak/>
        <w:t xml:space="preserve">тканей [71-74]. Большинство штаммов вырабатывают ПВЛ, и несмотря на мощную литическую активность ПВЛ на иммунные клетки, его роль в патогенезе остается неясной [75]. ПВЛ является одним из ключевых факторов вирулентности </w:t>
      </w:r>
      <w:r w:rsidR="007A7888" w:rsidRPr="007A7888">
        <w:rPr>
          <w:i/>
          <w:sz w:val="28"/>
          <w:szCs w:val="28"/>
        </w:rPr>
        <w:t>S. aureus</w:t>
      </w:r>
      <w:r w:rsidRPr="00D80965">
        <w:rPr>
          <w:sz w:val="28"/>
          <w:szCs w:val="28"/>
        </w:rPr>
        <w:t xml:space="preserve">, маркером метициллин-резистентного </w:t>
      </w:r>
      <w:r w:rsidR="007A7888" w:rsidRPr="007A7888">
        <w:rPr>
          <w:i/>
          <w:sz w:val="28"/>
          <w:szCs w:val="28"/>
        </w:rPr>
        <w:t>S. aureus</w:t>
      </w:r>
      <w:r w:rsidRPr="00D80965">
        <w:rPr>
          <w:sz w:val="28"/>
          <w:szCs w:val="28"/>
        </w:rPr>
        <w:t xml:space="preserve"> (MRSA), а также способствует разрушению лейкоцитов, что снижает иммунный ответ организма на инфекцию [76, 77]. Этот токсин получил свое название в честь сэра Филипа Ноэля Пантона и Фрэнсиса Валентайна, которые впервые описали этот токсин в 1932 году и связали его с инфекциями мягких тканей, такими как фурункулы, абсцессы и другие пиодермии, вызванные </w:t>
      </w:r>
      <w:r w:rsidR="007A7888" w:rsidRPr="007A7888">
        <w:rPr>
          <w:i/>
          <w:sz w:val="28"/>
          <w:szCs w:val="28"/>
        </w:rPr>
        <w:t>S. aureus</w:t>
      </w:r>
      <w:r w:rsidRPr="00D80965">
        <w:rPr>
          <w:sz w:val="28"/>
          <w:szCs w:val="28"/>
        </w:rPr>
        <w:t xml:space="preserve"> [78, 79]. ПВЛ представляет собой мощный стафилококковый экзотоксин, и активируется двумя секреторными белками типов F и S [80]. Исследования показывают, что у пациентов с некротической пневмонией, вызванной </w:t>
      </w:r>
      <w:r w:rsidR="007A7888" w:rsidRPr="007A7888">
        <w:rPr>
          <w:i/>
          <w:sz w:val="28"/>
          <w:szCs w:val="28"/>
        </w:rPr>
        <w:t>S. aureus</w:t>
      </w:r>
      <w:r w:rsidRPr="00D80965">
        <w:rPr>
          <w:sz w:val="28"/>
          <w:szCs w:val="28"/>
        </w:rPr>
        <w:t>, риск смерти выше в случае, если инфекция вызвана штаммами, экспрессирующими ген ПВЛ, по сравнению с инфекциями, вызванными ПВЛ негативными штаммами [73</w:t>
      </w:r>
      <w:r w:rsidR="00E20E33">
        <w:rPr>
          <w:sz w:val="28"/>
          <w:szCs w:val="28"/>
        </w:rPr>
        <w:t>, с 753</w:t>
      </w:r>
      <w:r w:rsidRPr="00D80965">
        <w:rPr>
          <w:sz w:val="28"/>
          <w:szCs w:val="28"/>
        </w:rPr>
        <w:t xml:space="preserve">]. </w:t>
      </w:r>
    </w:p>
    <w:p w:rsidR="00D80965" w:rsidRPr="00D80965" w:rsidRDefault="00D80965" w:rsidP="00AE0408">
      <w:pPr>
        <w:ind w:firstLine="709"/>
        <w:rPr>
          <w:sz w:val="28"/>
          <w:szCs w:val="28"/>
        </w:rPr>
      </w:pPr>
      <w:r w:rsidRPr="00D80965">
        <w:rPr>
          <w:sz w:val="28"/>
          <w:szCs w:val="28"/>
        </w:rPr>
        <w:t xml:space="preserve">Экзфолиативные токсины (Exfoliative Toxins) обладают активностью сериновой протеазы. Эти токсины вызывают нарушение межклеточных спаек и соединений клеток эпидермиса, что может привести к симптомам, напоминающим ожоги (синдром ошпаренной кожи) [81, 82]. Экзфолиативные токсины приводят к разрушению связей между клетками эпидермиса. Это заболевание является одним из наиболее тяжелых в спектре инфекций кожи и мягких тканей, вызываемых </w:t>
      </w:r>
      <w:r w:rsidR="007A7888" w:rsidRPr="007A7888">
        <w:rPr>
          <w:i/>
          <w:sz w:val="28"/>
          <w:szCs w:val="28"/>
        </w:rPr>
        <w:t>S. aureus</w:t>
      </w:r>
      <w:r w:rsidRPr="00D80965">
        <w:rPr>
          <w:sz w:val="28"/>
          <w:szCs w:val="28"/>
        </w:rPr>
        <w:t>, которое вызвано гематогенным распространением экзотоксинов, приводящим к шелушению и образованию волдырей на коже, что часто сочетается с лихорадкой [83].</w:t>
      </w:r>
    </w:p>
    <w:p w:rsidR="00D80965" w:rsidRPr="00D80965" w:rsidRDefault="00D80965" w:rsidP="00AE0408">
      <w:pPr>
        <w:ind w:firstLine="709"/>
        <w:rPr>
          <w:sz w:val="28"/>
          <w:szCs w:val="28"/>
        </w:rPr>
      </w:pPr>
      <w:r w:rsidRPr="00D80965">
        <w:rPr>
          <w:sz w:val="28"/>
          <w:szCs w:val="28"/>
        </w:rPr>
        <w:t xml:space="preserve">Энтеротоксины. </w:t>
      </w:r>
      <w:r w:rsidR="007A7888" w:rsidRPr="007A7888">
        <w:rPr>
          <w:i/>
          <w:sz w:val="28"/>
          <w:szCs w:val="28"/>
        </w:rPr>
        <w:t>S. aureus</w:t>
      </w:r>
      <w:r w:rsidRPr="00D80965">
        <w:rPr>
          <w:sz w:val="28"/>
          <w:szCs w:val="28"/>
        </w:rPr>
        <w:t xml:space="preserve"> может вырабатывать различные энтеротоксины, которые могут привести к пищевым отравлениям. Эти токсины обычно образуются в пище, которая была загрязнена </w:t>
      </w:r>
      <w:r w:rsidR="007A7888" w:rsidRPr="007A7888">
        <w:rPr>
          <w:i/>
          <w:sz w:val="28"/>
          <w:szCs w:val="28"/>
        </w:rPr>
        <w:t>S. aureus</w:t>
      </w:r>
      <w:r w:rsidRPr="00D80965">
        <w:rPr>
          <w:sz w:val="28"/>
          <w:szCs w:val="28"/>
        </w:rPr>
        <w:t xml:space="preserve"> и не требует длительного времени для развития симптомов [84-86]. Пищевое отравление, вызванное стафилококковыми энтеротоксинами, является одним из наиболее распространенных заболеваний, связанных с употреблением загрязненных пищевых продуктов [80,</w:t>
      </w:r>
      <w:r w:rsidR="00A37F5F">
        <w:rPr>
          <w:sz w:val="28"/>
          <w:szCs w:val="28"/>
        </w:rPr>
        <w:t xml:space="preserve"> с 1751;</w:t>
      </w:r>
      <w:r w:rsidRPr="00D80965">
        <w:rPr>
          <w:sz w:val="28"/>
          <w:szCs w:val="28"/>
        </w:rPr>
        <w:t xml:space="preserve"> 87]. На сегодняшний день идентифицировано около 20 различных стафилококковых энтеротоксинов, которые считаются причиной отравлений пищевого происхождения [88, 89]. Энтеротоксины, гемолизин и токсин синдрома токсического шока, продуцируются во время размножения [48, </w:t>
      </w:r>
      <w:r w:rsidR="00607E03">
        <w:rPr>
          <w:sz w:val="28"/>
          <w:szCs w:val="28"/>
        </w:rPr>
        <w:t xml:space="preserve">с. 1; </w:t>
      </w:r>
      <w:r w:rsidRPr="00D80965">
        <w:rPr>
          <w:sz w:val="28"/>
          <w:szCs w:val="28"/>
        </w:rPr>
        <w:t xml:space="preserve">90]. Большинство вспышек 33-50% стафилококковых пищевых отравлений, связанных с употреблением коровьего молока, из которых 95% вызвано энтеротоксинами </w:t>
      </w:r>
      <w:r w:rsidR="007A7888" w:rsidRPr="007A7888">
        <w:rPr>
          <w:i/>
          <w:sz w:val="28"/>
          <w:szCs w:val="28"/>
        </w:rPr>
        <w:t>S. aureus</w:t>
      </w:r>
      <w:r w:rsidRPr="00D80965">
        <w:rPr>
          <w:sz w:val="28"/>
          <w:szCs w:val="28"/>
        </w:rPr>
        <w:t xml:space="preserve"> [91-93]. Эти токсины устойчивы к тепловой обработке и не разрушаются во время приготовления пищи, поэтому гигиена при приготовлении и хранении пищи, являются важными мерами для предотвращения стафилококковых пищевых отравлений [94-96].</w:t>
      </w:r>
    </w:p>
    <w:p w:rsidR="00D80965" w:rsidRPr="00D80965" w:rsidRDefault="00D80965" w:rsidP="00AE0408">
      <w:pPr>
        <w:ind w:firstLine="709"/>
        <w:rPr>
          <w:sz w:val="28"/>
          <w:szCs w:val="28"/>
        </w:rPr>
      </w:pPr>
      <w:r w:rsidRPr="00D80965">
        <w:rPr>
          <w:sz w:val="28"/>
          <w:szCs w:val="28"/>
        </w:rPr>
        <w:t xml:space="preserve">Экзотоксины. Токсин 1 синдрома токсического шока (TSST-1). Этот токсин связан с развитием токсического шокового синдрома, который может возникнуть при наличии определенных штаммов </w:t>
      </w:r>
      <w:r w:rsidR="007A7888" w:rsidRPr="007A7888">
        <w:rPr>
          <w:i/>
          <w:sz w:val="28"/>
          <w:szCs w:val="28"/>
        </w:rPr>
        <w:t>S. aureus</w:t>
      </w:r>
      <w:r w:rsidRPr="00D80965">
        <w:rPr>
          <w:sz w:val="28"/>
          <w:szCs w:val="28"/>
        </w:rPr>
        <w:t xml:space="preserve">. TSST-1 </w:t>
      </w:r>
      <w:r w:rsidRPr="00D80965">
        <w:rPr>
          <w:sz w:val="28"/>
          <w:szCs w:val="28"/>
        </w:rPr>
        <w:lastRenderedPageBreak/>
        <w:t xml:space="preserve">способствует сильной иммунологической реакции и может привести к серьезным системным осложнениям [97-99]. Большая часть патогенеза, связанного с </w:t>
      </w:r>
      <w:r w:rsidR="007A7888" w:rsidRPr="007A7888">
        <w:rPr>
          <w:i/>
          <w:sz w:val="28"/>
          <w:szCs w:val="28"/>
        </w:rPr>
        <w:t>S. aureus</w:t>
      </w:r>
      <w:r w:rsidRPr="00D80965">
        <w:rPr>
          <w:sz w:val="28"/>
          <w:szCs w:val="28"/>
        </w:rPr>
        <w:t>, особенно в отношении тяжелых системных инфекций, связана с выработкой TSST-1 [100]. TSST-1 обладает суперантигенной активностью и способен активировать поликлональные Т-клетки независимо от их антигенной специфичности, активация которых напрямую связана с клиническими признаками стафилококкового токсического шока [97,</w:t>
      </w:r>
      <w:r w:rsidR="00607E03">
        <w:rPr>
          <w:sz w:val="28"/>
          <w:szCs w:val="28"/>
        </w:rPr>
        <w:t xml:space="preserve"> с. 77;</w:t>
      </w:r>
      <w:r w:rsidRPr="00D80965">
        <w:rPr>
          <w:sz w:val="28"/>
          <w:szCs w:val="28"/>
        </w:rPr>
        <w:t xml:space="preserve"> 101]. Секреция этих токсинов штаммами </w:t>
      </w:r>
      <w:r w:rsidR="007A7888" w:rsidRPr="007A7888">
        <w:rPr>
          <w:i/>
          <w:sz w:val="28"/>
          <w:szCs w:val="28"/>
        </w:rPr>
        <w:t>S. aureus</w:t>
      </w:r>
      <w:r w:rsidRPr="00D80965">
        <w:rPr>
          <w:sz w:val="28"/>
          <w:szCs w:val="28"/>
        </w:rPr>
        <w:t xml:space="preserve"> связана с тяжелыми клиническими проявлениями стафилококкового токсического шока, который может потребовать продолжительного медицинского вмешательства и наблюдения [102, 103].</w:t>
      </w:r>
    </w:p>
    <w:p w:rsidR="00D80965" w:rsidRPr="00D80965" w:rsidRDefault="00D80965" w:rsidP="00AE0408">
      <w:pPr>
        <w:ind w:firstLine="709"/>
        <w:rPr>
          <w:sz w:val="28"/>
          <w:szCs w:val="28"/>
        </w:rPr>
      </w:pPr>
      <w:r w:rsidRPr="00D80965">
        <w:rPr>
          <w:sz w:val="28"/>
          <w:szCs w:val="28"/>
        </w:rPr>
        <w:t>Фенолрастворимые модулины (Phenol-Soluble Modulins (PSMs)). Этот токсин обладает порообразующей, провоспалительной активностью и способен вызывать лизис эритроцитов, нейтрофилов, моноцитов, бактериальных протопластов, сферопластов, способствует образованию биопленок. Вызывает бактеремии и кожные инфекции [99,</w:t>
      </w:r>
      <w:r w:rsidR="00607E03">
        <w:rPr>
          <w:sz w:val="28"/>
          <w:szCs w:val="28"/>
        </w:rPr>
        <w:t xml:space="preserve"> с. 32;</w:t>
      </w:r>
      <w:r w:rsidRPr="00D80965">
        <w:rPr>
          <w:sz w:val="28"/>
          <w:szCs w:val="28"/>
        </w:rPr>
        <w:t xml:space="preserve"> 104-106]. Сообщается, что фенолрастворимые модулины способствуют патофизиологии инфекций центральной нервной системы, включая инфекции центральной нервной системы, костей и суставов посредством индукции цитотоксичности и повреждения ДНК в остеобластах [107, 108]. В высоких концентрациях фенолрастворимые модулины способны индуцировать разрушение нейтрофилов, эритроцитов, мастоцитов и кератиноцитов, образуя поры в клеточной мембране [109-111]. Обладают поверхностно-активными свойствами, и способны изменять поверхностное напряжение и взаимодействовать с поверхностями различных материалов, включая кожу и различные биомедицинские поверхности, что облегчает колонизацию </w:t>
      </w:r>
      <w:r w:rsidR="007A7888" w:rsidRPr="007A7888">
        <w:rPr>
          <w:i/>
          <w:sz w:val="28"/>
          <w:szCs w:val="28"/>
        </w:rPr>
        <w:t>S. aureus</w:t>
      </w:r>
      <w:r w:rsidRPr="00D80965">
        <w:rPr>
          <w:sz w:val="28"/>
          <w:szCs w:val="28"/>
        </w:rPr>
        <w:t xml:space="preserve"> и образование биопленок, которые представляют собой сложные структуры, состоящие из микроорганизмов и экстраклеточных матриц, сформированных микроорганизмами [106,</w:t>
      </w:r>
      <w:r w:rsidR="00E97531">
        <w:rPr>
          <w:sz w:val="28"/>
          <w:szCs w:val="28"/>
        </w:rPr>
        <w:t xml:space="preserve"> с. 671;</w:t>
      </w:r>
      <w:r w:rsidRPr="00D80965">
        <w:rPr>
          <w:sz w:val="28"/>
          <w:szCs w:val="28"/>
        </w:rPr>
        <w:t xml:space="preserve"> 112-114].</w:t>
      </w:r>
    </w:p>
    <w:p w:rsidR="00D80965" w:rsidRPr="00D80965" w:rsidRDefault="00D80965" w:rsidP="00AE0408">
      <w:pPr>
        <w:ind w:firstLine="709"/>
        <w:rPr>
          <w:sz w:val="28"/>
          <w:szCs w:val="28"/>
        </w:rPr>
      </w:pPr>
      <w:r w:rsidRPr="00D80965">
        <w:rPr>
          <w:sz w:val="28"/>
          <w:szCs w:val="28"/>
        </w:rPr>
        <w:t>Ингибитор</w:t>
      </w:r>
      <w:r w:rsidRPr="00193E25">
        <w:rPr>
          <w:sz w:val="28"/>
          <w:szCs w:val="28"/>
          <w:lang w:val="en-US"/>
        </w:rPr>
        <w:t xml:space="preserve"> </w:t>
      </w:r>
      <w:r w:rsidRPr="00D80965">
        <w:rPr>
          <w:sz w:val="28"/>
          <w:szCs w:val="28"/>
        </w:rPr>
        <w:t>дифференцировки</w:t>
      </w:r>
      <w:r w:rsidRPr="00193E25">
        <w:rPr>
          <w:sz w:val="28"/>
          <w:szCs w:val="28"/>
          <w:lang w:val="en-US"/>
        </w:rPr>
        <w:t xml:space="preserve"> </w:t>
      </w:r>
      <w:r w:rsidRPr="00D80965">
        <w:rPr>
          <w:sz w:val="28"/>
          <w:szCs w:val="28"/>
        </w:rPr>
        <w:t>эпидермальных</w:t>
      </w:r>
      <w:r w:rsidRPr="00193E25">
        <w:rPr>
          <w:sz w:val="28"/>
          <w:szCs w:val="28"/>
          <w:lang w:val="en-US"/>
        </w:rPr>
        <w:t xml:space="preserve"> </w:t>
      </w:r>
      <w:r w:rsidRPr="00D80965">
        <w:rPr>
          <w:sz w:val="28"/>
          <w:szCs w:val="28"/>
        </w:rPr>
        <w:t>клеток</w:t>
      </w:r>
      <w:r w:rsidRPr="00193E25">
        <w:rPr>
          <w:sz w:val="28"/>
          <w:szCs w:val="28"/>
          <w:lang w:val="en-US"/>
        </w:rPr>
        <w:t xml:space="preserve"> (Epidermal Cell Differentiation Inhibitor – EDIN). </w:t>
      </w:r>
      <w:r w:rsidRPr="00D80965">
        <w:rPr>
          <w:sz w:val="28"/>
          <w:szCs w:val="28"/>
        </w:rPr>
        <w:t>Токсин обладает трансцеллюлярной и туннельной активностью, вызывает нарушения в эндотелиальных клетках, участвует в развитии тяжелых инфекций: пневмония, бактеремия, язва диабетической стопы [115-117]. В настоящее время идентифицировано три формы токсинов EDIN: EDIN-A, EDIN-B и EDIN-C [117,</w:t>
      </w:r>
      <w:r w:rsidR="00E97531">
        <w:rPr>
          <w:sz w:val="28"/>
          <w:szCs w:val="28"/>
        </w:rPr>
        <w:t xml:space="preserve"> с. 879</w:t>
      </w:r>
      <w:r w:rsidR="00015F5F">
        <w:rPr>
          <w:sz w:val="28"/>
          <w:szCs w:val="28"/>
        </w:rPr>
        <w:t xml:space="preserve">; </w:t>
      </w:r>
      <w:r w:rsidRPr="00D80965">
        <w:rPr>
          <w:sz w:val="28"/>
          <w:szCs w:val="28"/>
        </w:rPr>
        <w:t xml:space="preserve">118]. Ингибиторы дифференцировки эпидермальных клеток проникают в клетки-хозяева и вызывают ряд изменений, которые способствуют патогенезу инфекции: один из таких механизмов, связан с индукцией макроапертур. представляющих собой большие временные трансклеточные туннели внутри эндотелиальных клеток, которые нарушают целостность эндотелиального барьера, что может способствовать распространению инфекции; другой, связан с ингибированием небольшого белка хозяина RhoA вызывая дисфункцию эндотелиальных клеток, который играет ключевую роль в регуляции клеточной актиновой цитоскелетной структуры и клеточной миграции [116, </w:t>
      </w:r>
      <w:r w:rsidR="00C620AD">
        <w:rPr>
          <w:sz w:val="28"/>
          <w:szCs w:val="28"/>
        </w:rPr>
        <w:t xml:space="preserve">с. 816; </w:t>
      </w:r>
      <w:r w:rsidRPr="00D80965">
        <w:rPr>
          <w:sz w:val="28"/>
          <w:szCs w:val="28"/>
        </w:rPr>
        <w:t xml:space="preserve">119]. Исследования в данной области показали, что ингибирование RhoA может </w:t>
      </w:r>
      <w:r w:rsidRPr="00D80965">
        <w:rPr>
          <w:sz w:val="28"/>
          <w:szCs w:val="28"/>
        </w:rPr>
        <w:lastRenderedPageBreak/>
        <w:t>оказывать негативное влияние на сплоченность эпителиального и эндотелиального барьера способствуя распространению бактерий [116,</w:t>
      </w:r>
      <w:r w:rsidR="00C620AD" w:rsidRPr="00C620AD">
        <w:rPr>
          <w:sz w:val="28"/>
          <w:szCs w:val="28"/>
        </w:rPr>
        <w:t xml:space="preserve"> </w:t>
      </w:r>
      <w:r w:rsidR="00C620AD">
        <w:rPr>
          <w:sz w:val="28"/>
          <w:szCs w:val="28"/>
        </w:rPr>
        <w:t>с. 816;</w:t>
      </w:r>
      <w:r w:rsidRPr="00D80965">
        <w:rPr>
          <w:sz w:val="28"/>
          <w:szCs w:val="28"/>
        </w:rPr>
        <w:t xml:space="preserve"> 120]. Кроме того, ингибирование белка RhoA оказывает влияние на фагоцитоз, нарушая работу макрофагов и нейтрофилов [121]. Эффекты ингибирования белка RhoA, указывают на то, что факторы, секретируемые ингибиторами дифференцировки эпидермальных клеток, играют важную роль в колонизации </w:t>
      </w:r>
      <w:r w:rsidR="007A7888" w:rsidRPr="007A7888">
        <w:rPr>
          <w:i/>
          <w:sz w:val="28"/>
          <w:szCs w:val="28"/>
        </w:rPr>
        <w:t>S. aureus</w:t>
      </w:r>
      <w:r w:rsidRPr="00D80965">
        <w:rPr>
          <w:sz w:val="28"/>
          <w:szCs w:val="28"/>
        </w:rPr>
        <w:t xml:space="preserve"> и инвазии в ткани хозяина [122, 123].</w:t>
      </w:r>
    </w:p>
    <w:p w:rsidR="00D80965" w:rsidRDefault="00D80965" w:rsidP="00AE0408">
      <w:pPr>
        <w:ind w:firstLine="709"/>
        <w:rPr>
          <w:sz w:val="28"/>
          <w:szCs w:val="28"/>
        </w:rPr>
      </w:pPr>
      <w:r w:rsidRPr="00D80965">
        <w:rPr>
          <w:sz w:val="28"/>
          <w:szCs w:val="28"/>
        </w:rPr>
        <w:t xml:space="preserve">Таким образом, </w:t>
      </w:r>
      <w:r w:rsidR="007A7888" w:rsidRPr="007A7888">
        <w:rPr>
          <w:i/>
          <w:sz w:val="28"/>
          <w:szCs w:val="28"/>
        </w:rPr>
        <w:t>S. aureus</w:t>
      </w:r>
      <w:r w:rsidRPr="00D80965">
        <w:rPr>
          <w:sz w:val="28"/>
          <w:szCs w:val="28"/>
        </w:rPr>
        <w:t xml:space="preserve"> относится к числу наиболее патогенных микроорганизмов, а обширный спектр воздействия его токсинов на разные типы клеток оказывает негативное воздействие на различные системы организма: нарушение целостности слизистых оболочек и нарушение их барьерной функции; поражение эндотелия с нарушением целостности сосудистой системы; негативное влияние на клетки иммунной системы с последующим нарушением иммунного ответа. Ключевым моментом для понимания патогенеза инфекций, вызываемых </w:t>
      </w:r>
      <w:r w:rsidR="007A7888" w:rsidRPr="007A7888">
        <w:rPr>
          <w:i/>
          <w:sz w:val="28"/>
          <w:szCs w:val="28"/>
        </w:rPr>
        <w:t>S. aureus</w:t>
      </w:r>
      <w:r w:rsidRPr="00D80965">
        <w:rPr>
          <w:sz w:val="28"/>
          <w:szCs w:val="28"/>
        </w:rPr>
        <w:t>, является изучение механизмов действия его токсинов, что в дальнейшем может способствовать разработке стратегий профилактики и лечения.</w:t>
      </w:r>
    </w:p>
    <w:p w:rsidR="009F1B2C" w:rsidRPr="00D80965" w:rsidRDefault="009F1B2C" w:rsidP="00AE0408">
      <w:pPr>
        <w:ind w:firstLine="709"/>
        <w:rPr>
          <w:sz w:val="28"/>
          <w:szCs w:val="28"/>
        </w:rPr>
      </w:pPr>
    </w:p>
    <w:p w:rsidR="00D80965" w:rsidRPr="00943133" w:rsidRDefault="00D80965" w:rsidP="00AE0408">
      <w:pPr>
        <w:ind w:firstLine="709"/>
        <w:rPr>
          <w:b/>
          <w:sz w:val="28"/>
          <w:szCs w:val="28"/>
        </w:rPr>
      </w:pPr>
      <w:r w:rsidRPr="00943133">
        <w:rPr>
          <w:b/>
          <w:sz w:val="28"/>
          <w:szCs w:val="28"/>
        </w:rPr>
        <w:t xml:space="preserve">1.2 Санитарное значение </w:t>
      </w:r>
      <w:r w:rsidR="007A7888" w:rsidRPr="007A7888">
        <w:rPr>
          <w:b/>
          <w:i/>
          <w:sz w:val="28"/>
          <w:szCs w:val="28"/>
        </w:rPr>
        <w:t>S. aureus</w:t>
      </w:r>
      <w:r w:rsidRPr="00943133">
        <w:rPr>
          <w:b/>
          <w:sz w:val="28"/>
          <w:szCs w:val="28"/>
        </w:rPr>
        <w:t xml:space="preserve"> в пищевой продукции животного происхождения, роль в патологии животных</w:t>
      </w:r>
    </w:p>
    <w:p w:rsidR="00D80965" w:rsidRPr="00D80965" w:rsidRDefault="00D80965" w:rsidP="00AE0408">
      <w:pPr>
        <w:ind w:firstLine="709"/>
        <w:rPr>
          <w:sz w:val="28"/>
          <w:szCs w:val="28"/>
        </w:rPr>
      </w:pPr>
      <w:r w:rsidRPr="00D80965">
        <w:rPr>
          <w:sz w:val="28"/>
          <w:szCs w:val="28"/>
        </w:rPr>
        <w:t xml:space="preserve">Вследствие влияния на пищевую безопасность и здоровье человека, распространение </w:t>
      </w:r>
      <w:r w:rsidR="007A7888" w:rsidRPr="007A7888">
        <w:rPr>
          <w:i/>
          <w:sz w:val="28"/>
          <w:szCs w:val="28"/>
        </w:rPr>
        <w:t>S. aureus</w:t>
      </w:r>
      <w:r w:rsidRPr="00D80965">
        <w:rPr>
          <w:sz w:val="28"/>
          <w:szCs w:val="28"/>
        </w:rPr>
        <w:t xml:space="preserve"> в продукции животного происхождения привлекает особое внимание во всем мире, а понимание механизмов распространения в пищевых продуктах имеет особое значение [124-127]. С точки зрения пищевой безопасности, как было отмечено выше, </w:t>
      </w:r>
      <w:r w:rsidR="007A7888" w:rsidRPr="007A7888">
        <w:rPr>
          <w:i/>
          <w:sz w:val="28"/>
          <w:szCs w:val="28"/>
        </w:rPr>
        <w:t>S. aureus</w:t>
      </w:r>
      <w:r w:rsidRPr="00D80965">
        <w:rPr>
          <w:sz w:val="28"/>
          <w:szCs w:val="28"/>
        </w:rPr>
        <w:t xml:space="preserve"> может загрязнять продукты питания, вызывая пищевые отравления благодаря его способности продуцировать энтеротоксины [128]. Ранее считалось, что </w:t>
      </w:r>
      <w:r w:rsidR="007A7888" w:rsidRPr="007A7888">
        <w:rPr>
          <w:i/>
          <w:sz w:val="28"/>
          <w:szCs w:val="28"/>
        </w:rPr>
        <w:t>S. aureus</w:t>
      </w:r>
      <w:r w:rsidRPr="00D80965">
        <w:rPr>
          <w:sz w:val="28"/>
          <w:szCs w:val="28"/>
        </w:rPr>
        <w:t xml:space="preserve"> может распространятся только среди животных, пока исследователи в 1961 году не установили первый задокументированный случай передачи </w:t>
      </w:r>
      <w:r w:rsidR="007A7888" w:rsidRPr="007A7888">
        <w:rPr>
          <w:i/>
          <w:sz w:val="28"/>
          <w:szCs w:val="28"/>
        </w:rPr>
        <w:t>S. aureus</w:t>
      </w:r>
      <w:r w:rsidRPr="00D80965">
        <w:rPr>
          <w:sz w:val="28"/>
          <w:szCs w:val="28"/>
        </w:rPr>
        <w:t xml:space="preserve"> от животных к человеку, когда источником передачи инфекции оказались венгерские коровы [129]. Уже позже, исследования, проведенные в различных частях мира, показали, что </w:t>
      </w:r>
      <w:r w:rsidR="007A7888" w:rsidRPr="007A7888">
        <w:rPr>
          <w:i/>
          <w:sz w:val="28"/>
          <w:szCs w:val="28"/>
        </w:rPr>
        <w:t>S. aureus</w:t>
      </w:r>
      <w:r w:rsidRPr="00D80965">
        <w:rPr>
          <w:sz w:val="28"/>
          <w:szCs w:val="28"/>
        </w:rPr>
        <w:t xml:space="preserve"> может передаваться не только между различными видами животных, но и от животных человеку [130]. Распространение и накопление </w:t>
      </w:r>
      <w:r w:rsidR="007A7888" w:rsidRPr="007A7888">
        <w:rPr>
          <w:i/>
          <w:sz w:val="28"/>
          <w:szCs w:val="28"/>
        </w:rPr>
        <w:t>S. aureus</w:t>
      </w:r>
      <w:r w:rsidRPr="00D80965">
        <w:rPr>
          <w:sz w:val="28"/>
          <w:szCs w:val="28"/>
        </w:rPr>
        <w:t xml:space="preserve"> в продуктах животного происхождения вызывает серьезные последствия для здоровья человека, вызывая тяжелые инфекции [131-135].</w:t>
      </w:r>
    </w:p>
    <w:p w:rsidR="00D80965" w:rsidRPr="00D80965" w:rsidRDefault="00D80965" w:rsidP="00AE0408">
      <w:pPr>
        <w:ind w:firstLine="709"/>
        <w:rPr>
          <w:sz w:val="28"/>
          <w:szCs w:val="28"/>
        </w:rPr>
      </w:pPr>
      <w:r w:rsidRPr="00D80965">
        <w:rPr>
          <w:sz w:val="28"/>
          <w:szCs w:val="28"/>
        </w:rPr>
        <w:t xml:space="preserve">Потенциальную возможность передачи от человека в пищевую продукцию животного происхождения указывают генетические исследования, где выявлено сходство между </w:t>
      </w:r>
      <w:r w:rsidR="007A7888" w:rsidRPr="007A7888">
        <w:rPr>
          <w:i/>
          <w:sz w:val="28"/>
          <w:szCs w:val="28"/>
        </w:rPr>
        <w:t>S. aureus</w:t>
      </w:r>
      <w:r w:rsidRPr="00D80965">
        <w:rPr>
          <w:sz w:val="28"/>
          <w:szCs w:val="28"/>
        </w:rPr>
        <w:t xml:space="preserve"> выделенными от человека и из пищевых продуктов [136, 137].</w:t>
      </w:r>
    </w:p>
    <w:p w:rsidR="00D80965" w:rsidRPr="00D80965" w:rsidRDefault="00D80965" w:rsidP="00AE0408">
      <w:pPr>
        <w:ind w:firstLine="709"/>
        <w:rPr>
          <w:sz w:val="28"/>
          <w:szCs w:val="28"/>
        </w:rPr>
      </w:pPr>
      <w:r w:rsidRPr="00D80965">
        <w:rPr>
          <w:sz w:val="28"/>
          <w:szCs w:val="28"/>
        </w:rPr>
        <w:t xml:space="preserve">Исследованиями многих ученых, подтвержден тот факт, что продукты животного происхождения, такие как мясо и молочная продукция могут служить источником распространения золотистого стафилококка. Так согласно </w:t>
      </w:r>
      <w:r w:rsidR="00943133" w:rsidRPr="00D80965">
        <w:rPr>
          <w:sz w:val="28"/>
          <w:szCs w:val="28"/>
        </w:rPr>
        <w:t>исследованиям,</w:t>
      </w:r>
      <w:r w:rsidRPr="00D80965">
        <w:rPr>
          <w:sz w:val="28"/>
          <w:szCs w:val="28"/>
        </w:rPr>
        <w:t xml:space="preserve"> китайских ученых из Университета Цзяннань Yan, J., et al., </w:t>
      </w:r>
      <w:r w:rsidRPr="00D80965">
        <w:rPr>
          <w:sz w:val="28"/>
          <w:szCs w:val="28"/>
        </w:rPr>
        <w:lastRenderedPageBreak/>
        <w:t xml:space="preserve">наиболее высокая обсемененность обнаружена в мясных продуктах - до 24 %, а в говядине достигала до 33% [138]. По данным Titouche, Y., et al., аналогичным образом возможна передача </w:t>
      </w:r>
      <w:r w:rsidR="007A7888" w:rsidRPr="007A7888">
        <w:rPr>
          <w:i/>
          <w:sz w:val="28"/>
          <w:szCs w:val="28"/>
        </w:rPr>
        <w:t>S. aureus</w:t>
      </w:r>
      <w:r w:rsidRPr="00D80965">
        <w:rPr>
          <w:sz w:val="28"/>
          <w:szCs w:val="28"/>
        </w:rPr>
        <w:t xml:space="preserve"> и через молочные продукты [131</w:t>
      </w:r>
      <w:r w:rsidR="001035A1">
        <w:rPr>
          <w:sz w:val="28"/>
          <w:szCs w:val="28"/>
        </w:rPr>
        <w:t xml:space="preserve">, с. </w:t>
      </w:r>
      <w:r w:rsidR="001035A1" w:rsidRPr="001035A1">
        <w:rPr>
          <w:sz w:val="28"/>
          <w:szCs w:val="28"/>
        </w:rPr>
        <w:t>3699</w:t>
      </w:r>
      <w:r w:rsidRPr="00D80965">
        <w:rPr>
          <w:sz w:val="28"/>
          <w:szCs w:val="28"/>
        </w:rPr>
        <w:t xml:space="preserve">]. </w:t>
      </w:r>
    </w:p>
    <w:p w:rsidR="00D80965" w:rsidRPr="00D80965" w:rsidRDefault="00D80965" w:rsidP="00AE0408">
      <w:pPr>
        <w:ind w:firstLine="709"/>
        <w:rPr>
          <w:sz w:val="28"/>
          <w:szCs w:val="28"/>
        </w:rPr>
      </w:pPr>
      <w:r w:rsidRPr="00D80965">
        <w:rPr>
          <w:sz w:val="28"/>
          <w:szCs w:val="28"/>
        </w:rPr>
        <w:t>Omoshaba, E.O., et al., сообщает о наиболее низкой распространенности MRSA (5%) в образцах коровьего молока в штате Насарава (Нигерия), а в штате Абеокуте (Нигерия) по данным Odetokun, I., et al. уровень обнаружения MRSA в сыром молоке достигал 18,5%. Также в свежем мясе птицы, обсемененность достигала 72,5%, что доказывает важную роль и домашней птицы как переносчика этого патогена [139]. На птицеперерабатывающих предприятиях, основным источником обсеменения вероятно является и кожа живых цыплят [132</w:t>
      </w:r>
      <w:r w:rsidR="005D00C0">
        <w:rPr>
          <w:sz w:val="28"/>
          <w:szCs w:val="28"/>
        </w:rPr>
        <w:t xml:space="preserve">, с. </w:t>
      </w:r>
      <w:r w:rsidR="005D00C0" w:rsidRPr="005D00C0">
        <w:rPr>
          <w:sz w:val="28"/>
          <w:szCs w:val="28"/>
        </w:rPr>
        <w:t>109454</w:t>
      </w:r>
      <w:r w:rsidRPr="00D80965">
        <w:rPr>
          <w:sz w:val="28"/>
          <w:szCs w:val="28"/>
        </w:rPr>
        <w:t xml:space="preserve">]. Исследования ученых разных стран показывают, что продукты птицеводства имеют высокий уровень обсемененности </w:t>
      </w:r>
      <w:r w:rsidR="007A7888" w:rsidRPr="007A7888">
        <w:rPr>
          <w:i/>
          <w:sz w:val="28"/>
          <w:szCs w:val="28"/>
        </w:rPr>
        <w:t>S. aureus</w:t>
      </w:r>
      <w:r w:rsidRPr="00D80965">
        <w:rPr>
          <w:sz w:val="28"/>
          <w:szCs w:val="28"/>
        </w:rPr>
        <w:t>, многие изоляты которого энтеротоксигенны и имеют устойчивость к антибактериальным препаратам [132,</w:t>
      </w:r>
      <w:r w:rsidR="005D00C0">
        <w:rPr>
          <w:sz w:val="28"/>
          <w:szCs w:val="28"/>
        </w:rPr>
        <w:t xml:space="preserve"> с. </w:t>
      </w:r>
      <w:r w:rsidR="005D00C0" w:rsidRPr="005D00C0">
        <w:rPr>
          <w:sz w:val="28"/>
          <w:szCs w:val="28"/>
        </w:rPr>
        <w:t>109454</w:t>
      </w:r>
      <w:r w:rsidR="005D00C0">
        <w:rPr>
          <w:sz w:val="28"/>
          <w:szCs w:val="28"/>
        </w:rPr>
        <w:t>;</w:t>
      </w:r>
      <w:r w:rsidRPr="00D80965">
        <w:rPr>
          <w:sz w:val="28"/>
          <w:szCs w:val="28"/>
        </w:rPr>
        <w:t xml:space="preserve"> 135</w:t>
      </w:r>
      <w:r w:rsidR="00475A05">
        <w:rPr>
          <w:sz w:val="28"/>
          <w:szCs w:val="28"/>
        </w:rPr>
        <w:t>, с. 1</w:t>
      </w:r>
      <w:r w:rsidRPr="00D80965">
        <w:rPr>
          <w:sz w:val="28"/>
          <w:szCs w:val="28"/>
        </w:rPr>
        <w:t>].</w:t>
      </w:r>
    </w:p>
    <w:p w:rsidR="00D80965" w:rsidRPr="00D80965" w:rsidRDefault="00D80965" w:rsidP="00AE0408">
      <w:pPr>
        <w:ind w:firstLine="709"/>
        <w:rPr>
          <w:sz w:val="28"/>
          <w:szCs w:val="28"/>
        </w:rPr>
      </w:pPr>
      <w:r w:rsidRPr="00D80965">
        <w:rPr>
          <w:sz w:val="28"/>
          <w:szCs w:val="28"/>
        </w:rPr>
        <w:t xml:space="preserve">В Эфиопии, результаты проведенных исследований показали высокую степень загрязненности штаммами </w:t>
      </w:r>
      <w:r w:rsidR="007A7888" w:rsidRPr="007A7888">
        <w:rPr>
          <w:i/>
          <w:sz w:val="28"/>
          <w:szCs w:val="28"/>
        </w:rPr>
        <w:t>S. aureus</w:t>
      </w:r>
      <w:r w:rsidRPr="00D80965">
        <w:rPr>
          <w:sz w:val="28"/>
          <w:szCs w:val="28"/>
        </w:rPr>
        <w:t xml:space="preserve"> сырого коровьего молока до 30,7%, верблюжьего до 23,8% [140]. Исследователи из Камеруна утверждают, что сырое молоко показывает более высокую степень обсемененности золотистым стафилококком по сравнению с говядиной – 48% против 5,2% [141]. Не менее реже загрязнению подвержены продукты птицеводческого производства, где источником загрязнения на фермах чаще всего служат живые цыплята, мясо механической обработки и кожа [132</w:t>
      </w:r>
      <w:r w:rsidR="00475A05">
        <w:rPr>
          <w:sz w:val="28"/>
          <w:szCs w:val="28"/>
        </w:rPr>
        <w:t xml:space="preserve">, с. </w:t>
      </w:r>
      <w:r w:rsidR="00475A05" w:rsidRPr="00475A05">
        <w:rPr>
          <w:sz w:val="28"/>
          <w:szCs w:val="28"/>
        </w:rPr>
        <w:t>109454</w:t>
      </w:r>
      <w:r w:rsidRPr="00D80965">
        <w:rPr>
          <w:sz w:val="28"/>
          <w:szCs w:val="28"/>
        </w:rPr>
        <w:t xml:space="preserve">]. Кроме выше перечисленных продуктов, </w:t>
      </w:r>
      <w:r w:rsidR="007A7888" w:rsidRPr="007A7888">
        <w:rPr>
          <w:i/>
          <w:sz w:val="28"/>
          <w:szCs w:val="28"/>
        </w:rPr>
        <w:t>S. aureus</w:t>
      </w:r>
      <w:r w:rsidRPr="00D80965">
        <w:rPr>
          <w:sz w:val="28"/>
          <w:szCs w:val="28"/>
        </w:rPr>
        <w:t xml:space="preserve"> был обнаружен так же в сыре и рыбе [133,</w:t>
      </w:r>
      <w:r w:rsidR="00015F5F">
        <w:rPr>
          <w:sz w:val="28"/>
          <w:szCs w:val="28"/>
        </w:rPr>
        <w:t xml:space="preserve"> с. 1;</w:t>
      </w:r>
      <w:r w:rsidRPr="00D80965">
        <w:rPr>
          <w:sz w:val="28"/>
          <w:szCs w:val="28"/>
        </w:rPr>
        <w:t xml:space="preserve"> 136</w:t>
      </w:r>
      <w:r w:rsidR="00462E6F">
        <w:rPr>
          <w:sz w:val="28"/>
          <w:szCs w:val="28"/>
        </w:rPr>
        <w:t>,</w:t>
      </w:r>
      <w:r w:rsidR="00462E6F" w:rsidRPr="00462E6F">
        <w:rPr>
          <w:sz w:val="28"/>
          <w:szCs w:val="28"/>
        </w:rPr>
        <w:t xml:space="preserve"> </w:t>
      </w:r>
      <w:r w:rsidR="00462E6F">
        <w:rPr>
          <w:sz w:val="28"/>
          <w:szCs w:val="28"/>
        </w:rPr>
        <w:t>с. 1</w:t>
      </w:r>
      <w:r w:rsidRPr="00D80965">
        <w:rPr>
          <w:sz w:val="28"/>
          <w:szCs w:val="28"/>
        </w:rPr>
        <w:t>].</w:t>
      </w:r>
    </w:p>
    <w:p w:rsidR="00D80965" w:rsidRPr="00D80965" w:rsidRDefault="00D80965" w:rsidP="00AE0408">
      <w:pPr>
        <w:ind w:firstLine="709"/>
        <w:rPr>
          <w:sz w:val="28"/>
          <w:szCs w:val="28"/>
        </w:rPr>
      </w:pPr>
      <w:r w:rsidRPr="00D80965">
        <w:rPr>
          <w:sz w:val="28"/>
          <w:szCs w:val="28"/>
        </w:rPr>
        <w:t xml:space="preserve">Исследователи из Турции установили обсемененность продуктов животного происхождения, таких как сырое молоко, сыр и говяжий фарш, где распространенность </w:t>
      </w:r>
      <w:r w:rsidR="007A7888" w:rsidRPr="007A7888">
        <w:rPr>
          <w:i/>
          <w:sz w:val="28"/>
          <w:szCs w:val="28"/>
        </w:rPr>
        <w:t>S. aureus</w:t>
      </w:r>
      <w:r w:rsidRPr="00D80965">
        <w:rPr>
          <w:sz w:val="28"/>
          <w:szCs w:val="28"/>
        </w:rPr>
        <w:t xml:space="preserve"> достигала 17,3%. У штаммов </w:t>
      </w:r>
      <w:r w:rsidR="007A7888" w:rsidRPr="007A7888">
        <w:rPr>
          <w:i/>
          <w:sz w:val="28"/>
          <w:szCs w:val="28"/>
        </w:rPr>
        <w:t>S. aureus</w:t>
      </w:r>
      <w:r w:rsidRPr="00D80965">
        <w:rPr>
          <w:sz w:val="28"/>
          <w:szCs w:val="28"/>
        </w:rPr>
        <w:t xml:space="preserve">, выделенных из этих продуктов часто обнаруживались детерминанты вирулентности, токсигенности и устойчивости к антибиотикам, что может стать причиной пищевого отравления [142]. При этом </w:t>
      </w:r>
      <w:r w:rsidR="007A7888" w:rsidRPr="007A7888">
        <w:rPr>
          <w:i/>
          <w:sz w:val="28"/>
          <w:szCs w:val="28"/>
        </w:rPr>
        <w:t>S. aureus</w:t>
      </w:r>
      <w:r w:rsidRPr="00D80965">
        <w:rPr>
          <w:sz w:val="28"/>
          <w:szCs w:val="28"/>
        </w:rPr>
        <w:t xml:space="preserve"> может приспосабливаться к различным видам антибактериальных препаратов через генетические мутации, включая приобретение или утрату мобильных детерминант устойчивости [125</w:t>
      </w:r>
      <w:r w:rsidR="004A7609">
        <w:rPr>
          <w:sz w:val="28"/>
          <w:szCs w:val="28"/>
        </w:rPr>
        <w:t>, с. 1</w:t>
      </w:r>
      <w:r w:rsidRPr="00D80965">
        <w:rPr>
          <w:sz w:val="28"/>
          <w:szCs w:val="28"/>
        </w:rPr>
        <w:t>].</w:t>
      </w:r>
    </w:p>
    <w:p w:rsidR="00D80965" w:rsidRPr="00D80965" w:rsidRDefault="00D80965" w:rsidP="00AE0408">
      <w:pPr>
        <w:ind w:firstLine="709"/>
        <w:rPr>
          <w:sz w:val="28"/>
          <w:szCs w:val="28"/>
        </w:rPr>
      </w:pPr>
      <w:r w:rsidRPr="00D80965">
        <w:rPr>
          <w:sz w:val="28"/>
          <w:szCs w:val="28"/>
        </w:rPr>
        <w:t xml:space="preserve">Известен случай передачи по пищевой цепи, где источником инфекции был корм, содержащий свиные отходы, через который впоследствии произошло поражение людей, контактировавших с животными на ферме [143]. </w:t>
      </w:r>
    </w:p>
    <w:p w:rsidR="00D80965" w:rsidRPr="00D80965" w:rsidRDefault="00D80965" w:rsidP="00AE0408">
      <w:pPr>
        <w:ind w:firstLine="709"/>
        <w:rPr>
          <w:sz w:val="28"/>
          <w:szCs w:val="28"/>
        </w:rPr>
      </w:pPr>
      <w:r w:rsidRPr="00D80965">
        <w:rPr>
          <w:sz w:val="28"/>
          <w:szCs w:val="28"/>
        </w:rPr>
        <w:t>Загрязнение продукции может происходить на любом этапе производства, начиная от первичной переработки, заканчивая конечным потребителем, человек же при этом является основным источником распространения [133</w:t>
      </w:r>
      <w:r w:rsidR="00475A05">
        <w:rPr>
          <w:sz w:val="28"/>
          <w:szCs w:val="28"/>
        </w:rPr>
        <w:t xml:space="preserve">, с. </w:t>
      </w:r>
      <w:r w:rsidR="004A7609">
        <w:rPr>
          <w:sz w:val="28"/>
          <w:szCs w:val="28"/>
        </w:rPr>
        <w:t>29</w:t>
      </w:r>
      <w:r w:rsidR="00475A05">
        <w:rPr>
          <w:sz w:val="28"/>
          <w:szCs w:val="28"/>
        </w:rPr>
        <w:t>1</w:t>
      </w:r>
      <w:r w:rsidRPr="00D80965">
        <w:rPr>
          <w:sz w:val="28"/>
          <w:szCs w:val="28"/>
        </w:rPr>
        <w:t xml:space="preserve">]. Исследования китайских ученных выявили множество путей передачи и распространение отдельного клона </w:t>
      </w:r>
      <w:r w:rsidR="007A7888" w:rsidRPr="007A7888">
        <w:rPr>
          <w:i/>
          <w:sz w:val="28"/>
          <w:szCs w:val="28"/>
        </w:rPr>
        <w:t>S. aureus</w:t>
      </w:r>
      <w:r w:rsidRPr="00D80965">
        <w:rPr>
          <w:sz w:val="28"/>
          <w:szCs w:val="28"/>
        </w:rPr>
        <w:t xml:space="preserve"> в различных пищевых продуктах по всей стране [144]. Для </w:t>
      </w:r>
      <w:r w:rsidR="007A7888" w:rsidRPr="007A7888">
        <w:rPr>
          <w:i/>
          <w:sz w:val="28"/>
          <w:szCs w:val="28"/>
        </w:rPr>
        <w:t>S. aureus</w:t>
      </w:r>
      <w:r w:rsidRPr="00D80965">
        <w:rPr>
          <w:sz w:val="28"/>
          <w:szCs w:val="28"/>
        </w:rPr>
        <w:t xml:space="preserve"> в условиях убойных цехов источниками обсеменения и путями его передачи служат рабочий инвентарь, вода и воздух [145]. </w:t>
      </w:r>
      <w:r w:rsidR="007A7888" w:rsidRPr="007A7888">
        <w:rPr>
          <w:i/>
          <w:sz w:val="28"/>
          <w:szCs w:val="28"/>
        </w:rPr>
        <w:t>S. aureus</w:t>
      </w:r>
      <w:r w:rsidRPr="00D80965">
        <w:rPr>
          <w:sz w:val="28"/>
          <w:szCs w:val="28"/>
        </w:rPr>
        <w:t xml:space="preserve"> может выживать на поверхности пищевого оборудования и инвентаря в состоянии биопленки, что </w:t>
      </w:r>
      <w:r w:rsidRPr="00D80965">
        <w:rPr>
          <w:sz w:val="28"/>
          <w:szCs w:val="28"/>
        </w:rPr>
        <w:lastRenderedPageBreak/>
        <w:t>затрудняет его уничтожение и тем самым способствуя распространению в процессе переработки и производства продукции животного происхождения [145</w:t>
      </w:r>
      <w:r w:rsidR="00462E6F">
        <w:rPr>
          <w:sz w:val="28"/>
          <w:szCs w:val="28"/>
        </w:rPr>
        <w:t>, с. 11</w:t>
      </w:r>
      <w:r w:rsidRPr="00D80965">
        <w:rPr>
          <w:sz w:val="28"/>
          <w:szCs w:val="28"/>
        </w:rPr>
        <w:t xml:space="preserve">]. </w:t>
      </w:r>
    </w:p>
    <w:p w:rsidR="00D80965" w:rsidRPr="00D80965" w:rsidRDefault="00D80965" w:rsidP="00AE0408">
      <w:pPr>
        <w:ind w:firstLine="709"/>
        <w:rPr>
          <w:sz w:val="28"/>
          <w:szCs w:val="28"/>
        </w:rPr>
      </w:pPr>
      <w:r w:rsidRPr="00462E6F">
        <w:rPr>
          <w:sz w:val="28"/>
          <w:szCs w:val="28"/>
        </w:rPr>
        <w:t xml:space="preserve">Тот факт, что </w:t>
      </w:r>
      <w:r w:rsidR="007A7888" w:rsidRPr="00462E6F">
        <w:rPr>
          <w:i/>
          <w:sz w:val="28"/>
          <w:szCs w:val="28"/>
        </w:rPr>
        <w:t>S. aureus</w:t>
      </w:r>
      <w:r w:rsidRPr="00462E6F">
        <w:rPr>
          <w:sz w:val="28"/>
          <w:szCs w:val="28"/>
        </w:rPr>
        <w:t xml:space="preserve"> не образует спор, не отменяет его распространения в пищевых продуктах во время температурной обработки, где он может образовывать стафилококковые энтеротоксины приводя к пищевым отравлениям. </w:t>
      </w:r>
      <w:r w:rsidR="007A7888" w:rsidRPr="00462E6F">
        <w:rPr>
          <w:i/>
          <w:sz w:val="28"/>
          <w:szCs w:val="28"/>
        </w:rPr>
        <w:t>S. aureus</w:t>
      </w:r>
      <w:r w:rsidRPr="00462E6F">
        <w:rPr>
          <w:sz w:val="28"/>
          <w:szCs w:val="28"/>
        </w:rPr>
        <w:t xml:space="preserve"> способен расти в диапазоне температур от 7° до 48,5°C, при pH – от 4,2 до 9,3, при том, что оптимальная температура роста колеблется в диапазоне от 30 до 37°C, а оптимальный pH находится в пределах 7-7,5. </w:t>
      </w:r>
      <w:r w:rsidR="007A7888" w:rsidRPr="00462E6F">
        <w:rPr>
          <w:i/>
          <w:sz w:val="28"/>
          <w:szCs w:val="28"/>
        </w:rPr>
        <w:t>S. aureus</w:t>
      </w:r>
      <w:r w:rsidRPr="00462E6F">
        <w:rPr>
          <w:sz w:val="28"/>
          <w:szCs w:val="28"/>
        </w:rPr>
        <w:t xml:space="preserve"> способен выживать при концентрации хлорида натрия до 15% [93</w:t>
      </w:r>
      <w:r w:rsidR="007A01ED" w:rsidRPr="00462E6F">
        <w:rPr>
          <w:sz w:val="28"/>
          <w:szCs w:val="28"/>
        </w:rPr>
        <w:t>, с. 2</w:t>
      </w:r>
      <w:r w:rsidRPr="00462E6F">
        <w:rPr>
          <w:sz w:val="28"/>
          <w:szCs w:val="28"/>
        </w:rPr>
        <w:t>]. Энтеротоксины, продуцируемые золотистым стафилококком устойчивы к высоким температурам и могут вызывать пищевые отравления даже после нейтрализации бактерий [146].</w:t>
      </w:r>
    </w:p>
    <w:p w:rsidR="00D80965" w:rsidRPr="00D80965" w:rsidRDefault="00D80965" w:rsidP="00AE0408">
      <w:pPr>
        <w:ind w:firstLine="709"/>
        <w:rPr>
          <w:sz w:val="28"/>
          <w:szCs w:val="28"/>
        </w:rPr>
      </w:pPr>
      <w:r w:rsidRPr="00D80965">
        <w:rPr>
          <w:sz w:val="28"/>
          <w:szCs w:val="28"/>
        </w:rPr>
        <w:t xml:space="preserve">Таким образом, изучение устойчивости </w:t>
      </w:r>
      <w:r w:rsidR="007A7888" w:rsidRPr="007A7888">
        <w:rPr>
          <w:i/>
          <w:sz w:val="28"/>
          <w:szCs w:val="28"/>
        </w:rPr>
        <w:t>S. aureus</w:t>
      </w:r>
      <w:r w:rsidRPr="00D80965">
        <w:rPr>
          <w:sz w:val="28"/>
          <w:szCs w:val="28"/>
        </w:rPr>
        <w:t xml:space="preserve"> при высоких концентрациях соли и высоких температурах имеет крайне важное значение в повышении уровня безопасности продуктов питания, здравоохранения и здоровья животных, что несомненно оказывает благоприятное воздействие на общественное благополучие и экономическое развитие.</w:t>
      </w:r>
    </w:p>
    <w:p w:rsidR="00D80965" w:rsidRPr="00D80965" w:rsidRDefault="00D80965" w:rsidP="00AE0408">
      <w:pPr>
        <w:ind w:firstLine="709"/>
        <w:rPr>
          <w:sz w:val="28"/>
          <w:szCs w:val="28"/>
        </w:rPr>
      </w:pPr>
      <w:r w:rsidRPr="00D80965">
        <w:rPr>
          <w:sz w:val="28"/>
          <w:szCs w:val="28"/>
        </w:rPr>
        <w:t xml:space="preserve">Биотехнологические и фармацевтические исследования </w:t>
      </w:r>
      <w:r w:rsidR="007A7888" w:rsidRPr="007A7888">
        <w:rPr>
          <w:i/>
          <w:sz w:val="28"/>
          <w:szCs w:val="28"/>
        </w:rPr>
        <w:t>S. aureus</w:t>
      </w:r>
      <w:r w:rsidRPr="00D80965">
        <w:rPr>
          <w:sz w:val="28"/>
          <w:szCs w:val="28"/>
        </w:rPr>
        <w:t xml:space="preserve"> имеют широкое распространение в медицине и ветеринарии, включая разработку вакцин и диагностических средств [147]. </w:t>
      </w:r>
    </w:p>
    <w:p w:rsidR="00D80965" w:rsidRPr="00D80965" w:rsidRDefault="00D80965" w:rsidP="00AE0408">
      <w:pPr>
        <w:ind w:firstLine="709"/>
        <w:rPr>
          <w:sz w:val="28"/>
          <w:szCs w:val="28"/>
        </w:rPr>
      </w:pPr>
      <w:r w:rsidRPr="00D80965">
        <w:rPr>
          <w:sz w:val="28"/>
          <w:szCs w:val="28"/>
        </w:rPr>
        <w:t xml:space="preserve">В целях снижения уровня обсемененности и обеспечения здоровья человека, особенно важен регулярный микробиологический контроль и ветеринарно-санитарные меры при производстве, хранении и реализации продукции животного происхождения [131, </w:t>
      </w:r>
      <w:r w:rsidR="001035A1">
        <w:rPr>
          <w:sz w:val="28"/>
          <w:szCs w:val="28"/>
        </w:rPr>
        <w:t xml:space="preserve">с. </w:t>
      </w:r>
      <w:r w:rsidR="001035A1" w:rsidRPr="001035A1">
        <w:rPr>
          <w:sz w:val="28"/>
          <w:szCs w:val="28"/>
        </w:rPr>
        <w:t>3716</w:t>
      </w:r>
      <w:r w:rsidR="001035A1">
        <w:rPr>
          <w:sz w:val="28"/>
          <w:szCs w:val="28"/>
        </w:rPr>
        <w:t xml:space="preserve">; </w:t>
      </w:r>
      <w:r w:rsidRPr="00D80965">
        <w:rPr>
          <w:sz w:val="28"/>
          <w:szCs w:val="28"/>
        </w:rPr>
        <w:t>133</w:t>
      </w:r>
      <w:r w:rsidR="004A7609">
        <w:rPr>
          <w:sz w:val="28"/>
          <w:szCs w:val="28"/>
        </w:rPr>
        <w:t>, с. 295</w:t>
      </w:r>
      <w:r w:rsidRPr="00D80965">
        <w:rPr>
          <w:sz w:val="28"/>
          <w:szCs w:val="28"/>
        </w:rPr>
        <w:t xml:space="preserve">]. </w:t>
      </w:r>
    </w:p>
    <w:p w:rsidR="00D80965" w:rsidRPr="00D80965" w:rsidRDefault="00D80965" w:rsidP="00AE0408">
      <w:pPr>
        <w:ind w:firstLine="709"/>
        <w:rPr>
          <w:sz w:val="28"/>
          <w:szCs w:val="28"/>
        </w:rPr>
      </w:pPr>
      <w:r w:rsidRPr="00D80965">
        <w:rPr>
          <w:sz w:val="28"/>
          <w:szCs w:val="28"/>
        </w:rPr>
        <w:t xml:space="preserve">Патологии, вызываемые </w:t>
      </w:r>
      <w:r w:rsidR="007A7888" w:rsidRPr="007A7888">
        <w:rPr>
          <w:i/>
          <w:sz w:val="28"/>
          <w:szCs w:val="28"/>
        </w:rPr>
        <w:t>S. aureus</w:t>
      </w:r>
      <w:r w:rsidRPr="00D80965">
        <w:rPr>
          <w:sz w:val="28"/>
          <w:szCs w:val="28"/>
        </w:rPr>
        <w:t xml:space="preserve"> у животных:</w:t>
      </w:r>
    </w:p>
    <w:p w:rsidR="00D80965" w:rsidRPr="00D80965" w:rsidRDefault="007A7888" w:rsidP="00AE0408">
      <w:pPr>
        <w:ind w:firstLine="709"/>
        <w:rPr>
          <w:sz w:val="28"/>
          <w:szCs w:val="28"/>
        </w:rPr>
      </w:pPr>
      <w:r w:rsidRPr="007A7888">
        <w:rPr>
          <w:i/>
          <w:sz w:val="28"/>
          <w:szCs w:val="28"/>
        </w:rPr>
        <w:t>S. aureus</w:t>
      </w:r>
      <w:r w:rsidR="00D80965" w:rsidRPr="00D80965">
        <w:rPr>
          <w:sz w:val="28"/>
          <w:szCs w:val="28"/>
        </w:rPr>
        <w:t xml:space="preserve"> — основной патоген, вызывающий широкий спектр клинических инфекций у животных и человека, являющийся основной причиной бактериемии, инфекционного эндокардита, костно-суставных, кожных, мягкотканых и плевролегочных инфекций [148-150]. </w:t>
      </w:r>
      <w:r w:rsidRPr="007A7888">
        <w:rPr>
          <w:i/>
          <w:sz w:val="28"/>
          <w:szCs w:val="28"/>
        </w:rPr>
        <w:t>S. aureus</w:t>
      </w:r>
      <w:r w:rsidR="00D80965" w:rsidRPr="00D80965">
        <w:rPr>
          <w:sz w:val="28"/>
          <w:szCs w:val="28"/>
        </w:rPr>
        <w:t xml:space="preserve"> оказывает значительное влияние на общественное здравоохранение и сельское хозяйство вызывая инфекции у животных, которые выступают в качестве резервуара для передачи стафилококков людям [125</w:t>
      </w:r>
      <w:r w:rsidR="004A7609">
        <w:rPr>
          <w:sz w:val="28"/>
          <w:szCs w:val="28"/>
        </w:rPr>
        <w:t>, с. 5;</w:t>
      </w:r>
      <w:r w:rsidR="00D80965" w:rsidRPr="00D80965">
        <w:rPr>
          <w:sz w:val="28"/>
          <w:szCs w:val="28"/>
        </w:rPr>
        <w:t xml:space="preserve"> 151]. </w:t>
      </w:r>
    </w:p>
    <w:p w:rsidR="00D80965" w:rsidRPr="00D80965" w:rsidRDefault="00D80965" w:rsidP="00AE0408">
      <w:pPr>
        <w:ind w:firstLine="709"/>
        <w:rPr>
          <w:sz w:val="28"/>
          <w:szCs w:val="28"/>
        </w:rPr>
      </w:pPr>
      <w:r w:rsidRPr="00D80965">
        <w:rPr>
          <w:sz w:val="28"/>
          <w:szCs w:val="28"/>
        </w:rPr>
        <w:t xml:space="preserve">Пищевые инфекции. </w:t>
      </w:r>
      <w:r w:rsidR="007A7888" w:rsidRPr="007A7888">
        <w:rPr>
          <w:i/>
          <w:sz w:val="28"/>
          <w:szCs w:val="28"/>
        </w:rPr>
        <w:t>S. aureus</w:t>
      </w:r>
      <w:r w:rsidRPr="00D80965">
        <w:rPr>
          <w:sz w:val="28"/>
          <w:szCs w:val="28"/>
        </w:rPr>
        <w:t xml:space="preserve">, загрязняя продукты представляет серьезную опасность для здоровья домашнего скота и </w:t>
      </w:r>
      <w:r w:rsidR="00943133" w:rsidRPr="00D80965">
        <w:rPr>
          <w:sz w:val="28"/>
          <w:szCs w:val="28"/>
        </w:rPr>
        <w:t>человека.</w:t>
      </w:r>
      <w:r w:rsidRPr="00D80965">
        <w:rPr>
          <w:sz w:val="28"/>
          <w:szCs w:val="28"/>
        </w:rPr>
        <w:t xml:space="preserve"> Проблему усложняет нелегальный импорт продуктов животного происхождения, так как в них могут содержаться патогенные бактерии, устойчивые к противомикробным препаратам. Согласно </w:t>
      </w:r>
      <w:r w:rsidR="00943133" w:rsidRPr="00D80965">
        <w:rPr>
          <w:sz w:val="28"/>
          <w:szCs w:val="28"/>
        </w:rPr>
        <w:t>исследованиям,</w:t>
      </w:r>
      <w:r w:rsidRPr="00D80965">
        <w:rPr>
          <w:sz w:val="28"/>
          <w:szCs w:val="28"/>
        </w:rPr>
        <w:t xml:space="preserve"> в незаконно импортируемых в Европейский Союз мясных продуктах был обнаружен золотистый стафилококк 4,7% случаев, а в молочной продукции до 7,4% [152].</w:t>
      </w:r>
    </w:p>
    <w:p w:rsidR="00D80965" w:rsidRPr="00D80965" w:rsidRDefault="00D80965" w:rsidP="00AE0408">
      <w:pPr>
        <w:ind w:firstLine="709"/>
        <w:rPr>
          <w:sz w:val="28"/>
          <w:szCs w:val="28"/>
        </w:rPr>
      </w:pPr>
      <w:r w:rsidRPr="00D80965">
        <w:rPr>
          <w:sz w:val="28"/>
          <w:szCs w:val="28"/>
        </w:rPr>
        <w:t xml:space="preserve">Маститы. </w:t>
      </w:r>
      <w:r w:rsidR="007A7888" w:rsidRPr="007A7888">
        <w:rPr>
          <w:i/>
          <w:sz w:val="28"/>
          <w:szCs w:val="28"/>
        </w:rPr>
        <w:t>S. aureus</w:t>
      </w:r>
      <w:r w:rsidRPr="00D80965">
        <w:rPr>
          <w:sz w:val="28"/>
          <w:szCs w:val="28"/>
        </w:rPr>
        <w:t xml:space="preserve">, это основной патоген, вызывающий интрамамарные инфекции крупного рогатого скота, который приводит к большим финансовым убыткам в производстве молока. Так же возможна передача </w:t>
      </w:r>
      <w:r w:rsidR="007A7888" w:rsidRPr="007A7888">
        <w:rPr>
          <w:i/>
          <w:sz w:val="28"/>
          <w:szCs w:val="28"/>
        </w:rPr>
        <w:t>S. aureus</w:t>
      </w:r>
      <w:r w:rsidRPr="00D80965">
        <w:rPr>
          <w:sz w:val="28"/>
          <w:szCs w:val="28"/>
        </w:rPr>
        <w:t xml:space="preserve"> как между животными, так и от животных к человеку, что представляет собой </w:t>
      </w:r>
      <w:r w:rsidRPr="00D80965">
        <w:rPr>
          <w:sz w:val="28"/>
          <w:szCs w:val="28"/>
        </w:rPr>
        <w:lastRenderedPageBreak/>
        <w:t xml:space="preserve">существенные проблемы для общественного здравоохранения [153]. Маститы, вызываемые </w:t>
      </w:r>
      <w:r w:rsidR="007A7888" w:rsidRPr="007A7888">
        <w:rPr>
          <w:i/>
          <w:sz w:val="28"/>
          <w:szCs w:val="28"/>
        </w:rPr>
        <w:t>S. aureus</w:t>
      </w:r>
      <w:r w:rsidRPr="00D80965">
        <w:rPr>
          <w:sz w:val="28"/>
          <w:szCs w:val="28"/>
        </w:rPr>
        <w:t xml:space="preserve"> трудно поддаются лечению благодаря его способности сохраняться внутри клеток, приобретать устойчивость к противомикробным препаратам и формировать биопленки [154]. При этом для выживания </w:t>
      </w:r>
      <w:r w:rsidR="007A7888" w:rsidRPr="007A7888">
        <w:rPr>
          <w:i/>
          <w:sz w:val="28"/>
          <w:szCs w:val="28"/>
        </w:rPr>
        <w:t>S. aureus</w:t>
      </w:r>
      <w:r w:rsidRPr="00D80965">
        <w:rPr>
          <w:sz w:val="28"/>
          <w:szCs w:val="28"/>
        </w:rPr>
        <w:t xml:space="preserve"> в молочной железе необходимы такие важные металлы, как железо, цинк и марганец [155].</w:t>
      </w:r>
    </w:p>
    <w:p w:rsidR="00D80965" w:rsidRPr="00D80965" w:rsidRDefault="00D80965" w:rsidP="00AE0408">
      <w:pPr>
        <w:ind w:firstLine="709"/>
        <w:rPr>
          <w:sz w:val="28"/>
          <w:szCs w:val="28"/>
        </w:rPr>
      </w:pPr>
      <w:r w:rsidRPr="00D80965">
        <w:rPr>
          <w:sz w:val="28"/>
          <w:szCs w:val="28"/>
        </w:rPr>
        <w:t xml:space="preserve">Кожные инфекции. </w:t>
      </w:r>
      <w:r w:rsidR="007A7888" w:rsidRPr="007A7888">
        <w:rPr>
          <w:i/>
          <w:sz w:val="28"/>
          <w:szCs w:val="28"/>
        </w:rPr>
        <w:t>S. aureus</w:t>
      </w:r>
      <w:r w:rsidRPr="00D80965">
        <w:rPr>
          <w:sz w:val="28"/>
          <w:szCs w:val="28"/>
        </w:rPr>
        <w:t xml:space="preserve">, это один из самых распространенных патогенов, вызывающих кожные инфекции как у животных, так и у человека. </w:t>
      </w:r>
      <w:r w:rsidR="007A7888" w:rsidRPr="007A7888">
        <w:rPr>
          <w:i/>
          <w:sz w:val="28"/>
          <w:szCs w:val="28"/>
        </w:rPr>
        <w:t>S. aureus</w:t>
      </w:r>
      <w:r w:rsidRPr="00D80965">
        <w:rPr>
          <w:sz w:val="28"/>
          <w:szCs w:val="28"/>
        </w:rPr>
        <w:t xml:space="preserve"> продуцирует токсины, такие как лейкоцидин и эксфолиатины, которые оказывают патологическое воздействие на организм животных [156, 157]. У животных, бактерия может колонизировать различные участки тела, вызывая серьезные заболевания, что негативно сказывается на экономической составляющей в условиях животноводства [158]. К таким заболеваниям можно отнести фурункулы и карбункулы, которые могут привести к более тяжелым заболеваниям [159]. Кроме фурункулов и карбункулов, </w:t>
      </w:r>
      <w:r w:rsidR="007A7888" w:rsidRPr="007A7888">
        <w:rPr>
          <w:i/>
          <w:sz w:val="28"/>
          <w:szCs w:val="28"/>
        </w:rPr>
        <w:t>S. aureus</w:t>
      </w:r>
      <w:r w:rsidRPr="00D80965">
        <w:rPr>
          <w:sz w:val="28"/>
          <w:szCs w:val="28"/>
        </w:rPr>
        <w:t xml:space="preserve"> вызывает фолликулит, рожистое воспаление и целлюлит, что составляет подавляющее большинство инфекций, вызываемых данной бактерией [160].</w:t>
      </w:r>
    </w:p>
    <w:p w:rsidR="00D80965" w:rsidRPr="00D80965" w:rsidRDefault="00D80965" w:rsidP="00AE0408">
      <w:pPr>
        <w:ind w:firstLine="709"/>
        <w:rPr>
          <w:sz w:val="28"/>
          <w:szCs w:val="28"/>
        </w:rPr>
      </w:pPr>
      <w:r w:rsidRPr="00D80965">
        <w:rPr>
          <w:sz w:val="28"/>
          <w:szCs w:val="28"/>
        </w:rPr>
        <w:t xml:space="preserve">Инфекции костей и суставов. </w:t>
      </w:r>
      <w:r w:rsidR="007A7888" w:rsidRPr="007A7888">
        <w:rPr>
          <w:i/>
          <w:sz w:val="28"/>
          <w:szCs w:val="28"/>
        </w:rPr>
        <w:t>S. aureus</w:t>
      </w:r>
      <w:r w:rsidRPr="00D80965">
        <w:rPr>
          <w:sz w:val="28"/>
          <w:szCs w:val="28"/>
        </w:rPr>
        <w:t xml:space="preserve">, является одной из основных причин инфекций костей и суставов, лечение которых весьма затруднено [161, 162]. Кроме того, рецидиву заболеваний и разрушению костей и хрящей способствует способность </w:t>
      </w:r>
      <w:r w:rsidR="007A7888" w:rsidRPr="007A7888">
        <w:rPr>
          <w:i/>
          <w:sz w:val="28"/>
          <w:szCs w:val="28"/>
        </w:rPr>
        <w:t>S. aureus</w:t>
      </w:r>
      <w:r w:rsidRPr="00D80965">
        <w:rPr>
          <w:sz w:val="28"/>
          <w:szCs w:val="28"/>
        </w:rPr>
        <w:t xml:space="preserve"> вызывать внутриклеточные инфекции [163]. Не смотря на возможности современной медицины, прогноз для больных остается не позитивным, так как уровень выздоровления составляет 62,1% [162</w:t>
      </w:r>
      <w:r w:rsidR="00F864F3">
        <w:rPr>
          <w:sz w:val="28"/>
          <w:szCs w:val="28"/>
        </w:rPr>
        <w:t>, с. 136</w:t>
      </w:r>
      <w:r w:rsidRPr="00D80965">
        <w:rPr>
          <w:sz w:val="28"/>
          <w:szCs w:val="28"/>
        </w:rPr>
        <w:t xml:space="preserve">]. </w:t>
      </w:r>
      <w:r w:rsidR="007A7888" w:rsidRPr="007A7888">
        <w:rPr>
          <w:i/>
          <w:sz w:val="28"/>
          <w:szCs w:val="28"/>
        </w:rPr>
        <w:t>S. aureus</w:t>
      </w:r>
      <w:r w:rsidRPr="00D80965">
        <w:rPr>
          <w:sz w:val="28"/>
          <w:szCs w:val="28"/>
        </w:rPr>
        <w:t xml:space="preserve"> из инфекций костей и суставов, чаще всего вызывает остеомиелит и инфекционный артрит. Остеомиелит - серьезная инфекция костной ткани, а </w:t>
      </w:r>
      <w:r w:rsidR="007A7888" w:rsidRPr="007A7888">
        <w:rPr>
          <w:i/>
          <w:sz w:val="28"/>
          <w:szCs w:val="28"/>
        </w:rPr>
        <w:t>S. aureus</w:t>
      </w:r>
      <w:r w:rsidRPr="00D80965">
        <w:rPr>
          <w:sz w:val="28"/>
          <w:szCs w:val="28"/>
        </w:rPr>
        <w:t xml:space="preserve"> является основным возбудителем [164]. </w:t>
      </w:r>
      <w:r w:rsidR="007A7888" w:rsidRPr="007A7888">
        <w:rPr>
          <w:i/>
          <w:sz w:val="28"/>
          <w:szCs w:val="28"/>
        </w:rPr>
        <w:t>S. aureus</w:t>
      </w:r>
      <w:r w:rsidRPr="00D80965">
        <w:rPr>
          <w:sz w:val="28"/>
          <w:szCs w:val="28"/>
        </w:rPr>
        <w:t xml:space="preserve"> обходя иммунную систему колонизирует костные ткани формируя небольшие колонии, образуя биопленки и секретируя токсины [165]. Колонии способны образовывать биопленки на имплантах, костях, костном мозге, в остеоцитарных структурах [164</w:t>
      </w:r>
      <w:r w:rsidR="00F864F3">
        <w:rPr>
          <w:sz w:val="28"/>
          <w:szCs w:val="28"/>
        </w:rPr>
        <w:t>, с. 395</w:t>
      </w:r>
      <w:r w:rsidRPr="00D80965">
        <w:rPr>
          <w:sz w:val="28"/>
          <w:szCs w:val="28"/>
        </w:rPr>
        <w:t xml:space="preserve">]. По данным источников литературы, </w:t>
      </w:r>
      <w:r w:rsidR="007A7888" w:rsidRPr="007A7888">
        <w:rPr>
          <w:i/>
          <w:sz w:val="28"/>
          <w:szCs w:val="28"/>
        </w:rPr>
        <w:t>S. aureus</w:t>
      </w:r>
      <w:r w:rsidRPr="00D80965">
        <w:rPr>
          <w:sz w:val="28"/>
          <w:szCs w:val="28"/>
        </w:rPr>
        <w:t>, это основная причина септических артритов (тяжелая инфекция суставов), которые в 50% случаев приводят к полной дисфункции суставов [166, 167].</w:t>
      </w:r>
    </w:p>
    <w:p w:rsidR="00D80965" w:rsidRPr="00D80965" w:rsidRDefault="00D80965" w:rsidP="00AE0408">
      <w:pPr>
        <w:ind w:firstLine="709"/>
        <w:rPr>
          <w:sz w:val="28"/>
          <w:szCs w:val="28"/>
        </w:rPr>
      </w:pPr>
      <w:r w:rsidRPr="00D80965">
        <w:rPr>
          <w:sz w:val="28"/>
          <w:szCs w:val="28"/>
        </w:rPr>
        <w:t xml:space="preserve">Респираторные инфекции. </w:t>
      </w:r>
      <w:r w:rsidR="007A7888" w:rsidRPr="007A7888">
        <w:rPr>
          <w:i/>
          <w:sz w:val="28"/>
          <w:szCs w:val="28"/>
        </w:rPr>
        <w:t>S. aureus</w:t>
      </w:r>
      <w:r w:rsidRPr="00D80965">
        <w:rPr>
          <w:sz w:val="28"/>
          <w:szCs w:val="28"/>
        </w:rPr>
        <w:t xml:space="preserve"> вызывает серьезные заболевания дыхательной системы у разных видов животных. У умерших с респираторной инфекцией кроликов, </w:t>
      </w:r>
      <w:r w:rsidR="007A7888" w:rsidRPr="007A7888">
        <w:rPr>
          <w:i/>
          <w:sz w:val="28"/>
          <w:szCs w:val="28"/>
        </w:rPr>
        <w:t>S. aureus</w:t>
      </w:r>
      <w:r w:rsidRPr="00D80965">
        <w:rPr>
          <w:sz w:val="28"/>
          <w:szCs w:val="28"/>
        </w:rPr>
        <w:t xml:space="preserve"> может распространятся при прямом контакте с другими животными [168]. Выявлено, что среди домашних животных с респираторными заболеваниями распространенность MRSA составляет 8,3% </w:t>
      </w:r>
      <w:r w:rsidR="00943133">
        <w:rPr>
          <w:sz w:val="28"/>
          <w:szCs w:val="28"/>
        </w:rPr>
        <w:t>у лошадей и 2,4% у собак [169].</w:t>
      </w:r>
    </w:p>
    <w:p w:rsidR="00D80965" w:rsidRPr="00D80965" w:rsidRDefault="007A7888" w:rsidP="00AE0408">
      <w:pPr>
        <w:ind w:firstLine="709"/>
        <w:rPr>
          <w:sz w:val="28"/>
          <w:szCs w:val="28"/>
        </w:rPr>
      </w:pPr>
      <w:r w:rsidRPr="007A7888">
        <w:rPr>
          <w:i/>
          <w:sz w:val="28"/>
          <w:szCs w:val="28"/>
        </w:rPr>
        <w:t>S. aureus</w:t>
      </w:r>
      <w:r w:rsidR="00D80965" w:rsidRPr="00D80965">
        <w:rPr>
          <w:sz w:val="28"/>
          <w:szCs w:val="28"/>
        </w:rPr>
        <w:t xml:space="preserve"> способен поражать множество видов животных таких как приматы, млекопитающие, грызуны и птицы, которые в свою очередь служат резервуаром для распространения золотистого стафилококка [170]. Рыбы и другие водные обитатели также восприимчивы к </w:t>
      </w:r>
      <w:r w:rsidRPr="007A7888">
        <w:rPr>
          <w:i/>
          <w:sz w:val="28"/>
          <w:szCs w:val="28"/>
        </w:rPr>
        <w:t>S. aureus</w:t>
      </w:r>
      <w:r w:rsidR="00D80965" w:rsidRPr="00D80965">
        <w:rPr>
          <w:sz w:val="28"/>
          <w:szCs w:val="28"/>
        </w:rPr>
        <w:t xml:space="preserve"> [171]. Зафиксированы случаи заражения </w:t>
      </w:r>
      <w:r w:rsidRPr="007A7888">
        <w:rPr>
          <w:i/>
          <w:sz w:val="28"/>
          <w:szCs w:val="28"/>
        </w:rPr>
        <w:t>S. aureus</w:t>
      </w:r>
      <w:r w:rsidR="00D80965" w:rsidRPr="00D80965">
        <w:rPr>
          <w:sz w:val="28"/>
          <w:szCs w:val="28"/>
        </w:rPr>
        <w:t xml:space="preserve"> в условиях ведения животноводства крупного рогатого скота, свиней, птицы и кроликов [172].</w:t>
      </w:r>
    </w:p>
    <w:p w:rsidR="00D80965" w:rsidRPr="00D80965" w:rsidRDefault="00D80965" w:rsidP="00AE0408">
      <w:pPr>
        <w:ind w:firstLine="709"/>
        <w:rPr>
          <w:sz w:val="28"/>
          <w:szCs w:val="28"/>
        </w:rPr>
      </w:pPr>
      <w:r w:rsidRPr="00D80965">
        <w:rPr>
          <w:sz w:val="28"/>
          <w:szCs w:val="28"/>
        </w:rPr>
        <w:lastRenderedPageBreak/>
        <w:t xml:space="preserve">Благодаря способности образовывать биопленки, </w:t>
      </w:r>
      <w:r w:rsidR="007A7888" w:rsidRPr="007A7888">
        <w:rPr>
          <w:i/>
          <w:sz w:val="28"/>
          <w:szCs w:val="28"/>
        </w:rPr>
        <w:t>S. aureus</w:t>
      </w:r>
      <w:r w:rsidRPr="00D80965">
        <w:rPr>
          <w:sz w:val="28"/>
          <w:szCs w:val="28"/>
        </w:rPr>
        <w:t xml:space="preserve"> способен прикрепляться к поверхностям, что осложняет инфекции и в животноводстве [127</w:t>
      </w:r>
      <w:r w:rsidR="00F864F3">
        <w:rPr>
          <w:sz w:val="28"/>
          <w:szCs w:val="28"/>
        </w:rPr>
        <w:t>, с. 1</w:t>
      </w:r>
      <w:r w:rsidRPr="00D80965">
        <w:rPr>
          <w:sz w:val="28"/>
          <w:szCs w:val="28"/>
        </w:rPr>
        <w:t xml:space="preserve">]. Распространение инфекции среди животных происходит при прямом контакте, через загрязненную окружающую среду и через продукты животного происхождения [125, </w:t>
      </w:r>
      <w:r w:rsidR="007A01ED">
        <w:rPr>
          <w:sz w:val="28"/>
          <w:szCs w:val="28"/>
        </w:rPr>
        <w:t xml:space="preserve">с. 3; </w:t>
      </w:r>
      <w:r w:rsidRPr="00D80965">
        <w:rPr>
          <w:sz w:val="28"/>
          <w:szCs w:val="28"/>
        </w:rPr>
        <w:t>173]. Домашние животные, в особенности домашний скот служат резервуаром распространения инфекции [174].</w:t>
      </w:r>
    </w:p>
    <w:p w:rsidR="00D80965" w:rsidRPr="00D80965" w:rsidRDefault="00D80965" w:rsidP="00AE0408">
      <w:pPr>
        <w:ind w:firstLine="709"/>
        <w:rPr>
          <w:sz w:val="28"/>
          <w:szCs w:val="28"/>
        </w:rPr>
      </w:pPr>
      <w:r w:rsidRPr="00D80965">
        <w:rPr>
          <w:sz w:val="28"/>
          <w:szCs w:val="28"/>
        </w:rPr>
        <w:t xml:space="preserve">Клинически, инфекции, вызванные </w:t>
      </w:r>
      <w:r w:rsidR="007A7888" w:rsidRPr="007A7888">
        <w:rPr>
          <w:i/>
          <w:sz w:val="28"/>
          <w:szCs w:val="28"/>
        </w:rPr>
        <w:t>S. aureus</w:t>
      </w:r>
      <w:r w:rsidRPr="00D80965">
        <w:rPr>
          <w:sz w:val="28"/>
          <w:szCs w:val="28"/>
        </w:rPr>
        <w:t>, могут проявляться как поверхностно-кожными инфекциями, так и серьезными системными заболеваниями, такими как сепсис и эндокардит [175, 176]. Патогенез этих инфекций включает в себя факторы вирулентности, в том числе токсины, такие как лейкоцидин Пантона-Валентайна, эксфолиатины и энтеротоксины [156,</w:t>
      </w:r>
      <w:r w:rsidR="00F864F3">
        <w:rPr>
          <w:sz w:val="28"/>
          <w:szCs w:val="28"/>
        </w:rPr>
        <w:t xml:space="preserve"> с. 208;</w:t>
      </w:r>
      <w:r w:rsidRPr="00D80965">
        <w:rPr>
          <w:sz w:val="28"/>
          <w:szCs w:val="28"/>
        </w:rPr>
        <w:t xml:space="preserve"> 175]. Во время инвазивных инфекций, </w:t>
      </w:r>
      <w:r w:rsidR="007A7888" w:rsidRPr="007A7888">
        <w:rPr>
          <w:i/>
          <w:sz w:val="28"/>
          <w:szCs w:val="28"/>
        </w:rPr>
        <w:t>S. aureus</w:t>
      </w:r>
      <w:r w:rsidRPr="00D80965">
        <w:rPr>
          <w:sz w:val="28"/>
          <w:szCs w:val="28"/>
        </w:rPr>
        <w:t xml:space="preserve"> включает комплексные регуляторные системы, воздействуя на защитные механизмы организма и процессы свертывания крови [176].</w:t>
      </w:r>
    </w:p>
    <w:p w:rsidR="00D80965" w:rsidRPr="00D80965" w:rsidRDefault="00D80965" w:rsidP="00AE0408">
      <w:pPr>
        <w:ind w:firstLine="709"/>
        <w:rPr>
          <w:sz w:val="28"/>
          <w:szCs w:val="28"/>
        </w:rPr>
      </w:pPr>
      <w:r w:rsidRPr="00D80965">
        <w:rPr>
          <w:sz w:val="28"/>
          <w:szCs w:val="28"/>
        </w:rPr>
        <w:t xml:space="preserve">Инфекция </w:t>
      </w:r>
      <w:r w:rsidR="007A7888" w:rsidRPr="007A7888">
        <w:rPr>
          <w:i/>
          <w:sz w:val="28"/>
          <w:szCs w:val="28"/>
        </w:rPr>
        <w:t>S. aureus</w:t>
      </w:r>
      <w:r w:rsidRPr="00D80965">
        <w:rPr>
          <w:sz w:val="28"/>
          <w:szCs w:val="28"/>
        </w:rPr>
        <w:t xml:space="preserve"> обычно лечится соответствующими антимикробными методами, с помощью медицинских устройств (катетеры), если это возможно, и терапевтический мониторинг для остановки роста бактерий как можно раньше. Также могут применяться антибиотики, но важно учитывать, что </w:t>
      </w:r>
      <w:r w:rsidR="007A7888" w:rsidRPr="007A7888">
        <w:rPr>
          <w:i/>
          <w:sz w:val="28"/>
          <w:szCs w:val="28"/>
        </w:rPr>
        <w:t>S. aureus</w:t>
      </w:r>
      <w:r w:rsidRPr="00D80965">
        <w:rPr>
          <w:sz w:val="28"/>
          <w:szCs w:val="28"/>
        </w:rPr>
        <w:t xml:space="preserve"> часто обладает устойчивостью к различным антибиотикам [177]. Способы лечения используются в зависимости от чувствительности к метициллину, например, для </w:t>
      </w:r>
      <w:r w:rsidR="007A7888" w:rsidRPr="007A7888">
        <w:rPr>
          <w:i/>
          <w:sz w:val="28"/>
          <w:szCs w:val="28"/>
        </w:rPr>
        <w:t>S. aureus</w:t>
      </w:r>
      <w:r w:rsidRPr="00D80965">
        <w:rPr>
          <w:sz w:val="28"/>
          <w:szCs w:val="28"/>
        </w:rPr>
        <w:t xml:space="preserve">, чувствительного к метициллину, первой линией в лечении остаются пенициллины, а для метициллинрезистентного </w:t>
      </w:r>
      <w:r w:rsidR="007A7888" w:rsidRPr="007A7888">
        <w:rPr>
          <w:i/>
          <w:sz w:val="28"/>
          <w:szCs w:val="28"/>
        </w:rPr>
        <w:t>S. aureus</w:t>
      </w:r>
      <w:r w:rsidRPr="00D80965">
        <w:rPr>
          <w:sz w:val="28"/>
          <w:szCs w:val="28"/>
        </w:rPr>
        <w:t xml:space="preserve"> основным средством остается ванкомицин [178]. Существуют так же альтернативные препараты для персонализированного подхода к лечению, к ним относят новые препараты: цефтаролин, даптомицин и линезолид [178,</w:t>
      </w:r>
      <w:r w:rsidR="00630E9F">
        <w:rPr>
          <w:sz w:val="28"/>
          <w:szCs w:val="28"/>
        </w:rPr>
        <w:t xml:space="preserve"> с. 1;</w:t>
      </w:r>
      <w:r w:rsidRPr="00D80965">
        <w:rPr>
          <w:sz w:val="28"/>
          <w:szCs w:val="28"/>
        </w:rPr>
        <w:t xml:space="preserve"> 179]. В связи с растущей проблемой приобретения устойчивости </w:t>
      </w:r>
      <w:r w:rsidR="007A7888" w:rsidRPr="007A7888">
        <w:rPr>
          <w:i/>
          <w:sz w:val="28"/>
          <w:szCs w:val="28"/>
        </w:rPr>
        <w:t>S. aureus</w:t>
      </w:r>
      <w:r w:rsidRPr="00D80965">
        <w:rPr>
          <w:sz w:val="28"/>
          <w:szCs w:val="28"/>
        </w:rPr>
        <w:t xml:space="preserve"> к антибиотикам, изучаются альтернативные методы, такие как культуральная терапия и местное лечение [180]. </w:t>
      </w:r>
    </w:p>
    <w:p w:rsidR="00D80965" w:rsidRDefault="00D80965" w:rsidP="00AE0408">
      <w:pPr>
        <w:ind w:firstLine="709"/>
        <w:rPr>
          <w:sz w:val="28"/>
          <w:szCs w:val="28"/>
        </w:rPr>
      </w:pPr>
      <w:r w:rsidRPr="00D80965">
        <w:rPr>
          <w:sz w:val="28"/>
          <w:szCs w:val="28"/>
        </w:rPr>
        <w:t xml:space="preserve">Результаты анализа литературных данных, подчеркивают необходимость разработки целостных стратегий противодействия инфекциям </w:t>
      </w:r>
      <w:r w:rsidR="007A7888" w:rsidRPr="007A7888">
        <w:rPr>
          <w:i/>
          <w:sz w:val="28"/>
          <w:szCs w:val="28"/>
        </w:rPr>
        <w:t>S. aureus</w:t>
      </w:r>
      <w:r w:rsidRPr="00D80965">
        <w:rPr>
          <w:sz w:val="28"/>
          <w:szCs w:val="28"/>
        </w:rPr>
        <w:t xml:space="preserve"> как в здравоохранении человека, так и в сфере ветеринарии. Таким образом, для снижения санитарных рисков, повышения безопасности продукции животного происхождения и поддержания здоровья животных, необходим комплексный подход.</w:t>
      </w:r>
    </w:p>
    <w:p w:rsidR="009F1B2C" w:rsidRDefault="009F1B2C" w:rsidP="00AE0408">
      <w:pPr>
        <w:ind w:firstLine="709"/>
        <w:rPr>
          <w:sz w:val="28"/>
          <w:szCs w:val="28"/>
        </w:rPr>
      </w:pPr>
    </w:p>
    <w:p w:rsidR="00943133" w:rsidRPr="00943133" w:rsidRDefault="00943133" w:rsidP="00AE0408">
      <w:pPr>
        <w:ind w:firstLine="709"/>
        <w:rPr>
          <w:b/>
          <w:sz w:val="28"/>
          <w:szCs w:val="28"/>
        </w:rPr>
      </w:pPr>
      <w:r w:rsidRPr="00943133">
        <w:rPr>
          <w:b/>
          <w:sz w:val="28"/>
          <w:szCs w:val="28"/>
        </w:rPr>
        <w:t xml:space="preserve">1.3 Методы идентификации и типирования </w:t>
      </w:r>
      <w:r w:rsidR="007A7888" w:rsidRPr="007A7888">
        <w:rPr>
          <w:b/>
          <w:i/>
          <w:sz w:val="28"/>
          <w:szCs w:val="28"/>
        </w:rPr>
        <w:t>S. aureus</w:t>
      </w:r>
      <w:r w:rsidRPr="00943133">
        <w:rPr>
          <w:b/>
          <w:sz w:val="28"/>
          <w:szCs w:val="28"/>
        </w:rPr>
        <w:t xml:space="preserve"> на основе ПЦР</w:t>
      </w:r>
    </w:p>
    <w:p w:rsidR="00943133" w:rsidRPr="00943133" w:rsidRDefault="00943133" w:rsidP="00AE0408">
      <w:pPr>
        <w:ind w:firstLine="709"/>
        <w:rPr>
          <w:sz w:val="28"/>
          <w:szCs w:val="28"/>
        </w:rPr>
      </w:pPr>
      <w:r w:rsidRPr="00943133">
        <w:rPr>
          <w:sz w:val="28"/>
          <w:szCs w:val="28"/>
        </w:rPr>
        <w:t>В настоящее время на смену видовой идентификации стафилококков по фенотипическим признакам пришли молекулярные методы определения видов стафилококков. Благодаря своей высокой чувствительности и специфичности молекулярные маркеры являются альтернативным инструментом для точной идентификации и классификации видов стафилококков [181].</w:t>
      </w:r>
    </w:p>
    <w:p w:rsidR="00943133" w:rsidRPr="00943133" w:rsidRDefault="00943133" w:rsidP="00AE0408">
      <w:pPr>
        <w:ind w:firstLine="709"/>
        <w:rPr>
          <w:sz w:val="28"/>
          <w:szCs w:val="28"/>
        </w:rPr>
      </w:pPr>
      <w:r w:rsidRPr="00943133">
        <w:rPr>
          <w:sz w:val="28"/>
          <w:szCs w:val="28"/>
        </w:rPr>
        <w:t xml:space="preserve">Развитие молекулярных методов исследований в конце XX века позволило расширить номенклатуру видов, образующих род </w:t>
      </w:r>
      <w:r w:rsidR="00AE0408" w:rsidRPr="00AE0408">
        <w:rPr>
          <w:i/>
          <w:sz w:val="28"/>
          <w:szCs w:val="28"/>
        </w:rPr>
        <w:t>Staphylococcus</w:t>
      </w:r>
      <w:r w:rsidRPr="00943133">
        <w:rPr>
          <w:sz w:val="28"/>
          <w:szCs w:val="28"/>
        </w:rPr>
        <w:t xml:space="preserve">, который в настоящее время насчитывает 51 вид и 27 подвидов [182]. Сейчас </w:t>
      </w:r>
      <w:r w:rsidRPr="00943133">
        <w:rPr>
          <w:sz w:val="28"/>
          <w:szCs w:val="28"/>
        </w:rPr>
        <w:lastRenderedPageBreak/>
        <w:t xml:space="preserve">доступно множество коммерческих тестов, для молекулярной идентификации культивируемых изолятов </w:t>
      </w:r>
      <w:r w:rsidR="007A7888" w:rsidRPr="007A7888">
        <w:rPr>
          <w:i/>
          <w:sz w:val="28"/>
          <w:szCs w:val="28"/>
        </w:rPr>
        <w:t>S. aureus</w:t>
      </w:r>
      <w:r w:rsidRPr="00943133">
        <w:rPr>
          <w:sz w:val="28"/>
          <w:szCs w:val="28"/>
        </w:rPr>
        <w:t>, которые также позволяют обнаруживать гены устойчивости к антибиотикам и гены, отвечающие за выработку токсинов [183]. Для оценки токсического потенциала штамма можно проводить полимеразную цепную реакцию (ПЦР), ПЦР с обратной транскрипцией (ОТ-ПЦР) и количественную ОТ-ПЦР [183</w:t>
      </w:r>
      <w:r w:rsidR="00A700B9">
        <w:rPr>
          <w:sz w:val="28"/>
          <w:szCs w:val="28"/>
        </w:rPr>
        <w:t>, с. 450</w:t>
      </w:r>
      <w:r w:rsidRPr="00943133">
        <w:rPr>
          <w:sz w:val="28"/>
          <w:szCs w:val="28"/>
        </w:rPr>
        <w:t xml:space="preserve">]. Методы ПЦР идентификации позволяют точно идентифицировать </w:t>
      </w:r>
      <w:r w:rsidR="007A7888" w:rsidRPr="007A7888">
        <w:rPr>
          <w:i/>
          <w:sz w:val="28"/>
          <w:szCs w:val="28"/>
        </w:rPr>
        <w:t>S. aureus</w:t>
      </w:r>
      <w:r w:rsidRPr="00943133">
        <w:rPr>
          <w:sz w:val="28"/>
          <w:szCs w:val="28"/>
        </w:rPr>
        <w:t xml:space="preserve"> и полезны для понимания профилей его устойчивости к антибактериальным препаратам и эффективного контроля и лечения [31,</w:t>
      </w:r>
      <w:r w:rsidR="00A700B9">
        <w:rPr>
          <w:sz w:val="28"/>
          <w:szCs w:val="28"/>
        </w:rPr>
        <w:t xml:space="preserve"> с. 33;</w:t>
      </w:r>
      <w:r w:rsidRPr="00943133">
        <w:rPr>
          <w:sz w:val="28"/>
          <w:szCs w:val="28"/>
        </w:rPr>
        <w:t xml:space="preserve"> 184].</w:t>
      </w:r>
    </w:p>
    <w:p w:rsidR="00943133" w:rsidRPr="00943133" w:rsidRDefault="00943133" w:rsidP="00AE0408">
      <w:pPr>
        <w:ind w:firstLine="709"/>
        <w:rPr>
          <w:sz w:val="28"/>
          <w:szCs w:val="28"/>
        </w:rPr>
      </w:pPr>
      <w:r w:rsidRPr="00943133">
        <w:rPr>
          <w:sz w:val="28"/>
          <w:szCs w:val="28"/>
        </w:rPr>
        <w:t xml:space="preserve">На сегодняшний день разработано множество различных модификаций ПЦР для диагностики стафилококков: дуплекс ПЦР – позволяющая повышать эффективность и сокращать время проводя одновременную амплификацию двух неодинаковых мишеней ДНК [185]; мультиплексная ПЦР – позволяет амплифицировать несколько целей в одной реакции, что особенно полезно для обнаружения нескольких генов (генов устойчивости к антибиотикам, детерминант вирулентности) [185, </w:t>
      </w:r>
      <w:r w:rsidR="00A700B9">
        <w:rPr>
          <w:sz w:val="28"/>
          <w:szCs w:val="28"/>
          <w:lang w:val="en-US"/>
        </w:rPr>
        <w:t>c</w:t>
      </w:r>
      <w:r w:rsidR="00A700B9">
        <w:rPr>
          <w:sz w:val="28"/>
          <w:szCs w:val="28"/>
        </w:rPr>
        <w:t xml:space="preserve">. 1364; </w:t>
      </w:r>
      <w:r w:rsidRPr="00943133">
        <w:rPr>
          <w:sz w:val="28"/>
          <w:szCs w:val="28"/>
        </w:rPr>
        <w:t xml:space="preserve">186]; гнездовая» или вложенная ПЦР (Nested PCR) – данный метод полезен при наличии очень малых количеств целевой ДНК и проводится посредством двух следующих друг за другом реакций в целях повышения аналитической специфичности и чувствительности ПЦР; ПЦР со случайной амплифицированной полиморфной ДНК (RAPD PCR) – метод предусматривает использование случайных последовательностей праймеров для амплификации незнакомых последовательностей ДНК [187]. </w:t>
      </w:r>
    </w:p>
    <w:p w:rsidR="00943133" w:rsidRPr="00943133" w:rsidRDefault="00943133" w:rsidP="00AE0408">
      <w:pPr>
        <w:ind w:firstLine="709"/>
        <w:rPr>
          <w:sz w:val="28"/>
          <w:szCs w:val="28"/>
        </w:rPr>
      </w:pPr>
      <w:r w:rsidRPr="00943133">
        <w:rPr>
          <w:sz w:val="28"/>
          <w:szCs w:val="28"/>
        </w:rPr>
        <w:t>Мультиплексная (мультипраймерная) ПЦР – одновременная амплификация двух и более искомых последовательностей ДНК в одной пробирке [188]. Каждая пара праймеров для мультиплексной ПЦР должна обладать строгой специфичностью по отношению к соответствующей искомой мишени, а условия циклирования должны обеспечивать равноэффективный отжиг всех участвующих в реакции пар праймеров, чтобы выход амплифицируемых продуктов был по возможности одинаковым [189]. Впервые мультиплескная ПЦР была описана в 1988 году, как метод обнаружения делеционных мутаций в крупнейшем известном гене человека -гене дистрофина [190].</w:t>
      </w:r>
    </w:p>
    <w:p w:rsidR="00943133" w:rsidRPr="00943133" w:rsidRDefault="00943133" w:rsidP="00AE0408">
      <w:pPr>
        <w:ind w:firstLine="709"/>
        <w:rPr>
          <w:sz w:val="28"/>
          <w:szCs w:val="28"/>
        </w:rPr>
      </w:pPr>
      <w:r w:rsidRPr="00943133">
        <w:rPr>
          <w:sz w:val="28"/>
          <w:szCs w:val="28"/>
        </w:rPr>
        <w:t>Преимущества мультиплексной ПЦР включают получение большего количества информации при ограниченном количестве исходных материалов, экономичность, экономию времени и более высокую производительность [191]. Воздействуя одновременно на несколько последовательностей, можно получить дополнительную информацию за один прогон теста, для проведения которого в противном случае могли бы потребоваться дополнительные реагенты и больше времени [192]. Также при мультиплексных анализах часто выявляются ложноположительные и ложноотрицательные результаты, которые могли не быть обнаружены при обычной ПЦР [192</w:t>
      </w:r>
      <w:r w:rsidR="006E670C">
        <w:rPr>
          <w:sz w:val="28"/>
          <w:szCs w:val="28"/>
        </w:rPr>
        <w:t>, с. 559</w:t>
      </w:r>
      <w:r w:rsidRPr="00943133">
        <w:rPr>
          <w:sz w:val="28"/>
          <w:szCs w:val="28"/>
        </w:rPr>
        <w:t xml:space="preserve">]. Это связано с тем, что каждый продукт обеспечивает внутренний контроль над другими амплифицированными фрагментами, либо реакцию проводят вместе с </w:t>
      </w:r>
      <w:r w:rsidRPr="00943133">
        <w:rPr>
          <w:sz w:val="28"/>
          <w:szCs w:val="28"/>
        </w:rPr>
        <w:lastRenderedPageBreak/>
        <w:t>наличием внешних или внутренних контрольных целевых нуклеиновых кислот [193-195].</w:t>
      </w:r>
    </w:p>
    <w:p w:rsidR="00943133" w:rsidRPr="00943133" w:rsidRDefault="00943133" w:rsidP="00AE0408">
      <w:pPr>
        <w:ind w:firstLine="709"/>
        <w:rPr>
          <w:sz w:val="28"/>
          <w:szCs w:val="28"/>
        </w:rPr>
      </w:pPr>
      <w:r w:rsidRPr="00943133">
        <w:rPr>
          <w:sz w:val="28"/>
          <w:szCs w:val="28"/>
        </w:rPr>
        <w:t>Тем не менее, мультиплексная ПЦР существенно ограничивает возможности при идентификации низкокопийных образцов: если набор реагентов позволяет выявить четыре искомые мишени, плюс внутренний контроль и все четыре мишени присутствуют в исследуемом образце, то в случае преобладающего количества ДНК одной или двух мишеней, основной объем компонентов реакционной смеси будет расходоваться именно на них (конкуренция за компоненты реакционной смеси) [196, 197].</w:t>
      </w:r>
    </w:p>
    <w:p w:rsidR="00943133" w:rsidRPr="00943133" w:rsidRDefault="00943133" w:rsidP="00AE0408">
      <w:pPr>
        <w:ind w:firstLine="709"/>
        <w:rPr>
          <w:sz w:val="28"/>
          <w:szCs w:val="28"/>
        </w:rPr>
      </w:pPr>
      <w:r w:rsidRPr="00943133">
        <w:rPr>
          <w:sz w:val="28"/>
          <w:szCs w:val="28"/>
        </w:rPr>
        <w:t xml:space="preserve">Многие методы ПЦР были разработаны и применялись в симплексных или мультиплексных форматах для выявления </w:t>
      </w:r>
      <w:r w:rsidR="007A7888" w:rsidRPr="007A7888">
        <w:rPr>
          <w:i/>
          <w:sz w:val="28"/>
          <w:szCs w:val="28"/>
        </w:rPr>
        <w:t>S. aureus</w:t>
      </w:r>
      <w:r w:rsidRPr="00943133">
        <w:rPr>
          <w:sz w:val="28"/>
          <w:szCs w:val="28"/>
        </w:rPr>
        <w:t xml:space="preserve"> одновременно с другими энтеропатогенными микроорганизмами [198].</w:t>
      </w:r>
    </w:p>
    <w:p w:rsidR="00943133" w:rsidRPr="00943133" w:rsidRDefault="00943133" w:rsidP="00AE0408">
      <w:pPr>
        <w:ind w:firstLine="709"/>
        <w:rPr>
          <w:sz w:val="28"/>
          <w:szCs w:val="28"/>
        </w:rPr>
      </w:pPr>
      <w:r w:rsidRPr="00943133">
        <w:rPr>
          <w:sz w:val="28"/>
          <w:szCs w:val="28"/>
        </w:rPr>
        <w:t xml:space="preserve">И в настоящее время системы мультиплексной ПЦР широко применяются для обнаружения патогенных бактерий, контаминирующих пищевые продукты животного происхождения [199, 200]. В 2016 году была разработана мультиплексная ПЦР для идентификации </w:t>
      </w:r>
      <w:r w:rsidR="007A7888" w:rsidRPr="007A7888">
        <w:rPr>
          <w:i/>
          <w:sz w:val="28"/>
          <w:szCs w:val="28"/>
        </w:rPr>
        <w:t>S. aureus</w:t>
      </w:r>
      <w:r w:rsidRPr="00943133">
        <w:rPr>
          <w:sz w:val="28"/>
          <w:szCs w:val="28"/>
        </w:rPr>
        <w:t xml:space="preserve">, </w:t>
      </w:r>
      <w:r w:rsidR="009B02A7" w:rsidRPr="009B02A7">
        <w:rPr>
          <w:i/>
          <w:sz w:val="28"/>
          <w:szCs w:val="28"/>
        </w:rPr>
        <w:t>S. intermedius</w:t>
      </w:r>
      <w:r w:rsidRPr="00943133">
        <w:rPr>
          <w:sz w:val="28"/>
          <w:szCs w:val="28"/>
        </w:rPr>
        <w:t xml:space="preserve"> и S. hyicus в молоке, нацеленная на ген nuc с пределом обнаружения 10² КОЕ/мл [201]. В 2017 году Tian Ding и его коллеги разработали мультиплексный метод ПЦР в реальном времени для одновременного обнаружения трех патогенов </w:t>
      </w:r>
      <w:r w:rsidR="007A7888" w:rsidRPr="007A7888">
        <w:rPr>
          <w:i/>
          <w:sz w:val="28"/>
          <w:szCs w:val="28"/>
        </w:rPr>
        <w:t>S. aureus</w:t>
      </w:r>
      <w:r w:rsidRPr="00943133">
        <w:rPr>
          <w:sz w:val="28"/>
          <w:szCs w:val="28"/>
        </w:rPr>
        <w:t xml:space="preserve">, L. monocytogenes и </w:t>
      </w:r>
      <w:r w:rsidR="00B832C8" w:rsidRPr="00B832C8">
        <w:rPr>
          <w:i/>
          <w:sz w:val="28"/>
          <w:szCs w:val="28"/>
        </w:rPr>
        <w:t>Salmonella</w:t>
      </w:r>
      <w:r w:rsidRPr="00943133">
        <w:rPr>
          <w:sz w:val="28"/>
          <w:szCs w:val="28"/>
        </w:rPr>
        <w:t xml:space="preserve"> spp. в сыром молоке и на молочных. В данном исследовании было установлено, что даже низкие уровни загрязнения в образцах пищевых продуктов затрудняют обнаружение целевых патогенов и отнимают много времени, поэтому, исследователи пришли к выводу о том, что, учитывая фактические условия, необходим этап предварительного обогащения с использованием бульона с сердечно-мозговым экстрактом для увеличения плотности целевых бактерий [198</w:t>
      </w:r>
      <w:r w:rsidR="006E670C">
        <w:rPr>
          <w:sz w:val="28"/>
          <w:szCs w:val="28"/>
        </w:rPr>
        <w:t>, с. 2</w:t>
      </w:r>
      <w:r w:rsidRPr="00943133">
        <w:rPr>
          <w:sz w:val="28"/>
          <w:szCs w:val="28"/>
        </w:rPr>
        <w:t>]. Кроме того, ученые многих стран представляют результаты исследований по видовой идентификации стафилококков, выделенных при интрамаммарных и других пищевых инфекциях методами ПЦР на основе генов rpoB и tuf, GntR и др. [202-205]. В 2018 году корейскими учеными была разработана мультиплексная ПЦР, на основе участков гена sodA, которая может быть использована для видовой идентификации коагулазонегативных стафилококков [206].</w:t>
      </w:r>
    </w:p>
    <w:p w:rsidR="00943133" w:rsidRPr="00943133" w:rsidRDefault="00943133" w:rsidP="00AE0408">
      <w:pPr>
        <w:ind w:firstLine="709"/>
        <w:rPr>
          <w:sz w:val="28"/>
          <w:szCs w:val="28"/>
        </w:rPr>
      </w:pPr>
      <w:r w:rsidRPr="00943133">
        <w:rPr>
          <w:sz w:val="28"/>
          <w:szCs w:val="28"/>
        </w:rPr>
        <w:t xml:space="preserve">В последние годы мультиплексная ПЦР широко применяется для обнаружения генов энтеротоксинов и генов резистентности </w:t>
      </w:r>
      <w:r w:rsidR="007A7888" w:rsidRPr="007A7888">
        <w:rPr>
          <w:i/>
          <w:sz w:val="28"/>
          <w:szCs w:val="28"/>
        </w:rPr>
        <w:t>S. aureus</w:t>
      </w:r>
      <w:r w:rsidRPr="00943133">
        <w:rPr>
          <w:sz w:val="28"/>
          <w:szCs w:val="28"/>
        </w:rPr>
        <w:t xml:space="preserve"> к антибактериальным препаратам [207-211].</w:t>
      </w:r>
    </w:p>
    <w:p w:rsidR="00943133" w:rsidRPr="00943133" w:rsidRDefault="00943133" w:rsidP="00AE0408">
      <w:pPr>
        <w:ind w:firstLine="709"/>
        <w:rPr>
          <w:sz w:val="28"/>
          <w:szCs w:val="28"/>
        </w:rPr>
      </w:pPr>
      <w:r w:rsidRPr="00943133">
        <w:rPr>
          <w:sz w:val="28"/>
          <w:szCs w:val="28"/>
        </w:rPr>
        <w:t>Начиная с 2020 года мультиплексный анализ ПЦР в реальном времени разрабатывается как метод расширения возможностей диагностики SARS-CoV- 2 путем объединения нескольких генов-мишеней в одну реакцию [212-214].</w:t>
      </w:r>
    </w:p>
    <w:p w:rsidR="00943133" w:rsidRPr="00943133" w:rsidRDefault="00943133" w:rsidP="00AE0408">
      <w:pPr>
        <w:ind w:firstLine="709"/>
        <w:rPr>
          <w:sz w:val="28"/>
          <w:szCs w:val="28"/>
        </w:rPr>
      </w:pPr>
      <w:r w:rsidRPr="00943133">
        <w:rPr>
          <w:sz w:val="28"/>
          <w:szCs w:val="28"/>
        </w:rPr>
        <w:t xml:space="preserve">Полиморфизм длин рестрикционных фрагментов (ПДРФ, Restriction fragment length polymorphism, RFLP) - способ исследования геномной ДНК путём разрезания ДНК с помощью эндонуклеаз рестрикции и дальнейшего анализа размеров образующихся фрагментов (рестриктов) путём гель-электрофореза. Например, ПЦР-ПДРФ с использованием гена coa для анализа </w:t>
      </w:r>
      <w:r w:rsidRPr="00943133">
        <w:rPr>
          <w:sz w:val="28"/>
          <w:szCs w:val="28"/>
        </w:rPr>
        <w:lastRenderedPageBreak/>
        <w:t>изолятов MRSA, где была обнаружена значительная генетическая изменчивость среди различных изолятов [215].</w:t>
      </w:r>
    </w:p>
    <w:p w:rsidR="00943133" w:rsidRPr="00943133" w:rsidRDefault="00943133" w:rsidP="00AE0408">
      <w:pPr>
        <w:ind w:firstLine="709"/>
        <w:rPr>
          <w:sz w:val="28"/>
          <w:szCs w:val="28"/>
        </w:rPr>
      </w:pPr>
      <w:r w:rsidRPr="00943133">
        <w:rPr>
          <w:sz w:val="28"/>
          <w:szCs w:val="28"/>
        </w:rPr>
        <w:t xml:space="preserve">ПЦР-ПДРФ был разработан как первый и дешёвый метод для массового применения взамен секвенирования. Как известно, ПДРФ-анализ «золотым стандартом» молекулярного типирования изолятов </w:t>
      </w:r>
      <w:r w:rsidR="007A7888" w:rsidRPr="007A7888">
        <w:rPr>
          <w:i/>
          <w:sz w:val="28"/>
          <w:szCs w:val="28"/>
        </w:rPr>
        <w:t>S. aureus</w:t>
      </w:r>
      <w:r w:rsidRPr="00943133">
        <w:rPr>
          <w:sz w:val="28"/>
          <w:szCs w:val="28"/>
        </w:rPr>
        <w:t xml:space="preserve">, так как этот метод считается технически простым и легко воспроизводимым, обладающим высокой степенью специфичности, поэтому успешно используется в изучении эпидемиологии инфекций, вызванных </w:t>
      </w:r>
      <w:r w:rsidR="007A7888" w:rsidRPr="007A7888">
        <w:rPr>
          <w:i/>
          <w:sz w:val="28"/>
          <w:szCs w:val="28"/>
        </w:rPr>
        <w:t>S. aureus</w:t>
      </w:r>
      <w:r w:rsidRPr="00943133">
        <w:rPr>
          <w:sz w:val="28"/>
          <w:szCs w:val="28"/>
        </w:rPr>
        <w:t xml:space="preserve"> [216]. ПЦР-продукты различных штаммов показывают различные ПДРФ-паттерны коагулазного гена, а вариабельность 3ꞌ-концевого региона коагулазного гена – основа метода типирования для изолятов, выделенных от людей и животных [217-220]. По утверждению Иранских ученых (Исламский университет Азад, Рашт, Иран), разница в типах коагулазного гена может быть связана с географической изменчивостью [221]. Данный полиморфизм также обусловлен различными мутациями, посредством которых часть 3ꞌ-концевого региона гена удаляется или вставляются несколько новых нуклеотидов, и, как следствие, изменяется размер коагулазного гена. Этот метод типирования помогает в изучении происхождения штаммов и генетических линий штаммов, выделенных из различных источников, а также получения эпидемиологической информации [215</w:t>
      </w:r>
      <w:r w:rsidR="00421119">
        <w:rPr>
          <w:sz w:val="28"/>
          <w:szCs w:val="28"/>
        </w:rPr>
        <w:t>, с. 11</w:t>
      </w:r>
      <w:r w:rsidRPr="00943133">
        <w:rPr>
          <w:sz w:val="28"/>
          <w:szCs w:val="28"/>
        </w:rPr>
        <w:t>]. Анализ разнообразия методом ПДРФ является важным инструментом в картировании генома, локализации генов, ответственных за генетические заболевания, определения риска заболевания, и определения родства. Главным недостатком этой технологии является то, что она длительна (типичный анализ занимает до 3 дней) и относительно дорога [222].</w:t>
      </w:r>
    </w:p>
    <w:p w:rsidR="00943133" w:rsidRPr="00943133" w:rsidRDefault="00943133" w:rsidP="00AE0408">
      <w:pPr>
        <w:ind w:firstLine="709"/>
        <w:rPr>
          <w:sz w:val="28"/>
          <w:szCs w:val="28"/>
        </w:rPr>
      </w:pPr>
      <w:r w:rsidRPr="00943133">
        <w:rPr>
          <w:sz w:val="28"/>
          <w:szCs w:val="28"/>
        </w:rPr>
        <w:t>ПЦР со случайной амплификацией полиморфной ДНК (random amplified polymorphic DNA) – это, когда используются короткие произвольные праймеры, которые гибридизуются с ДНК-мишенью при низкой температуре отжига [223, 224]. ПЦР со случайной амплификацией полиморфной ДНК — используется тогда, когда нужно различить близкие по генетической последовательности организмы, например, разные сорта культурных растений, породы собак или близкородственные микроорганизмы. В этом методе обычно используют один праймер небольшого размера (около 10 п.н.). Этот праймер будет частично комплементарен случайным участкам ДНК исследуемых организмов. Подбирая условия (длину праймера, его состав, температуру и пр.), удаётся добиться удовлетворительного отличия картины ПЦР для двух организмов [225, 226].</w:t>
      </w:r>
    </w:p>
    <w:p w:rsidR="00943133" w:rsidRPr="00943133" w:rsidRDefault="00943133" w:rsidP="00AE0408">
      <w:pPr>
        <w:ind w:firstLine="709"/>
        <w:rPr>
          <w:sz w:val="28"/>
          <w:szCs w:val="28"/>
        </w:rPr>
      </w:pPr>
      <w:r w:rsidRPr="00943133">
        <w:rPr>
          <w:sz w:val="28"/>
          <w:szCs w:val="28"/>
        </w:rPr>
        <w:t xml:space="preserve">Среди многих доступных методов ДНК-маркирования метод случайной амплификации полиморфной ДНК (RAPD) является самым простым, экономически эффективным и в большинстве случаев его можно проводить в обычной лаборатории. Кроме того, RAPD могут затрагивать большую часть генома и имеют то преимущество, что не требуется никаких предварительных знаний об исследуемом геноме [227]. Метод RAPD постоянно совершенствуется с применением новых ДНК маркеров: полимеразная цепная реакция с произвольным праймированием (AP-PCR), амплифицированная </w:t>
      </w:r>
      <w:r w:rsidRPr="00943133">
        <w:rPr>
          <w:sz w:val="28"/>
          <w:szCs w:val="28"/>
        </w:rPr>
        <w:lastRenderedPageBreak/>
        <w:t>область с известной нуклеотидной последовательностью (SCAR), дактилоскопия амплификации ДНК (DAF), амплифицированный полиморфизм, связанный с последовательностью (SRAP), расщепленные амплифицированные полиморфные последовательности (CAPS) и случайные амплифицированные микросателлиты гибридизации (RAHM) могут дополнить недостатки RAPD и повысить полезность этого простого метода для конкретных приложений [227</w:t>
      </w:r>
      <w:r w:rsidR="00421119">
        <w:rPr>
          <w:sz w:val="28"/>
          <w:szCs w:val="28"/>
        </w:rPr>
        <w:t>, с. 219</w:t>
      </w:r>
      <w:r w:rsidRPr="00943133">
        <w:rPr>
          <w:sz w:val="28"/>
          <w:szCs w:val="28"/>
        </w:rPr>
        <w:t>].</w:t>
      </w:r>
    </w:p>
    <w:p w:rsidR="00943133" w:rsidRPr="00943133" w:rsidRDefault="00943133" w:rsidP="00AE0408">
      <w:pPr>
        <w:ind w:firstLine="709"/>
        <w:rPr>
          <w:sz w:val="28"/>
          <w:szCs w:val="28"/>
        </w:rPr>
      </w:pPr>
      <w:r w:rsidRPr="00943133">
        <w:rPr>
          <w:sz w:val="28"/>
          <w:szCs w:val="28"/>
        </w:rPr>
        <w:t xml:space="preserve">Авторы из Ширазского университета (Шираз, Иран) исследовали 50 штаммов </w:t>
      </w:r>
      <w:r w:rsidR="007A7888" w:rsidRPr="007A7888">
        <w:rPr>
          <w:i/>
          <w:sz w:val="28"/>
          <w:szCs w:val="28"/>
        </w:rPr>
        <w:t>S. aureus</w:t>
      </w:r>
      <w:r w:rsidRPr="00943133">
        <w:rPr>
          <w:sz w:val="28"/>
          <w:szCs w:val="28"/>
        </w:rPr>
        <w:t xml:space="preserve"> методом RAPD, выделенных из банкнот, пищевых продуктов и мастита крупного рогатого скота с целью изучения их генотипического полиморфизма и изучения степени генетического родства между этими изолятами. Результаты подтвердили широкое генотипическое разнообразие изученных штаммов </w:t>
      </w:r>
      <w:r w:rsidR="007A7888" w:rsidRPr="007A7888">
        <w:rPr>
          <w:i/>
          <w:sz w:val="28"/>
          <w:szCs w:val="28"/>
        </w:rPr>
        <w:t>S. aureus</w:t>
      </w:r>
      <w:r w:rsidRPr="00943133">
        <w:rPr>
          <w:sz w:val="28"/>
          <w:szCs w:val="28"/>
        </w:rPr>
        <w:t xml:space="preserve">. Авторы утверждают, что метод RAPD-PCR может быть ценным инструментом для оценки генетического родства, выявления полиморфизма </w:t>
      </w:r>
      <w:r w:rsidR="007A7888" w:rsidRPr="007A7888">
        <w:rPr>
          <w:i/>
          <w:sz w:val="28"/>
          <w:szCs w:val="28"/>
        </w:rPr>
        <w:t>S. aureus</w:t>
      </w:r>
      <w:r w:rsidRPr="00943133">
        <w:rPr>
          <w:sz w:val="28"/>
          <w:szCs w:val="28"/>
        </w:rPr>
        <w:t xml:space="preserve">, а также отслеживания источников инфекций, вызванных </w:t>
      </w:r>
      <w:r w:rsidR="007A7888" w:rsidRPr="007A7888">
        <w:rPr>
          <w:i/>
          <w:sz w:val="28"/>
          <w:szCs w:val="28"/>
        </w:rPr>
        <w:t>S. aureus</w:t>
      </w:r>
      <w:r w:rsidRPr="00943133">
        <w:rPr>
          <w:sz w:val="28"/>
          <w:szCs w:val="28"/>
        </w:rPr>
        <w:t xml:space="preserve"> [228].</w:t>
      </w:r>
    </w:p>
    <w:p w:rsidR="00943133" w:rsidRPr="00943133" w:rsidRDefault="00943133" w:rsidP="00AE0408">
      <w:pPr>
        <w:ind w:firstLine="709"/>
        <w:rPr>
          <w:sz w:val="28"/>
          <w:szCs w:val="28"/>
        </w:rPr>
      </w:pPr>
      <w:r w:rsidRPr="00943133">
        <w:rPr>
          <w:sz w:val="28"/>
          <w:szCs w:val="28"/>
        </w:rPr>
        <w:t xml:space="preserve">В 2017 г. исследователями Университета Бу-Али Сина (Иран) проведены исследования методом RAPD)-ПЦР с целью определения молекулярного разнообразия штаммов </w:t>
      </w:r>
      <w:r w:rsidR="007A7888" w:rsidRPr="007A7888">
        <w:rPr>
          <w:i/>
          <w:sz w:val="28"/>
          <w:szCs w:val="28"/>
        </w:rPr>
        <w:t>S. aureus</w:t>
      </w:r>
      <w:r w:rsidRPr="00943133">
        <w:rPr>
          <w:sz w:val="28"/>
          <w:szCs w:val="28"/>
        </w:rPr>
        <w:t xml:space="preserve">, выделенных из образцов человека, крупного рогатого скота и пищевых продуктов. Всего было оценено 208 штаммов </w:t>
      </w:r>
      <w:r w:rsidR="007A7888" w:rsidRPr="007A7888">
        <w:rPr>
          <w:i/>
          <w:sz w:val="28"/>
          <w:szCs w:val="28"/>
        </w:rPr>
        <w:t>S. aureus</w:t>
      </w:r>
      <w:r w:rsidRPr="00943133">
        <w:rPr>
          <w:sz w:val="28"/>
          <w:szCs w:val="28"/>
        </w:rPr>
        <w:t xml:space="preserve">, включая 60 изолятов, выделенных от людей, 83 изолята из коровьего молока и 65 изолятов из пищевых продуктов. Результаты показали, что, хотя большинство штаммов </w:t>
      </w:r>
      <w:r w:rsidR="007A7888" w:rsidRPr="007A7888">
        <w:rPr>
          <w:i/>
          <w:sz w:val="28"/>
          <w:szCs w:val="28"/>
        </w:rPr>
        <w:t>S. aureus</w:t>
      </w:r>
      <w:r w:rsidRPr="00943133">
        <w:rPr>
          <w:sz w:val="28"/>
          <w:szCs w:val="28"/>
        </w:rPr>
        <w:t xml:space="preserve"> одного и того же источника были помещены в определенные кластеры, существовали также некоторые штаммы из разных источников, которые имели одинаковые профили RAPD, что указывает на возможную передачу штаммов </w:t>
      </w:r>
      <w:r w:rsidR="007A7888" w:rsidRPr="007A7888">
        <w:rPr>
          <w:i/>
          <w:sz w:val="28"/>
          <w:szCs w:val="28"/>
        </w:rPr>
        <w:t>S. aureus</w:t>
      </w:r>
      <w:r w:rsidRPr="00943133">
        <w:rPr>
          <w:sz w:val="28"/>
          <w:szCs w:val="28"/>
        </w:rPr>
        <w:t xml:space="preserve"> (особенно штаммов MRSA) между различными хозяевами [223</w:t>
      </w:r>
      <w:r w:rsidR="00421119">
        <w:rPr>
          <w:sz w:val="28"/>
          <w:szCs w:val="28"/>
        </w:rPr>
        <w:t>, с. 823</w:t>
      </w:r>
      <w:r w:rsidRPr="00943133">
        <w:rPr>
          <w:sz w:val="28"/>
          <w:szCs w:val="28"/>
        </w:rPr>
        <w:t>]. Значительная часть работ с применением RAPD метода посвящена определению клональности метициллин-резистентного золотистого стафилококка [224,</w:t>
      </w:r>
      <w:r w:rsidR="00421119">
        <w:rPr>
          <w:sz w:val="28"/>
          <w:szCs w:val="28"/>
        </w:rPr>
        <w:t xml:space="preserve"> с. 548;</w:t>
      </w:r>
      <w:r w:rsidR="00223A25">
        <w:rPr>
          <w:sz w:val="28"/>
          <w:szCs w:val="28"/>
        </w:rPr>
        <w:t xml:space="preserve"> 229,</w:t>
      </w:r>
      <w:r w:rsidRPr="00943133">
        <w:rPr>
          <w:sz w:val="28"/>
          <w:szCs w:val="28"/>
        </w:rPr>
        <w:t xml:space="preserve"> 230].</w:t>
      </w:r>
    </w:p>
    <w:p w:rsidR="00943133" w:rsidRPr="00943133" w:rsidRDefault="00943133" w:rsidP="00AE0408">
      <w:pPr>
        <w:ind w:firstLine="709"/>
        <w:rPr>
          <w:sz w:val="28"/>
          <w:szCs w:val="28"/>
        </w:rPr>
      </w:pPr>
      <w:r w:rsidRPr="00943133">
        <w:rPr>
          <w:sz w:val="28"/>
          <w:szCs w:val="28"/>
        </w:rPr>
        <w:t xml:space="preserve">Гель-электрофорез в импульсном поле. На протяжении десятилетий дактилоскопия ДНК с помощью гель-электрофореза в импульсном поле (PFGE) продолжает оставаться наиболее широко используемым методом для разделения больших молекул ДНК и идентификации различных штаммов с помощью переменных импульсов [231]. Это делается путем выделения интактной хромосомной ДНК и использования ферментов рестрикции со специфическими сайтами рестрикции для создания не менее 30 рестрикционных фрагментов размером от 50 КБ до 10 МБП, а результаты позволяют легко сравнивать профили полос, специфичных для клонов и предоставляет собой полезную информацию с точки зрения эпидемиологических исследований различных бактериальных патогенов. [232]. Для определения подтипа </w:t>
      </w:r>
      <w:r w:rsidR="007A7888" w:rsidRPr="007A7888">
        <w:rPr>
          <w:i/>
          <w:sz w:val="28"/>
          <w:szCs w:val="28"/>
        </w:rPr>
        <w:t>S. aureus</w:t>
      </w:r>
      <w:r w:rsidRPr="00943133">
        <w:rPr>
          <w:sz w:val="28"/>
          <w:szCs w:val="28"/>
        </w:rPr>
        <w:t xml:space="preserve">, несмотря на его ограничения и появление альтернативных методов, анализ PFGE считается адекватным выбором и также как ПДРФ-анализ золотым стандартом для определения генетического родства, </w:t>
      </w:r>
      <w:r w:rsidRPr="00943133">
        <w:rPr>
          <w:sz w:val="28"/>
          <w:szCs w:val="28"/>
        </w:rPr>
        <w:lastRenderedPageBreak/>
        <w:t>особенно при обнаружении вспышек и краткосрочном надзоре в ветеринарной сфере [233-235].</w:t>
      </w:r>
    </w:p>
    <w:p w:rsidR="00943133" w:rsidRPr="00943133" w:rsidRDefault="00943133" w:rsidP="00AE0408">
      <w:pPr>
        <w:ind w:firstLine="709"/>
        <w:rPr>
          <w:sz w:val="28"/>
          <w:szCs w:val="28"/>
        </w:rPr>
      </w:pPr>
      <w:r w:rsidRPr="00943133">
        <w:rPr>
          <w:sz w:val="28"/>
          <w:szCs w:val="28"/>
        </w:rPr>
        <w:t>Вложенная полимеразная цепная реакция (nested PCR) — двухстадийная вариация ПЦР, используемая для снижения количества неспецифичных продуктов реакции. Во вложенной ПЦР используются две пары праймеров, добавляемые на двух последовательных этапах реакции. Первая пара называется внешней и, служит для начальной амплификации участка, включающего в себя целевой фрагмент ДНК, при этом на данном этапе используется небольшое число температурных циклов (от 15 до 30). Вторая пара, называемая внутренней, отжигается на продукт первой и, используется на втором этапе ПЦР с большим числом температурных циклов. Так как после первой стадии количество ДНК, содержащей целевой фрагмент, экспоненциально возрастает, а праймеры, используемые на каждом этапе, комплементарны разным последовательностям вокруг целевого участка ДНК, итоговая специфичность реакции увеличивается. Такой подход часто используется для получения редких фрагментов или участков низкой сложности (например, GC-богатых последовательностей). Вложенная ПЦР часто наиболее успешна в специфической амплификации длинных фрагментов ДНК, чем традиционная ПЦР, но она требует более подробных знаний о последовательностях-мишенях [236-238]. Исследования с применением вложенной ПЦР проводятся вместе с мультиплексными ПЦР для повышения специфичности и чувствительности последних и широко используются для самых разных микроорганизмов. Banada P., Chakravorty S. et al. 2012 г., было продемонстрировано, что метод вложенной ПЦР sodA является высокоспецифичным (специфичность 100%, 95%) и чувствител</w:t>
      </w:r>
      <w:r>
        <w:rPr>
          <w:sz w:val="28"/>
          <w:szCs w:val="28"/>
        </w:rPr>
        <w:t>ьным (чувствительность 89%, 95%</w:t>
      </w:r>
      <w:r w:rsidRPr="00943133">
        <w:rPr>
          <w:sz w:val="28"/>
          <w:szCs w:val="28"/>
        </w:rPr>
        <w:t xml:space="preserve">) и за два часа с использованием 1 мл образца крови без необходимости посева определить, был ли вызван сепсис </w:t>
      </w:r>
      <w:r w:rsidR="007A7888" w:rsidRPr="007A7888">
        <w:rPr>
          <w:i/>
          <w:sz w:val="28"/>
          <w:szCs w:val="28"/>
        </w:rPr>
        <w:t>S. aureus</w:t>
      </w:r>
      <w:r w:rsidRPr="00943133">
        <w:rPr>
          <w:sz w:val="28"/>
          <w:szCs w:val="28"/>
        </w:rPr>
        <w:t xml:space="preserve"> [239].</w:t>
      </w:r>
    </w:p>
    <w:p w:rsidR="00943133" w:rsidRPr="00943133" w:rsidRDefault="00943133" w:rsidP="00AE0408">
      <w:pPr>
        <w:ind w:firstLine="709"/>
        <w:rPr>
          <w:sz w:val="28"/>
          <w:szCs w:val="28"/>
        </w:rPr>
      </w:pPr>
      <w:r w:rsidRPr="00943133">
        <w:rPr>
          <w:sz w:val="28"/>
          <w:szCs w:val="28"/>
        </w:rPr>
        <w:t>Энтеробактериальная повторяющаяся межгенная консенсус-полимеразная цепная реакция (Entero</w:t>
      </w:r>
      <w:r w:rsidR="00AE0408" w:rsidRPr="00AE0408">
        <w:rPr>
          <w:i/>
          <w:sz w:val="28"/>
          <w:szCs w:val="28"/>
        </w:rPr>
        <w:t>Bacteria</w:t>
      </w:r>
      <w:r w:rsidRPr="00943133">
        <w:rPr>
          <w:sz w:val="28"/>
          <w:szCs w:val="28"/>
        </w:rPr>
        <w:t>l Repetitive Intergenic Consensus-Polymerase Chain Reaction или ERIC-PCR). ERIC-PCR основана на использовании ERIC-последовательностей ДНК-отпечатков бактериальных геномов – короткие циклические нуклеотидные ДНК последовательности, встречающиеся в геномах таких бактерий [240]. ERIC-PCR в основном используется для типирования бактерий и изучения их генетического разнообразия, что позволяет выявить пути передачи возбудителей, контролировать вспышки заболеваний и принимать меры для их предотвращения [241]. Праймеры связываются с ERIC-последовательностями в геноме бактерий, полученные продукты ПЦР формируют уникальные полосы на геле создавая паттерн полос – ДНК-отпечаток, который можно использовать для идентификации и сравнения различных бактериальных штаммов [240</w:t>
      </w:r>
      <w:r w:rsidR="006C04A8">
        <w:rPr>
          <w:sz w:val="28"/>
          <w:szCs w:val="28"/>
        </w:rPr>
        <w:t xml:space="preserve">, с. </w:t>
      </w:r>
      <w:r w:rsidR="006C04A8" w:rsidRPr="006C04A8">
        <w:rPr>
          <w:sz w:val="28"/>
          <w:szCs w:val="28"/>
        </w:rPr>
        <w:t>1166</w:t>
      </w:r>
      <w:r w:rsidRPr="00943133">
        <w:rPr>
          <w:sz w:val="28"/>
          <w:szCs w:val="28"/>
        </w:rPr>
        <w:t xml:space="preserve">]. Успех ERIC-PCR как упрощенного метода типирования для широкого и постепенно растущего числа микроорганизмов делает этот метод подходящим для эпидемиологии или локализованной эпидемиологии, где целесообразным является высоко воссозданный метод типирования, требующий минимального </w:t>
      </w:r>
      <w:r w:rsidRPr="00943133">
        <w:rPr>
          <w:sz w:val="28"/>
          <w:szCs w:val="28"/>
        </w:rPr>
        <w:lastRenderedPageBreak/>
        <w:t>количества реагентов [241</w:t>
      </w:r>
      <w:r w:rsidR="006C04A8">
        <w:rPr>
          <w:sz w:val="28"/>
          <w:szCs w:val="28"/>
        </w:rPr>
        <w:t>, с. 10</w:t>
      </w:r>
      <w:r w:rsidRPr="00943133">
        <w:rPr>
          <w:sz w:val="28"/>
          <w:szCs w:val="28"/>
        </w:rPr>
        <w:t xml:space="preserve">]. В настоящее время ERIC-ПЦР широко применяется в исследованиях молекулярных закономерностей устойчивых к антибактериальным препаратам MRSA [242-245]. Исследования, проведенные в Университете Мансура (Египет) показывают, что ERIC-ПЦР является перспективным методом для классификации метициллин-резистентного золотистого стафилококка, и применим для регулярных исследований при изучении мутаций MRSA, особенно у домашних животных [246]. По данным исследователей в данной области, ERIC PCR известна своей простотой, дешевизной и чувствительностью для молекулярной характеристики </w:t>
      </w:r>
      <w:r w:rsidR="007A7888" w:rsidRPr="007A7888">
        <w:rPr>
          <w:i/>
          <w:sz w:val="28"/>
          <w:szCs w:val="28"/>
        </w:rPr>
        <w:t>S. aureus</w:t>
      </w:r>
      <w:r w:rsidRPr="00943133">
        <w:rPr>
          <w:sz w:val="28"/>
          <w:szCs w:val="28"/>
        </w:rPr>
        <w:t>, позволяющей выявлять генетические вариации и различия между штаммами бактерий [247-249].</w:t>
      </w:r>
    </w:p>
    <w:p w:rsidR="00943133" w:rsidRPr="00943133" w:rsidRDefault="00943133" w:rsidP="00AE0408">
      <w:pPr>
        <w:ind w:firstLine="709"/>
        <w:rPr>
          <w:sz w:val="28"/>
          <w:szCs w:val="28"/>
        </w:rPr>
      </w:pPr>
      <w:r w:rsidRPr="00943133">
        <w:rPr>
          <w:sz w:val="28"/>
          <w:szCs w:val="28"/>
        </w:rPr>
        <w:t xml:space="preserve">К методам молекулярной дифференциации </w:t>
      </w:r>
      <w:r w:rsidR="007A7888" w:rsidRPr="007A7888">
        <w:rPr>
          <w:i/>
          <w:sz w:val="28"/>
          <w:szCs w:val="28"/>
        </w:rPr>
        <w:t>S. aureus</w:t>
      </w:r>
      <w:r w:rsidRPr="00943133">
        <w:rPr>
          <w:sz w:val="28"/>
          <w:szCs w:val="28"/>
        </w:rPr>
        <w:t xml:space="preserve">, основанным на секвенировании, кроме полногеномного секвенирования и риботипирования, относится типирование на основе мультилокусных последовательностей (MLST), метод основан на сравнении и анализе вариаций распространенных типов последовательностей в генах домашнего хозяйства для последующего, и MLST широко используется в эпидемиологических исследованиях для отслеживания распространения штаммов </w:t>
      </w:r>
      <w:r w:rsidR="007A7888" w:rsidRPr="007A7888">
        <w:rPr>
          <w:i/>
          <w:sz w:val="28"/>
          <w:szCs w:val="28"/>
        </w:rPr>
        <w:t>S. aureus</w:t>
      </w:r>
      <w:r w:rsidRPr="00943133">
        <w:rPr>
          <w:sz w:val="28"/>
          <w:szCs w:val="28"/>
        </w:rPr>
        <w:t xml:space="preserve"> [250]. Он успешно применяется для быстрой и точной идентификации и описания патогенных бактериальных и вирусных штаммов во всем мире. Анализ результатов секвенирования генов «домашнего хозяйства» с определением сиквенс-типов (ST) проводится с использованием базы данных МЛСТ (http://s</w:t>
      </w:r>
      <w:r w:rsidR="00AE0408" w:rsidRPr="00AE0408">
        <w:rPr>
          <w:i/>
          <w:sz w:val="28"/>
          <w:szCs w:val="28"/>
        </w:rPr>
        <w:t>aureus</w:t>
      </w:r>
      <w:r w:rsidRPr="00943133">
        <w:rPr>
          <w:sz w:val="28"/>
          <w:szCs w:val="28"/>
        </w:rPr>
        <w:t>.mlst.net) [251]. Сиквенс-типы определяются на основании комбинации аллелей с помощью алгоритма BURST, который представляет собой группу взаимосвязанных сиквенс-типов, берущих начало от общего предка [252-254].</w:t>
      </w:r>
    </w:p>
    <w:p w:rsidR="00943133" w:rsidRDefault="00943133" w:rsidP="00AE0408">
      <w:pPr>
        <w:ind w:firstLine="709"/>
        <w:rPr>
          <w:sz w:val="28"/>
          <w:szCs w:val="28"/>
        </w:rPr>
      </w:pPr>
      <w:r w:rsidRPr="00943133">
        <w:rPr>
          <w:sz w:val="28"/>
          <w:szCs w:val="28"/>
        </w:rPr>
        <w:t>Внедрение современных молекулярно-биологических методов при мониторинге стафилококковых инфекций необходимо для быстрой и точной идентификации микроорганизмов, контроля за эпидемиологической ситуацией и изучения необходимости проведения противоэпидемических мероприятий [31,</w:t>
      </w:r>
      <w:r w:rsidR="00A04E0E">
        <w:rPr>
          <w:sz w:val="28"/>
          <w:szCs w:val="28"/>
        </w:rPr>
        <w:t xml:space="preserve"> с. 25;</w:t>
      </w:r>
      <w:r w:rsidRPr="00943133">
        <w:rPr>
          <w:sz w:val="28"/>
          <w:szCs w:val="28"/>
        </w:rPr>
        <w:t xml:space="preserve"> 204,</w:t>
      </w:r>
      <w:r w:rsidR="00A04E0E">
        <w:rPr>
          <w:sz w:val="28"/>
          <w:szCs w:val="28"/>
        </w:rPr>
        <w:t xml:space="preserve"> с. 12;</w:t>
      </w:r>
      <w:r w:rsidRPr="00943133">
        <w:rPr>
          <w:sz w:val="28"/>
          <w:szCs w:val="28"/>
        </w:rPr>
        <w:t xml:space="preserve"> 255]. У всех этих методов есть различия в их дискриминирующих способностях, и их можно расширить, комбинируя методы [256].</w:t>
      </w:r>
    </w:p>
    <w:p w:rsidR="009F1B2C" w:rsidRDefault="009F1B2C" w:rsidP="00AE0408">
      <w:pPr>
        <w:ind w:firstLine="709"/>
        <w:rPr>
          <w:sz w:val="28"/>
          <w:szCs w:val="28"/>
        </w:rPr>
      </w:pPr>
    </w:p>
    <w:p w:rsidR="00943133" w:rsidRPr="00943133" w:rsidRDefault="00943133" w:rsidP="00AE0408">
      <w:pPr>
        <w:ind w:firstLine="709"/>
        <w:rPr>
          <w:b/>
          <w:sz w:val="28"/>
          <w:szCs w:val="28"/>
        </w:rPr>
      </w:pPr>
      <w:r w:rsidRPr="00943133">
        <w:rPr>
          <w:b/>
          <w:sz w:val="28"/>
          <w:szCs w:val="28"/>
        </w:rPr>
        <w:t xml:space="preserve">1.4 Молекулярные основы резистентности к антибиотикам </w:t>
      </w:r>
      <w:r w:rsidR="007A7888" w:rsidRPr="007A7888">
        <w:rPr>
          <w:b/>
          <w:i/>
          <w:sz w:val="28"/>
          <w:szCs w:val="28"/>
        </w:rPr>
        <w:t>S. aureus</w:t>
      </w:r>
      <w:r w:rsidRPr="00943133">
        <w:rPr>
          <w:b/>
          <w:sz w:val="28"/>
          <w:szCs w:val="28"/>
        </w:rPr>
        <w:t xml:space="preserve">. Генетические детерминанты устойчивости </w:t>
      </w:r>
      <w:r w:rsidR="007A7888" w:rsidRPr="007A7888">
        <w:rPr>
          <w:b/>
          <w:i/>
          <w:sz w:val="28"/>
          <w:szCs w:val="28"/>
        </w:rPr>
        <w:t>S. aureus</w:t>
      </w:r>
    </w:p>
    <w:p w:rsidR="00943133" w:rsidRPr="00943133" w:rsidRDefault="00943133" w:rsidP="00AE0408">
      <w:pPr>
        <w:ind w:firstLine="709"/>
        <w:rPr>
          <w:sz w:val="28"/>
          <w:szCs w:val="28"/>
        </w:rPr>
      </w:pPr>
      <w:r w:rsidRPr="00943133">
        <w:rPr>
          <w:sz w:val="28"/>
          <w:szCs w:val="28"/>
        </w:rPr>
        <w:t xml:space="preserve">Антибиотикорезистентность золотистого стафилококка - это способность бактерии выживать при применении антибиотиков, которые обычно используются для лечения инфекций, вызванных представленным микроорганизмом. </w:t>
      </w:r>
      <w:r w:rsidR="007A7888" w:rsidRPr="007A7888">
        <w:rPr>
          <w:i/>
          <w:sz w:val="28"/>
          <w:szCs w:val="28"/>
        </w:rPr>
        <w:t>S. aureus</w:t>
      </w:r>
      <w:r w:rsidRPr="00943133">
        <w:rPr>
          <w:sz w:val="28"/>
          <w:szCs w:val="28"/>
        </w:rPr>
        <w:t xml:space="preserve"> естественным образом чувствителен практически ко всем когда-либо разработанным антибиотикам, антибиотикорезистентность может развиваться через различные механизмы, включая мутации генов, горизонтальный перенос генов, а также развитие других специфических механизмов, позволяющих ему обходить действие антибиотиков [12</w:t>
      </w:r>
      <w:r w:rsidR="00A04E0E">
        <w:rPr>
          <w:sz w:val="28"/>
          <w:szCs w:val="28"/>
        </w:rPr>
        <w:t>, с. 2</w:t>
      </w:r>
      <w:r w:rsidRPr="00943133">
        <w:rPr>
          <w:sz w:val="28"/>
          <w:szCs w:val="28"/>
        </w:rPr>
        <w:t xml:space="preserve">]. </w:t>
      </w:r>
      <w:r w:rsidR="007A7888" w:rsidRPr="007A7888">
        <w:rPr>
          <w:i/>
          <w:sz w:val="28"/>
          <w:szCs w:val="28"/>
        </w:rPr>
        <w:t>S. aureus</w:t>
      </w:r>
      <w:r w:rsidRPr="00943133">
        <w:rPr>
          <w:sz w:val="28"/>
          <w:szCs w:val="28"/>
        </w:rPr>
        <w:t xml:space="preserve"> ассоциируется с ростом бактериальной резистентности к антибиотикам, </w:t>
      </w:r>
      <w:r w:rsidRPr="00943133">
        <w:rPr>
          <w:sz w:val="28"/>
          <w:szCs w:val="28"/>
        </w:rPr>
        <w:lastRenderedPageBreak/>
        <w:t>и в настоящее время входит в группу наиболее важных бактерий, вызывающих инфекции и характеризующихся множественной лекарственной устойчивостью (ESKAPE) [257]. В группу ESKAPE входит шесть устойчивых к антибиотикам высоковирулентных патогенов (</w:t>
      </w:r>
      <w:r w:rsidR="00453C72" w:rsidRPr="00453C72">
        <w:rPr>
          <w:i/>
          <w:sz w:val="28"/>
          <w:szCs w:val="28"/>
        </w:rPr>
        <w:t>Enterococcus faecium</w:t>
      </w:r>
      <w:r w:rsidRPr="00943133">
        <w:rPr>
          <w:sz w:val="28"/>
          <w:szCs w:val="28"/>
        </w:rPr>
        <w:t xml:space="preserve">, </w:t>
      </w:r>
      <w:r w:rsidR="00AE0408" w:rsidRPr="00AE0408">
        <w:rPr>
          <w:i/>
          <w:sz w:val="28"/>
          <w:szCs w:val="28"/>
        </w:rPr>
        <w:t>Staphylococcus</w:t>
      </w:r>
      <w:r w:rsidRPr="00943133">
        <w:rPr>
          <w:sz w:val="28"/>
          <w:szCs w:val="28"/>
        </w:rPr>
        <w:t xml:space="preserve"> </w:t>
      </w:r>
      <w:r w:rsidR="00AE0408" w:rsidRPr="00AE0408">
        <w:rPr>
          <w:i/>
          <w:sz w:val="28"/>
          <w:szCs w:val="28"/>
        </w:rPr>
        <w:t>aureus</w:t>
      </w:r>
      <w:r w:rsidRPr="00943133">
        <w:rPr>
          <w:sz w:val="28"/>
          <w:szCs w:val="28"/>
        </w:rPr>
        <w:t xml:space="preserve">, </w:t>
      </w:r>
      <w:r w:rsidR="00B832C8" w:rsidRPr="00B832C8">
        <w:rPr>
          <w:i/>
          <w:sz w:val="28"/>
          <w:szCs w:val="28"/>
        </w:rPr>
        <w:t>Klebsiella</w:t>
      </w:r>
      <w:r w:rsidRPr="00943133">
        <w:rPr>
          <w:sz w:val="28"/>
          <w:szCs w:val="28"/>
        </w:rPr>
        <w:t xml:space="preserve"> pneumoniae, </w:t>
      </w:r>
      <w:r w:rsidR="00E104A1" w:rsidRPr="00E104A1">
        <w:rPr>
          <w:i/>
          <w:sz w:val="28"/>
          <w:szCs w:val="28"/>
        </w:rPr>
        <w:t>Acinetobacter baumannii</w:t>
      </w:r>
      <w:r w:rsidRPr="00943133">
        <w:rPr>
          <w:sz w:val="28"/>
          <w:szCs w:val="28"/>
        </w:rPr>
        <w:t xml:space="preserve">, </w:t>
      </w:r>
      <w:r w:rsidR="00E104A1" w:rsidRPr="00E104A1">
        <w:rPr>
          <w:i/>
          <w:sz w:val="28"/>
          <w:szCs w:val="28"/>
        </w:rPr>
        <w:t>Pseudomonas aeruginosa</w:t>
      </w:r>
      <w:r w:rsidRPr="00943133">
        <w:rPr>
          <w:sz w:val="28"/>
          <w:szCs w:val="28"/>
        </w:rPr>
        <w:t xml:space="preserve">, </w:t>
      </w:r>
      <w:r w:rsidR="00E104A1" w:rsidRPr="00E104A1">
        <w:rPr>
          <w:i/>
          <w:sz w:val="28"/>
          <w:szCs w:val="28"/>
        </w:rPr>
        <w:t>Enterobacter spp</w:t>
      </w:r>
      <w:r w:rsidRPr="00943133">
        <w:rPr>
          <w:sz w:val="28"/>
          <w:szCs w:val="28"/>
        </w:rPr>
        <w:t>.), а в некоторых случаях аббревиатуру расширяют до «ESKAPEE», для включения в данную группу седьмого патогена (</w:t>
      </w:r>
      <w:r w:rsidR="00E104A1" w:rsidRPr="00E104A1">
        <w:rPr>
          <w:i/>
          <w:sz w:val="28"/>
          <w:szCs w:val="28"/>
        </w:rPr>
        <w:t>Escherichia coli</w:t>
      </w:r>
      <w:r w:rsidRPr="00943133">
        <w:rPr>
          <w:sz w:val="28"/>
          <w:szCs w:val="28"/>
        </w:rPr>
        <w:t>) [258, 259].</w:t>
      </w:r>
    </w:p>
    <w:p w:rsidR="00943133" w:rsidRPr="00943133" w:rsidRDefault="007A7888" w:rsidP="00AE0408">
      <w:pPr>
        <w:ind w:firstLine="709"/>
        <w:rPr>
          <w:sz w:val="28"/>
          <w:szCs w:val="28"/>
        </w:rPr>
      </w:pPr>
      <w:r w:rsidRPr="007A7888">
        <w:rPr>
          <w:i/>
          <w:sz w:val="28"/>
          <w:szCs w:val="28"/>
        </w:rPr>
        <w:t>S. aureus</w:t>
      </w:r>
      <w:r w:rsidR="00943133" w:rsidRPr="00943133">
        <w:rPr>
          <w:sz w:val="28"/>
          <w:szCs w:val="28"/>
        </w:rPr>
        <w:t xml:space="preserve">, в особенности метициллин-резистентные штаммы (MRSA) выработали механизмы устойчивости к большинству используемых антимикробных препаратов [260]. </w:t>
      </w:r>
    </w:p>
    <w:p w:rsidR="00943133" w:rsidRPr="00943133" w:rsidRDefault="00943133" w:rsidP="00AE0408">
      <w:pPr>
        <w:ind w:firstLine="709"/>
        <w:rPr>
          <w:sz w:val="28"/>
          <w:szCs w:val="28"/>
        </w:rPr>
      </w:pPr>
      <w:r w:rsidRPr="00943133">
        <w:rPr>
          <w:sz w:val="28"/>
          <w:szCs w:val="28"/>
        </w:rPr>
        <w:t xml:space="preserve">Штаммы </w:t>
      </w:r>
      <w:r w:rsidR="007A7888" w:rsidRPr="007A7888">
        <w:rPr>
          <w:i/>
          <w:sz w:val="28"/>
          <w:szCs w:val="28"/>
        </w:rPr>
        <w:t>S. aureus</w:t>
      </w:r>
      <w:r w:rsidRPr="00943133">
        <w:rPr>
          <w:sz w:val="28"/>
          <w:szCs w:val="28"/>
        </w:rPr>
        <w:t xml:space="preserve"> выработали механизмы устойчивости к следующим группам антибиотиков: β-лактамным антибиотикам (ампициллин, амоксициллин, бензилпенициллин, цефоперазон, цефокситин); тетрациклинам (тетрациклин, доксициклин); макролидам (эритромицин, тилозин); аминогликозидам (стрептомицин, канамицин, неомицин, гентамицин); сульфаниламидам (сульфаметоксазол/триметоприм); фторхинолонам (ципро</w:t>
      </w:r>
      <w:r>
        <w:rPr>
          <w:sz w:val="28"/>
          <w:szCs w:val="28"/>
        </w:rPr>
        <w:t>флоксацин</w:t>
      </w:r>
      <w:r w:rsidRPr="00943133">
        <w:rPr>
          <w:sz w:val="28"/>
          <w:szCs w:val="28"/>
        </w:rPr>
        <w:t>, норфлоксацин).</w:t>
      </w:r>
    </w:p>
    <w:p w:rsidR="00943133" w:rsidRPr="00943133" w:rsidRDefault="00943133" w:rsidP="00AE0408">
      <w:pPr>
        <w:ind w:firstLine="709"/>
        <w:rPr>
          <w:sz w:val="28"/>
          <w:szCs w:val="28"/>
        </w:rPr>
      </w:pPr>
      <w:r w:rsidRPr="00943133">
        <w:rPr>
          <w:sz w:val="28"/>
          <w:szCs w:val="28"/>
        </w:rPr>
        <w:t xml:space="preserve">Устойчивость к β-лактамным антибиотикам. β-лактамные антибиотики воздействуют на такие ферменты как транспептидазы, трансгликозилазы и карбоксипептидазы, которые участвуют в синтезе пептидогликана. Пептидогликан – это ключевой элемент (белок) клеточной стенки бактерий, который инактивируется β-лактамами и называется пенициллинсвязывающим белком, инактивация которого приводит к гибели бактериальных клеток [260, 261]. </w:t>
      </w:r>
    </w:p>
    <w:p w:rsidR="00943133" w:rsidRPr="00943133" w:rsidRDefault="00943133" w:rsidP="00AE0408">
      <w:pPr>
        <w:ind w:firstLine="709"/>
        <w:rPr>
          <w:sz w:val="28"/>
          <w:szCs w:val="28"/>
        </w:rPr>
      </w:pPr>
      <w:r w:rsidRPr="00943133">
        <w:rPr>
          <w:sz w:val="28"/>
          <w:szCs w:val="28"/>
        </w:rPr>
        <w:t xml:space="preserve">Известно о нескольких биохимических механизмах устойчивости к β-лактамным антибиотикам, которые включают ферментативную инактивацию препарата (β-лактамаза), различные модификации мишени в пенициллинсвязывающем белке, ограничение воздействия АБП путем образования биопленки (биопленкообразование) и активный отток препарата [262, 263]. Ферментативная инактивация препарата может вызываться экспрессией хромосомной β-лактамазы, что может быть вызвано продукцией фермента пенициллиназы. Пенициллиназа (β-лактамаза) – кодируется плазмидой, которая гидролизует β-лактамное кольцо, либо экспрессией PBP2a и пенициллинсвязывающего белка (PBP), кодируемого геном mecA [264]. Каскад генов, кодируемый blaZ пенициллиназой у </w:t>
      </w:r>
      <w:r w:rsidR="007A7888" w:rsidRPr="007A7888">
        <w:rPr>
          <w:i/>
          <w:sz w:val="28"/>
          <w:szCs w:val="28"/>
        </w:rPr>
        <w:t>S. aureus</w:t>
      </w:r>
      <w:r w:rsidRPr="00943133">
        <w:rPr>
          <w:sz w:val="28"/>
          <w:szCs w:val="28"/>
        </w:rPr>
        <w:t xml:space="preserve"> индуцирует связывание пенициллина, где сам ген транскрипционно регулируется регу</w:t>
      </w:r>
      <w:r w:rsidR="00C32812">
        <w:rPr>
          <w:sz w:val="28"/>
          <w:szCs w:val="28"/>
        </w:rPr>
        <w:t>ляторными генами blaI и blaR1[</w:t>
      </w:r>
      <w:r w:rsidRPr="00943133">
        <w:rPr>
          <w:sz w:val="28"/>
          <w:szCs w:val="28"/>
        </w:rPr>
        <w:t>265].</w:t>
      </w:r>
    </w:p>
    <w:p w:rsidR="00943133" w:rsidRPr="00943133" w:rsidRDefault="00943133" w:rsidP="00AE0408">
      <w:pPr>
        <w:ind w:firstLine="709"/>
        <w:rPr>
          <w:sz w:val="28"/>
          <w:szCs w:val="28"/>
        </w:rPr>
      </w:pPr>
      <w:r w:rsidRPr="00943133">
        <w:rPr>
          <w:sz w:val="28"/>
          <w:szCs w:val="28"/>
        </w:rPr>
        <w:t xml:space="preserve">Устойчивость к метициллину у золотистого стафилококка – известна как MRSA (метициллин-резистентный </w:t>
      </w:r>
      <w:r w:rsidR="007A7888" w:rsidRPr="007A7888">
        <w:rPr>
          <w:i/>
          <w:sz w:val="28"/>
          <w:szCs w:val="28"/>
        </w:rPr>
        <w:t>S. aureus</w:t>
      </w:r>
      <w:r w:rsidRPr="00943133">
        <w:rPr>
          <w:sz w:val="28"/>
          <w:szCs w:val="28"/>
        </w:rPr>
        <w:t xml:space="preserve">) и является одной из наиболее значительных проблем в медицине, так как метициллин-резистентный </w:t>
      </w:r>
      <w:r w:rsidR="007A7888" w:rsidRPr="007A7888">
        <w:rPr>
          <w:i/>
          <w:sz w:val="28"/>
          <w:szCs w:val="28"/>
        </w:rPr>
        <w:t>S. aureus</w:t>
      </w:r>
      <w:r w:rsidRPr="00943133">
        <w:rPr>
          <w:sz w:val="28"/>
          <w:szCs w:val="28"/>
        </w:rPr>
        <w:t xml:space="preserve"> устойчив к большинству β-лактамных антибиотиков, включая пенициллины и цефалоспорины. В клинической практике метициллин начал использоваться с 1959 года для лечения инфекций, вызванных пенициллин-резистентными </w:t>
      </w:r>
      <w:r w:rsidRPr="00943133">
        <w:rPr>
          <w:sz w:val="28"/>
          <w:szCs w:val="28"/>
        </w:rPr>
        <w:lastRenderedPageBreak/>
        <w:t xml:space="preserve">штаммами </w:t>
      </w:r>
      <w:r w:rsidR="007A7888" w:rsidRPr="007A7888">
        <w:rPr>
          <w:i/>
          <w:sz w:val="28"/>
          <w:szCs w:val="28"/>
        </w:rPr>
        <w:t>S. aureus</w:t>
      </w:r>
      <w:r w:rsidRPr="00943133">
        <w:rPr>
          <w:sz w:val="28"/>
          <w:szCs w:val="28"/>
        </w:rPr>
        <w:t xml:space="preserve">. Но бесконтрольное использование метициллина уже через два года вызвало появление устойчивых к данному антибиотику штаммов </w:t>
      </w:r>
      <w:r w:rsidR="007A7888" w:rsidRPr="007A7888">
        <w:rPr>
          <w:i/>
          <w:sz w:val="28"/>
          <w:szCs w:val="28"/>
        </w:rPr>
        <w:t>S. aureus</w:t>
      </w:r>
      <w:r w:rsidRPr="00943133">
        <w:rPr>
          <w:sz w:val="28"/>
          <w:szCs w:val="28"/>
        </w:rPr>
        <w:t xml:space="preserve"> [12,</w:t>
      </w:r>
      <w:r w:rsidR="00C32812">
        <w:rPr>
          <w:sz w:val="28"/>
          <w:szCs w:val="28"/>
        </w:rPr>
        <w:t xml:space="preserve"> с. 640;</w:t>
      </w:r>
      <w:r w:rsidRPr="00943133">
        <w:rPr>
          <w:sz w:val="28"/>
          <w:szCs w:val="28"/>
        </w:rPr>
        <w:t xml:space="preserve"> 266, 267]. Устойчивость к метициллину у </w:t>
      </w:r>
      <w:r w:rsidR="007A7888" w:rsidRPr="007A7888">
        <w:rPr>
          <w:i/>
          <w:sz w:val="28"/>
          <w:szCs w:val="28"/>
        </w:rPr>
        <w:t>S. aureus</w:t>
      </w:r>
      <w:r w:rsidRPr="00943133">
        <w:rPr>
          <w:sz w:val="28"/>
          <w:szCs w:val="28"/>
        </w:rPr>
        <w:t xml:space="preserve"> связана с приобретением гена mecA находящемся в специфической генетической структуре, называемой – стафилококковая хромосомная кассета mec, который ко</w:t>
      </w:r>
      <w:r w:rsidR="00961C73">
        <w:rPr>
          <w:sz w:val="28"/>
          <w:szCs w:val="28"/>
        </w:rPr>
        <w:t>дирует низкоаффинный пенициллин</w:t>
      </w:r>
      <w:r w:rsidRPr="00943133">
        <w:rPr>
          <w:sz w:val="28"/>
          <w:szCs w:val="28"/>
        </w:rPr>
        <w:t xml:space="preserve">связывающий белок PBP2a или PBP2′ [268]. Экспрессия гена mecA у устойчивого к метициллину </w:t>
      </w:r>
      <w:r w:rsidR="007A7888" w:rsidRPr="007A7888">
        <w:rPr>
          <w:i/>
          <w:sz w:val="28"/>
          <w:szCs w:val="28"/>
        </w:rPr>
        <w:t>S. aureus</w:t>
      </w:r>
      <w:r w:rsidRPr="00943133">
        <w:rPr>
          <w:sz w:val="28"/>
          <w:szCs w:val="28"/>
        </w:rPr>
        <w:t xml:space="preserve"> регулируется сложной системой регуляции, и включает в себя регуляторные белки MecI и MecR1, которые в свою очередь аналогичны белкам BlaI и BlaR1, регулирующим экспрессию гена β-лактамазы BlaZ [269, 270]. Стафилококковая хромосомная кассета mec (SSCmec) встроена в хромосоме золотистого стафилококка, называемой orfX, с помощью рекомбиназ CcrA и CcrB, которые играют ключевую роль в процессах интеграции и вырезания SSCmec [12,</w:t>
      </w:r>
      <w:r w:rsidR="00C32812">
        <w:rPr>
          <w:sz w:val="28"/>
          <w:szCs w:val="28"/>
        </w:rPr>
        <w:t xml:space="preserve"> с. 634;</w:t>
      </w:r>
      <w:r w:rsidRPr="00943133">
        <w:rPr>
          <w:sz w:val="28"/>
          <w:szCs w:val="28"/>
        </w:rPr>
        <w:t xml:space="preserve"> 271].</w:t>
      </w:r>
    </w:p>
    <w:p w:rsidR="00943133" w:rsidRPr="00943133" w:rsidRDefault="00943133" w:rsidP="00AE0408">
      <w:pPr>
        <w:ind w:firstLine="709"/>
        <w:rPr>
          <w:sz w:val="28"/>
          <w:szCs w:val="28"/>
        </w:rPr>
      </w:pPr>
      <w:r w:rsidRPr="00943133">
        <w:rPr>
          <w:sz w:val="28"/>
          <w:szCs w:val="28"/>
        </w:rPr>
        <w:t>Таким образом можно сделать общий вывод о том, что ген mecA, расположенный в стафилококковой хромосомной кассете mec (SCCmec) кодирует пенициллинсвязывающий белок PBP2a, который в свою очередь и позволяет клетке продолжать синтез клеточной стенки даже при воздействии β-лактамных антибиотиков. Ген blaZ, расположенный в плазмидах или в хромосоме, кодирует β-лактамазу, фермент гидролизирующий β-лактамное кольцо пенициллина, тем самым подавляя его активность.</w:t>
      </w:r>
    </w:p>
    <w:p w:rsidR="00943133" w:rsidRPr="00943133" w:rsidRDefault="00943133" w:rsidP="00AE0408">
      <w:pPr>
        <w:ind w:firstLine="709"/>
        <w:rPr>
          <w:sz w:val="28"/>
          <w:szCs w:val="28"/>
        </w:rPr>
      </w:pPr>
      <w:r w:rsidRPr="00943133">
        <w:rPr>
          <w:sz w:val="28"/>
          <w:szCs w:val="28"/>
        </w:rPr>
        <w:t xml:space="preserve">Устойчивость к тетрациклинам. Генетическая устойчивость к тетрациклинам у </w:t>
      </w:r>
      <w:r w:rsidR="007A7888" w:rsidRPr="007A7888">
        <w:rPr>
          <w:i/>
          <w:sz w:val="28"/>
          <w:szCs w:val="28"/>
        </w:rPr>
        <w:t>S. aureus</w:t>
      </w:r>
      <w:r w:rsidRPr="00943133">
        <w:rPr>
          <w:sz w:val="28"/>
          <w:szCs w:val="28"/>
        </w:rPr>
        <w:t xml:space="preserve"> развивается благодаря генам tetK и tetM [272]. Известны два основных механизма устойчивости к тетрациклину: активный отток, возникающий в результате приобретения гена tetK, расположенного в плазмиде, и рибосомальная защита с помощью белков, подобных фактору элонгации, которые кодируются генетической детерминантой tetM, что позволяет бактериям предотвращать связывание тетрациклинов с рибосомами, тем самым продолжать синтез белка и выживать даже в присутствии антибиотика</w:t>
      </w:r>
      <w:r w:rsidR="00F50403">
        <w:rPr>
          <w:sz w:val="28"/>
          <w:szCs w:val="28"/>
        </w:rPr>
        <w:t xml:space="preserve">. </w:t>
      </w:r>
      <w:r w:rsidR="00F50403" w:rsidRPr="00943133">
        <w:rPr>
          <w:sz w:val="28"/>
          <w:szCs w:val="28"/>
        </w:rPr>
        <w:t>Ген tetM обычно расположен на хромосомных или трансмиссибельных детерминантах, таких как транспозоны, которые могут перемещаться между разными бактериями, способствуя распространению устойчивости</w:t>
      </w:r>
      <w:r w:rsidRPr="00943133">
        <w:rPr>
          <w:sz w:val="28"/>
          <w:szCs w:val="28"/>
        </w:rPr>
        <w:t xml:space="preserve"> [273, 274]. Ген tetK чаще всего располагается в плазмидах, что стимулирует способность к горизонтальному переносу между различными бактериями и штаммами </w:t>
      </w:r>
      <w:r w:rsidR="007A7888" w:rsidRPr="007A7888">
        <w:rPr>
          <w:i/>
          <w:sz w:val="28"/>
          <w:szCs w:val="28"/>
        </w:rPr>
        <w:t>S. aureus</w:t>
      </w:r>
      <w:r w:rsidRPr="00943133">
        <w:rPr>
          <w:sz w:val="28"/>
          <w:szCs w:val="28"/>
        </w:rPr>
        <w:t xml:space="preserve"> [275-279]. Основным механизмом распространения генетической устойчивости к тетрациклинам у </w:t>
      </w:r>
      <w:r w:rsidR="007A7888" w:rsidRPr="007A7888">
        <w:rPr>
          <w:i/>
          <w:sz w:val="28"/>
          <w:szCs w:val="28"/>
        </w:rPr>
        <w:t>S. aureus</w:t>
      </w:r>
      <w:r w:rsidRPr="00943133">
        <w:rPr>
          <w:sz w:val="28"/>
          <w:szCs w:val="28"/>
        </w:rPr>
        <w:t xml:space="preserve"> является горизонтальный перенос вышеуказанных генов [280]. Горизонтальный перенос является ключевым шагом, ускоряющим генетическую и фенотипическую изменчивость в популяциях </w:t>
      </w:r>
      <w:r w:rsidR="007A7888" w:rsidRPr="007A7888">
        <w:rPr>
          <w:i/>
          <w:sz w:val="28"/>
          <w:szCs w:val="28"/>
        </w:rPr>
        <w:t>S. aureus</w:t>
      </w:r>
      <w:r w:rsidRPr="00943133">
        <w:rPr>
          <w:sz w:val="28"/>
          <w:szCs w:val="28"/>
        </w:rPr>
        <w:t xml:space="preserve"> обеспечивающий адаптацию к изменениям в окружающей среде и часто встречается среди изолятов </w:t>
      </w:r>
      <w:r w:rsidR="007A7888" w:rsidRPr="007A7888">
        <w:rPr>
          <w:i/>
          <w:sz w:val="28"/>
          <w:szCs w:val="28"/>
        </w:rPr>
        <w:t>S. aureus</w:t>
      </w:r>
      <w:r w:rsidRPr="00943133">
        <w:rPr>
          <w:sz w:val="28"/>
          <w:szCs w:val="28"/>
        </w:rPr>
        <w:t xml:space="preserve"> [281, 282]. Следующим механизмом приобретения генетической устойчивости к тетрациклинам у золотистого стафилококка является индуцированная устойчивость, когда некоторые штаммы </w:t>
      </w:r>
      <w:r w:rsidR="007A7888" w:rsidRPr="007A7888">
        <w:rPr>
          <w:i/>
          <w:sz w:val="28"/>
          <w:szCs w:val="28"/>
        </w:rPr>
        <w:t>S. aureus</w:t>
      </w:r>
      <w:r w:rsidRPr="00943133">
        <w:rPr>
          <w:sz w:val="28"/>
          <w:szCs w:val="28"/>
        </w:rPr>
        <w:t xml:space="preserve"> могут индуцировать экспрессию генов устойчивости только в присутствии </w:t>
      </w:r>
      <w:r w:rsidRPr="00943133">
        <w:rPr>
          <w:sz w:val="28"/>
          <w:szCs w:val="28"/>
        </w:rPr>
        <w:lastRenderedPageBreak/>
        <w:t>тетрациклинов, что помогает бактерии эффективно снижать энергетические затраты при отсутствии воздействия антибиотика [277</w:t>
      </w:r>
      <w:r w:rsidR="00F50403">
        <w:rPr>
          <w:sz w:val="28"/>
          <w:szCs w:val="28"/>
        </w:rPr>
        <w:t xml:space="preserve">, с. </w:t>
      </w:r>
      <w:r w:rsidR="00F50403" w:rsidRPr="00F50403">
        <w:rPr>
          <w:sz w:val="28"/>
          <w:szCs w:val="28"/>
        </w:rPr>
        <w:t>763</w:t>
      </w:r>
      <w:r w:rsidRPr="00943133">
        <w:rPr>
          <w:sz w:val="28"/>
          <w:szCs w:val="28"/>
        </w:rPr>
        <w:t>].</w:t>
      </w:r>
    </w:p>
    <w:p w:rsidR="00943133" w:rsidRPr="00943133" w:rsidRDefault="00943133" w:rsidP="00AE0408">
      <w:pPr>
        <w:ind w:firstLine="709"/>
        <w:rPr>
          <w:sz w:val="28"/>
          <w:szCs w:val="28"/>
        </w:rPr>
      </w:pPr>
      <w:r w:rsidRPr="00943133">
        <w:rPr>
          <w:sz w:val="28"/>
          <w:szCs w:val="28"/>
        </w:rPr>
        <w:t xml:space="preserve">Устойчивость к макролидам. Генетическая устойчивость к макролидам у </w:t>
      </w:r>
      <w:r w:rsidR="007A7888" w:rsidRPr="007A7888">
        <w:rPr>
          <w:i/>
          <w:sz w:val="28"/>
          <w:szCs w:val="28"/>
        </w:rPr>
        <w:t>S. aureus</w:t>
      </w:r>
      <w:r w:rsidRPr="00943133">
        <w:rPr>
          <w:sz w:val="28"/>
          <w:szCs w:val="28"/>
        </w:rPr>
        <w:t xml:space="preserve"> может обеспечивается несколькими механизмами, включающими в себя активный вывод антибиотика из клетки, модификацию мишени антибиотика и энзиматическую инактивацию антибиотика, а основными генетическими детерминантами устойчивости к макролидам являются гены erm, msr, mef, mph [283]. Макролидные антибиотики, связываясь с рибосомами действуют как антибактериальные агенты, вмешиваясь в трансляцию бактериальных белков, подавляя его синтез [284, 285]. Конкретнее, макролидные антибиотики связываются с 23S рРНК в составе 50S субъединицы рибосом, блокируя выход синтезируемых белков через выходной туннель [286]. Ген erm кодирует метилтрансферазу, которая метилирует рибосомальную РНК (23S рРНК), изменяя её структуру и снижая связывание макролидов с рибосомами, что приводит к устойчивости к этим антибиотикам [287-289]. Гены erm обнаружены как на хромосомах, так и на плазмидах широкого спектра грамположительных и грамотрицательных бактерий и часто ассоциациируются с транспозонами [290, 291]. Так же гены erm могут быть связаны с другими генами устойчивости [287</w:t>
      </w:r>
      <w:r w:rsidR="00F50403">
        <w:rPr>
          <w:sz w:val="28"/>
          <w:szCs w:val="28"/>
        </w:rPr>
        <w:t xml:space="preserve">, с. </w:t>
      </w:r>
      <w:r w:rsidR="00F50403" w:rsidRPr="00F50403">
        <w:rPr>
          <w:sz w:val="28"/>
          <w:szCs w:val="28"/>
        </w:rPr>
        <w:t>2826</w:t>
      </w:r>
      <w:r w:rsidRPr="00943133">
        <w:rPr>
          <w:sz w:val="28"/>
          <w:szCs w:val="28"/>
        </w:rPr>
        <w:t xml:space="preserve">]. Ген msr кодирует активный выделительный насос, эффективно выкачивающий макролиды из клеток бактерий, тем самым играя ключевую роль в устойчивости к макролидным антибиотикам у </w:t>
      </w:r>
      <w:r w:rsidR="007A7888" w:rsidRPr="007A7888">
        <w:rPr>
          <w:i/>
          <w:sz w:val="28"/>
          <w:szCs w:val="28"/>
        </w:rPr>
        <w:t>S. aureus</w:t>
      </w:r>
      <w:r w:rsidRPr="00943133">
        <w:rPr>
          <w:sz w:val="28"/>
          <w:szCs w:val="28"/>
        </w:rPr>
        <w:t xml:space="preserve"> [292-294]. По литературным данным, ген msr не оказывает влияния на линкозамиды и стрептограммины, а бактерии с этим геном остаются чувствительными к вышеперечисленным антибиотикам [295]. Ген msr может располагаться на мобильных генетических элементах (МГЭ), таких как плазмиды, что стимулирует к горизонтальному переносу, то есть устойчивость может легко передаваться между различными штаммами </w:t>
      </w:r>
      <w:r w:rsidR="007A7888" w:rsidRPr="007A7888">
        <w:rPr>
          <w:i/>
          <w:sz w:val="28"/>
          <w:szCs w:val="28"/>
        </w:rPr>
        <w:t>S. aureus</w:t>
      </w:r>
      <w:r w:rsidRPr="00943133">
        <w:rPr>
          <w:sz w:val="28"/>
          <w:szCs w:val="28"/>
        </w:rPr>
        <w:t xml:space="preserve"> и даже между разными видами бактерий, что делает его важным фактором в распространении устойчивости к макролидам и стрептограминам [296, 297]. Среди генов, кодируемых плазмидой, msr кроме кодирования насоса оттока макролидов, также необходим для экспрессии гена mph, кодирующего фосфотрансферазу для инактивации некоторых макролидных антибиотиков [298]. Ген mef, кодирует мембранный транспортер главного суперсемейства фасилитаторов, тем самым участвуя в активном выведении макролидов из клетки [299-301]. Ген mef, так </w:t>
      </w:r>
      <w:r w:rsidR="00961C73" w:rsidRPr="00943133">
        <w:rPr>
          <w:sz w:val="28"/>
          <w:szCs w:val="28"/>
        </w:rPr>
        <w:t>же,</w:t>
      </w:r>
      <w:r w:rsidRPr="00943133">
        <w:rPr>
          <w:sz w:val="28"/>
          <w:szCs w:val="28"/>
        </w:rPr>
        <w:t xml:space="preserve"> как и ген msr может является частью плазмид, транспозонов, геномных островов или профагов и, как таковые, могут легко передаваться путем горизонтального переноса [283</w:t>
      </w:r>
      <w:r w:rsidR="00F50403">
        <w:rPr>
          <w:sz w:val="28"/>
          <w:szCs w:val="28"/>
        </w:rPr>
        <w:t>, с. 4</w:t>
      </w:r>
      <w:r w:rsidRPr="00943133">
        <w:rPr>
          <w:sz w:val="28"/>
          <w:szCs w:val="28"/>
        </w:rPr>
        <w:t>].</w:t>
      </w:r>
    </w:p>
    <w:p w:rsidR="00943133" w:rsidRPr="00943133" w:rsidRDefault="00943133" w:rsidP="00AE0408">
      <w:pPr>
        <w:ind w:firstLine="709"/>
        <w:rPr>
          <w:sz w:val="28"/>
          <w:szCs w:val="28"/>
        </w:rPr>
      </w:pPr>
      <w:r w:rsidRPr="00943133">
        <w:rPr>
          <w:sz w:val="28"/>
          <w:szCs w:val="28"/>
        </w:rPr>
        <w:t xml:space="preserve">Устойчивость к аминогликозидам. Устойчивость к аминогликозидам может возникать посредством приобретения различных внутренних механизмов, а бактериальная клеточная стенка служит естественным барьером для молекул аминогликозидных антибиотиков, и кроме того может быть дополнительно усилена приобретенными мутациями [302]. Основными механизмами устойчивости к аминогликозидам относят аминогликозид-модифицирующие ферменты [303]. Кроме того, существуют бифункциональные аминогликозид-модифицирующие ферменты, обладающие </w:t>
      </w:r>
      <w:r w:rsidRPr="00943133">
        <w:rPr>
          <w:sz w:val="28"/>
          <w:szCs w:val="28"/>
        </w:rPr>
        <w:lastRenderedPageBreak/>
        <w:t xml:space="preserve">аминоацетилтрансферазной и фосфотрансферазной активностью, что делает его способным модифицировать широкий спектр аминогликозидов [304-306]. У </w:t>
      </w:r>
      <w:r w:rsidR="007A7888" w:rsidRPr="007A7888">
        <w:rPr>
          <w:i/>
          <w:sz w:val="28"/>
          <w:szCs w:val="28"/>
        </w:rPr>
        <w:t>S. aureus</w:t>
      </w:r>
      <w:r w:rsidRPr="00943133">
        <w:rPr>
          <w:sz w:val="28"/>
          <w:szCs w:val="28"/>
        </w:rPr>
        <w:t xml:space="preserve"> с множественной лекарственной устойчивостью, данный фактор резистентности может инактивировать почти все известные аминогликозиды путем ацетилирования или фосфорилирования [304</w:t>
      </w:r>
      <w:r w:rsidR="009F2EA5">
        <w:rPr>
          <w:sz w:val="28"/>
          <w:szCs w:val="28"/>
        </w:rPr>
        <w:t>, с. 99</w:t>
      </w:r>
      <w:r w:rsidRPr="00943133">
        <w:rPr>
          <w:sz w:val="28"/>
          <w:szCs w:val="28"/>
        </w:rPr>
        <w:t>]. В исследованиях ученых предполагалось несколько генетических и биохимических гипотез для объяснения появления бифункциональных ферментов, где основные гены, кодирующие аминогликозид-модифицирующие ферменты aac(6')-Ie-aph(2")-Ia, и мутация, затрагивающая их промоторы, приводит к сверхэкспрессии бифункционального фермента и повышению резистентности к аминогликозидам [305,</w:t>
      </w:r>
      <w:r w:rsidR="009F2EA5">
        <w:rPr>
          <w:sz w:val="28"/>
          <w:szCs w:val="28"/>
        </w:rPr>
        <w:t xml:space="preserve"> с. </w:t>
      </w:r>
      <w:r w:rsidR="009F2EA5" w:rsidRPr="009F2EA5">
        <w:rPr>
          <w:sz w:val="28"/>
          <w:szCs w:val="28"/>
        </w:rPr>
        <w:t>1899</w:t>
      </w:r>
      <w:r w:rsidR="009F2EA5">
        <w:rPr>
          <w:sz w:val="28"/>
          <w:szCs w:val="28"/>
        </w:rPr>
        <w:t>;</w:t>
      </w:r>
      <w:r w:rsidRPr="00943133">
        <w:rPr>
          <w:sz w:val="28"/>
          <w:szCs w:val="28"/>
        </w:rPr>
        <w:t xml:space="preserve"> 307-313]. Ген ant(4')-Ia </w:t>
      </w:r>
      <w:r w:rsidR="007A7888" w:rsidRPr="007A7888">
        <w:rPr>
          <w:i/>
          <w:sz w:val="28"/>
          <w:szCs w:val="28"/>
        </w:rPr>
        <w:t>S. aureus</w:t>
      </w:r>
      <w:r w:rsidRPr="00943133">
        <w:rPr>
          <w:sz w:val="28"/>
          <w:szCs w:val="28"/>
        </w:rPr>
        <w:t xml:space="preserve"> кодирует фермент аденилтрансферазу, который может модифицировать антибиотики из группы аминогликозидов, посредством присоединения аденозинмонофосфата (аденилирования) к молекуле антибиотика, в результате чего антибиотик теряет свою способность эффективно связываться с рибосомой и ингибировать синтез белка, в результате чего бактерии становятся устойчивыми к данной группе антибактериальных препаратов [314, 315]. Ген aph(3')-IIIa кодирует фермент аминонуклеотидилтрансферазу, который катализирует перенос фосфатной группы на 3'-гидроксильную группу аминогликозидов, которые теряют способность связываться с 30S субъединицей рибосомы, что блокирует их антибактериальное действие, делая бактерии устойчивыми к их действию [316-319].</w:t>
      </w:r>
    </w:p>
    <w:p w:rsidR="00943133" w:rsidRPr="00943133" w:rsidRDefault="00943133" w:rsidP="00AE0408">
      <w:pPr>
        <w:ind w:firstLine="709"/>
        <w:rPr>
          <w:sz w:val="28"/>
          <w:szCs w:val="28"/>
        </w:rPr>
      </w:pPr>
      <w:r w:rsidRPr="00943133">
        <w:rPr>
          <w:sz w:val="28"/>
          <w:szCs w:val="28"/>
        </w:rPr>
        <w:t xml:space="preserve">Генетическая устойчивость к сульфаниламидам </w:t>
      </w:r>
      <w:r w:rsidR="007A7888" w:rsidRPr="007A7888">
        <w:rPr>
          <w:i/>
          <w:sz w:val="28"/>
          <w:szCs w:val="28"/>
        </w:rPr>
        <w:t>S. aureus</w:t>
      </w:r>
      <w:r w:rsidRPr="00943133">
        <w:rPr>
          <w:sz w:val="28"/>
          <w:szCs w:val="28"/>
        </w:rPr>
        <w:t>, возникает через два основных механизма: мутации в генах, участвующих в синтезе фолиевой кислоты (dhps или dihydropteroate), которые могут изменять целевые ферменты (дигидроптероатсинтаза), снижая связывающую способность сульфаниламидов и, таким образом, снижая их эффективность; приобретение альтернативных генов, не кодирующих ферменты ингибирующих сульфаниламиды (гены sul1, sul2, sul3), что позволяет бактериям продолжать синтезировать фолиевую кислот</w:t>
      </w:r>
      <w:r w:rsidR="009F2EA5">
        <w:rPr>
          <w:sz w:val="28"/>
          <w:szCs w:val="28"/>
        </w:rPr>
        <w:t>у в присутствии антибиотика [</w:t>
      </w:r>
      <w:r w:rsidRPr="00943133">
        <w:rPr>
          <w:sz w:val="28"/>
          <w:szCs w:val="28"/>
        </w:rPr>
        <w:t xml:space="preserve">320]. Сульфонамиды воздействуют на фермент дигидроптероатсинтазу, который катализирует ключевой этап в микробном биосинтезе [321]. Мутации в гене DHPS у </w:t>
      </w:r>
      <w:r w:rsidR="007A7888" w:rsidRPr="007A7888">
        <w:rPr>
          <w:i/>
          <w:sz w:val="28"/>
          <w:szCs w:val="28"/>
        </w:rPr>
        <w:t>S. aureus</w:t>
      </w:r>
      <w:r w:rsidRPr="00943133">
        <w:rPr>
          <w:sz w:val="28"/>
          <w:szCs w:val="28"/>
        </w:rPr>
        <w:t xml:space="preserve"> обычно работают путем стерического препятствия связыванию сульфаниламидов с ферментом DHPS, способствуя выживанию бактерий в присутствии антибиотиков, и в первую очередь связаны со следующими ключевыми моментами: первичные мутации F17L, S18L и T51M изменяющими сайты связывания фермента, снижая эффективность антибактериальных препаратов вызывая устойчивость к антибиотикам группы сульфаниламидов; вторичные мутации E208K и KE257-dup, которые могут дополнительно усиливать устойчивость к сульфаниламидам [321, 322]. </w:t>
      </w:r>
    </w:p>
    <w:p w:rsidR="00943133" w:rsidRPr="00943133" w:rsidRDefault="00943133" w:rsidP="00AE0408">
      <w:pPr>
        <w:ind w:firstLine="709"/>
        <w:rPr>
          <w:sz w:val="28"/>
          <w:szCs w:val="28"/>
        </w:rPr>
      </w:pPr>
      <w:r w:rsidRPr="00943133">
        <w:rPr>
          <w:sz w:val="28"/>
          <w:szCs w:val="28"/>
        </w:rPr>
        <w:t xml:space="preserve">Мутации в генах sul1, sul2 и sul3 </w:t>
      </w:r>
      <w:r w:rsidR="007A7888" w:rsidRPr="007A7888">
        <w:rPr>
          <w:i/>
          <w:sz w:val="28"/>
          <w:szCs w:val="28"/>
        </w:rPr>
        <w:t>S. aureus</w:t>
      </w:r>
      <w:r w:rsidRPr="00943133">
        <w:rPr>
          <w:sz w:val="28"/>
          <w:szCs w:val="28"/>
        </w:rPr>
        <w:t xml:space="preserve">, кодируют альтернативные формы DHPS, связаны с устойчивостью к сульфаниламидам у бактерий которые менее чувствительны к сульфаниламидам, способствуя выживанию бактерий в присутствии антибиотиков [323, 324]. sul1 встречается на интегронах класса 1 (на мобильных генетических элементах), способными </w:t>
      </w:r>
      <w:r w:rsidRPr="00943133">
        <w:rPr>
          <w:sz w:val="28"/>
          <w:szCs w:val="28"/>
        </w:rPr>
        <w:lastRenderedPageBreak/>
        <w:t>захватывать и экспрессировать гены, включая гены устойчивости к антибиотикам [324</w:t>
      </w:r>
      <w:r w:rsidR="009F2EA5">
        <w:rPr>
          <w:sz w:val="28"/>
          <w:szCs w:val="28"/>
        </w:rPr>
        <w:t>, с. 2</w:t>
      </w:r>
      <w:r w:rsidRPr="00943133">
        <w:rPr>
          <w:sz w:val="28"/>
          <w:szCs w:val="28"/>
        </w:rPr>
        <w:t>]. sul2 располагается на плазмидах, что способствует распространению устойчивости к антибактериальным препаратам [</w:t>
      </w:r>
      <w:r w:rsidR="009F2EA5" w:rsidRPr="00943133">
        <w:rPr>
          <w:sz w:val="28"/>
          <w:szCs w:val="28"/>
        </w:rPr>
        <w:t>324</w:t>
      </w:r>
      <w:r w:rsidR="009F2EA5">
        <w:rPr>
          <w:sz w:val="28"/>
          <w:szCs w:val="28"/>
        </w:rPr>
        <w:t>, с. 2</w:t>
      </w:r>
      <w:r w:rsidRPr="00943133">
        <w:rPr>
          <w:sz w:val="28"/>
          <w:szCs w:val="28"/>
        </w:rPr>
        <w:t>]. sul3 наименее распространен по сравнению с sul1 и sul2 и часто встречается в разных генетических элементах, что снижает распространение устойчивости [324</w:t>
      </w:r>
      <w:r w:rsidR="00974168">
        <w:rPr>
          <w:sz w:val="28"/>
          <w:szCs w:val="28"/>
        </w:rPr>
        <w:t>, с. 2</w:t>
      </w:r>
      <w:r w:rsidRPr="00943133">
        <w:rPr>
          <w:sz w:val="28"/>
          <w:szCs w:val="28"/>
        </w:rPr>
        <w:t xml:space="preserve">]. Мутации вышеперечисленных генов sul1, sul2 и sul3 </w:t>
      </w:r>
      <w:r w:rsidR="007A7888" w:rsidRPr="007A7888">
        <w:rPr>
          <w:i/>
          <w:sz w:val="28"/>
          <w:szCs w:val="28"/>
        </w:rPr>
        <w:t>S. aureus</w:t>
      </w:r>
      <w:r w:rsidRPr="00943133">
        <w:rPr>
          <w:sz w:val="28"/>
          <w:szCs w:val="28"/>
        </w:rPr>
        <w:t>, особенности их расположения способствуют сохранению и распространению устойчивости к сульфаниламидам у разных штаммов бактерий [325].</w:t>
      </w:r>
    </w:p>
    <w:p w:rsidR="00943133" w:rsidRPr="00943133" w:rsidRDefault="00943133" w:rsidP="00AE0408">
      <w:pPr>
        <w:ind w:firstLine="709"/>
        <w:rPr>
          <w:sz w:val="28"/>
          <w:szCs w:val="28"/>
        </w:rPr>
      </w:pPr>
      <w:r w:rsidRPr="00943133">
        <w:rPr>
          <w:sz w:val="28"/>
          <w:szCs w:val="28"/>
        </w:rPr>
        <w:t xml:space="preserve">Мобильные генетические элементы (МГЭ) играют основную роль в эволюции и адаптации </w:t>
      </w:r>
      <w:r w:rsidR="007A7888" w:rsidRPr="007A7888">
        <w:rPr>
          <w:i/>
          <w:sz w:val="28"/>
          <w:szCs w:val="28"/>
        </w:rPr>
        <w:t>S. aureus</w:t>
      </w:r>
      <w:r w:rsidRPr="00943133">
        <w:rPr>
          <w:sz w:val="28"/>
          <w:szCs w:val="28"/>
        </w:rPr>
        <w:t xml:space="preserve">, которые составляют около 15-20% генома </w:t>
      </w:r>
      <w:r w:rsidR="007A7888" w:rsidRPr="007A7888">
        <w:rPr>
          <w:i/>
          <w:sz w:val="28"/>
          <w:szCs w:val="28"/>
        </w:rPr>
        <w:t>S. aureus</w:t>
      </w:r>
      <w:r w:rsidRPr="00943133">
        <w:rPr>
          <w:sz w:val="28"/>
          <w:szCs w:val="28"/>
        </w:rPr>
        <w:t xml:space="preserve">, и могут вызывать расхождения между фенотипическими и генотипическими методами идентификации [326]. МГЭ и плазмиды – это основные носители генов резистентности и факторов вирулентности </w:t>
      </w:r>
      <w:r w:rsidR="007A7888" w:rsidRPr="007A7888">
        <w:rPr>
          <w:i/>
          <w:sz w:val="28"/>
          <w:szCs w:val="28"/>
        </w:rPr>
        <w:t>S. aureus</w:t>
      </w:r>
      <w:r w:rsidRPr="00943133">
        <w:rPr>
          <w:sz w:val="28"/>
          <w:szCs w:val="28"/>
        </w:rPr>
        <w:t xml:space="preserve"> [327]. Исследования показывают, что процесс переноса генетического материала между бактериальными клетками через бактериофаги, способен транспортировать большие участки генов более эффективно нежели МГЭ посредством конъюгации или генерализованной трансдукции [328]. Этот факт бросает ставит под сомнение устоявшееся мнение об ограниченном перемещении хромосомных генов. Кроме того, изучение мобиломы </w:t>
      </w:r>
      <w:r w:rsidR="007A7888" w:rsidRPr="007A7888">
        <w:rPr>
          <w:i/>
          <w:sz w:val="28"/>
          <w:szCs w:val="28"/>
        </w:rPr>
        <w:t>S. aureus</w:t>
      </w:r>
      <w:r w:rsidRPr="00943133">
        <w:rPr>
          <w:sz w:val="28"/>
          <w:szCs w:val="28"/>
        </w:rPr>
        <w:t xml:space="preserve"> диких копытных обнаруживает эпидемиологические взаимосвязи животных и человека, фактически подтверждая об обмене МГЭ и детерминант устойчивости к антибиотикам между человеком, дикими и домашними животными [329].</w:t>
      </w:r>
    </w:p>
    <w:p w:rsidR="00943133" w:rsidRDefault="00943133" w:rsidP="00AE0408">
      <w:pPr>
        <w:ind w:firstLine="709"/>
        <w:rPr>
          <w:sz w:val="28"/>
          <w:szCs w:val="28"/>
        </w:rPr>
      </w:pPr>
      <w:r w:rsidRPr="00943133">
        <w:rPr>
          <w:sz w:val="28"/>
          <w:szCs w:val="28"/>
        </w:rPr>
        <w:t xml:space="preserve">Эти данные свидетельствуют о многообразной и сложной динамике МГЭ у </w:t>
      </w:r>
      <w:r w:rsidR="007A7888" w:rsidRPr="007A7888">
        <w:rPr>
          <w:i/>
          <w:sz w:val="28"/>
          <w:szCs w:val="28"/>
        </w:rPr>
        <w:t>S. aureus</w:t>
      </w:r>
      <w:r w:rsidRPr="00943133">
        <w:rPr>
          <w:sz w:val="28"/>
          <w:szCs w:val="28"/>
        </w:rPr>
        <w:t xml:space="preserve"> в совокупности всех биотических и абиотических факторов, влияющих на существование этого организма в экосистеме.</w:t>
      </w:r>
    </w:p>
    <w:p w:rsidR="009F1B2C" w:rsidRDefault="009F1B2C" w:rsidP="00AE0408">
      <w:pPr>
        <w:ind w:firstLine="709"/>
        <w:rPr>
          <w:sz w:val="28"/>
          <w:szCs w:val="28"/>
        </w:rPr>
      </w:pPr>
    </w:p>
    <w:p w:rsidR="00961C73" w:rsidRPr="00961C73" w:rsidRDefault="00961C73" w:rsidP="00AE0408">
      <w:pPr>
        <w:ind w:firstLine="709"/>
        <w:rPr>
          <w:b/>
          <w:sz w:val="28"/>
          <w:szCs w:val="28"/>
        </w:rPr>
      </w:pPr>
      <w:r w:rsidRPr="00961C73">
        <w:rPr>
          <w:b/>
          <w:sz w:val="28"/>
          <w:szCs w:val="28"/>
        </w:rPr>
        <w:t xml:space="preserve">1.5 Методы диагностики </w:t>
      </w:r>
      <w:r w:rsidR="007A7888" w:rsidRPr="007A7888">
        <w:rPr>
          <w:b/>
          <w:i/>
          <w:sz w:val="28"/>
          <w:szCs w:val="28"/>
        </w:rPr>
        <w:t>S. aureus</w:t>
      </w:r>
      <w:r w:rsidRPr="00961C73">
        <w:rPr>
          <w:b/>
          <w:sz w:val="28"/>
          <w:szCs w:val="28"/>
        </w:rPr>
        <w:t xml:space="preserve"> и определения его устойчивости к антибиотикам</w:t>
      </w:r>
    </w:p>
    <w:p w:rsidR="00961C73" w:rsidRPr="00961C73" w:rsidRDefault="00961C73" w:rsidP="00AE0408">
      <w:pPr>
        <w:ind w:firstLine="709"/>
        <w:rPr>
          <w:sz w:val="28"/>
          <w:szCs w:val="28"/>
        </w:rPr>
      </w:pPr>
      <w:r w:rsidRPr="00961C73">
        <w:rPr>
          <w:sz w:val="28"/>
          <w:szCs w:val="28"/>
        </w:rPr>
        <w:t>Традиционные методы. К традиционным способам диагностики относят культуральные методы и биохимические тесты.</w:t>
      </w:r>
    </w:p>
    <w:p w:rsidR="00961C73" w:rsidRPr="00961C73" w:rsidRDefault="00961C73" w:rsidP="00AE0408">
      <w:pPr>
        <w:ind w:firstLine="709"/>
        <w:rPr>
          <w:sz w:val="28"/>
          <w:szCs w:val="28"/>
        </w:rPr>
      </w:pPr>
      <w:r w:rsidRPr="00961C73">
        <w:rPr>
          <w:sz w:val="28"/>
          <w:szCs w:val="28"/>
        </w:rPr>
        <w:t>Культуральные методы включают: посев на селективные среды; анализ морфологии колоний; коагулазный и каталазный тесты.</w:t>
      </w:r>
    </w:p>
    <w:p w:rsidR="00961C73" w:rsidRPr="00961C73" w:rsidRDefault="00961C73" w:rsidP="00AE0408">
      <w:pPr>
        <w:ind w:firstLine="709"/>
        <w:rPr>
          <w:sz w:val="28"/>
          <w:szCs w:val="28"/>
        </w:rPr>
      </w:pPr>
      <w:r w:rsidRPr="00961C73">
        <w:rPr>
          <w:sz w:val="28"/>
          <w:szCs w:val="28"/>
        </w:rPr>
        <w:t xml:space="preserve">Методы первичной изоляции предусматривают культивирование на селективных средах, таких как агар с маннитовой солью [330], так как </w:t>
      </w:r>
      <w:r w:rsidR="007A7888" w:rsidRPr="007A7888">
        <w:rPr>
          <w:i/>
          <w:sz w:val="28"/>
          <w:szCs w:val="28"/>
        </w:rPr>
        <w:t>S. aureus</w:t>
      </w:r>
      <w:r w:rsidRPr="00961C73">
        <w:rPr>
          <w:sz w:val="28"/>
          <w:szCs w:val="28"/>
        </w:rPr>
        <w:t xml:space="preserve"> способен как к аэробному, так и к анаэробному дыханию, причем большинство штаммов способны ферментировать маннит [331]. Для выявления зоны гемолиза, ключевого фактора вирулентности характерного для </w:t>
      </w:r>
      <w:r w:rsidR="007A7888" w:rsidRPr="007A7888">
        <w:rPr>
          <w:i/>
          <w:sz w:val="28"/>
          <w:szCs w:val="28"/>
        </w:rPr>
        <w:t>S. aureus</w:t>
      </w:r>
      <w:r w:rsidRPr="00961C73">
        <w:rPr>
          <w:sz w:val="28"/>
          <w:szCs w:val="28"/>
        </w:rPr>
        <w:t>, используют чашки с кровяным агаром [332].</w:t>
      </w:r>
    </w:p>
    <w:p w:rsidR="00961C73" w:rsidRPr="00961C73" w:rsidRDefault="00961C73" w:rsidP="00AE0408">
      <w:pPr>
        <w:ind w:firstLine="709"/>
        <w:rPr>
          <w:sz w:val="28"/>
          <w:szCs w:val="28"/>
        </w:rPr>
      </w:pPr>
      <w:r w:rsidRPr="00961C73">
        <w:rPr>
          <w:sz w:val="28"/>
          <w:szCs w:val="28"/>
        </w:rPr>
        <w:t xml:space="preserve">Биохимические и серологические методы исследования проводят для подтверждения принадлежности к </w:t>
      </w:r>
      <w:r w:rsidR="007A7888" w:rsidRPr="007A7888">
        <w:rPr>
          <w:i/>
          <w:sz w:val="28"/>
          <w:szCs w:val="28"/>
        </w:rPr>
        <w:t>S. aureus</w:t>
      </w:r>
      <w:r w:rsidRPr="00961C73">
        <w:rPr>
          <w:sz w:val="28"/>
          <w:szCs w:val="28"/>
        </w:rPr>
        <w:t xml:space="preserve">, которые включают тесты на коагулазу и каталазу, позволяющие отличить от других стафилококков и стрептококков [333]. Тест на коагулазу, определяет, как свободную, так и связанную коагулазу, а каталазный тест позволяет дифференцировать </w:t>
      </w:r>
      <w:r w:rsidRPr="00961C73">
        <w:rPr>
          <w:sz w:val="28"/>
          <w:szCs w:val="28"/>
        </w:rPr>
        <w:lastRenderedPageBreak/>
        <w:t xml:space="preserve">стафилококки от стрептококков. Изоляты </w:t>
      </w:r>
      <w:r w:rsidR="007A7888" w:rsidRPr="007A7888">
        <w:rPr>
          <w:i/>
          <w:sz w:val="28"/>
          <w:szCs w:val="28"/>
        </w:rPr>
        <w:t>S. aureus</w:t>
      </w:r>
      <w:r w:rsidRPr="00961C73">
        <w:rPr>
          <w:sz w:val="28"/>
          <w:szCs w:val="28"/>
        </w:rPr>
        <w:t>, вырабатывают эти ферменты, но у некоторых изолятов выделенных из нормальной флоры может отсутствовать выработка коагулазы [334].</w:t>
      </w:r>
    </w:p>
    <w:p w:rsidR="00961C73" w:rsidRPr="00961C73" w:rsidRDefault="00961C73" w:rsidP="00AE0408">
      <w:pPr>
        <w:ind w:firstLine="709"/>
        <w:rPr>
          <w:sz w:val="28"/>
          <w:szCs w:val="28"/>
        </w:rPr>
      </w:pPr>
      <w:r w:rsidRPr="00961C73">
        <w:rPr>
          <w:sz w:val="28"/>
          <w:szCs w:val="28"/>
        </w:rPr>
        <w:t xml:space="preserve">Молекулярная идентификация </w:t>
      </w:r>
      <w:r w:rsidR="007A7888" w:rsidRPr="007A7888">
        <w:rPr>
          <w:i/>
          <w:sz w:val="28"/>
          <w:szCs w:val="28"/>
        </w:rPr>
        <w:t>S. aureus</w:t>
      </w:r>
      <w:r w:rsidRPr="00961C73">
        <w:rPr>
          <w:sz w:val="28"/>
          <w:szCs w:val="28"/>
        </w:rPr>
        <w:t xml:space="preserve"> основана на ПЦР, нацеленной на специфические гены: 16S рРНК, nuc, spa, mecA.</w:t>
      </w:r>
    </w:p>
    <w:p w:rsidR="00961C73" w:rsidRPr="00961C73" w:rsidRDefault="00961C73" w:rsidP="00AE0408">
      <w:pPr>
        <w:ind w:firstLine="709"/>
        <w:rPr>
          <w:sz w:val="28"/>
          <w:szCs w:val="28"/>
        </w:rPr>
      </w:pPr>
      <w:r w:rsidRPr="00961C73">
        <w:rPr>
          <w:sz w:val="28"/>
          <w:szCs w:val="28"/>
        </w:rPr>
        <w:t xml:space="preserve">Ген 16S рРНК широко используется как для диагностики </w:t>
      </w:r>
      <w:r w:rsidR="007A7888" w:rsidRPr="007A7888">
        <w:rPr>
          <w:i/>
          <w:sz w:val="28"/>
          <w:szCs w:val="28"/>
        </w:rPr>
        <w:t>S. aureus</w:t>
      </w:r>
      <w:r w:rsidRPr="00961C73">
        <w:rPr>
          <w:sz w:val="28"/>
          <w:szCs w:val="28"/>
        </w:rPr>
        <w:t xml:space="preserve">, так и для идентификации других видов стафилококков, хотя некоторые близкородственные виды могут быть не дифференцированы [335]. Секвенирование участков генов 16S и 23S рРНК нового поколения показало высокую дифференцирующую способность в сравнении с секвенированием 16S рРНК [336]. Ген 16S рРНК может быть использован для анализа генетической эволюции и распространенности </w:t>
      </w:r>
      <w:r w:rsidR="007A7888" w:rsidRPr="007A7888">
        <w:rPr>
          <w:i/>
          <w:sz w:val="28"/>
          <w:szCs w:val="28"/>
        </w:rPr>
        <w:t>S. aureus</w:t>
      </w:r>
      <w:r w:rsidRPr="00961C73">
        <w:rPr>
          <w:sz w:val="28"/>
          <w:szCs w:val="28"/>
        </w:rPr>
        <w:t xml:space="preserve"> [337]. В настоящее время, ген 16S рРНК по-прежнему высоко оценивается для идентификации стафилококков, но альтернативные генетические маркеры способны обеспечить более детализированное разрешение для близкородственных видов. Хотя ген 16S рРНК остается ценным инструментом для идентификации стафилококков, альтернативные генетические маркеры и подходы к секвенированию могут обеспечить более высокую разрешающую способность для близкородственных видов внутри рода.</w:t>
      </w:r>
    </w:p>
    <w:p w:rsidR="00961C73" w:rsidRPr="00961C73" w:rsidRDefault="00961C73" w:rsidP="00AE0408">
      <w:pPr>
        <w:ind w:firstLine="709"/>
        <w:rPr>
          <w:sz w:val="28"/>
          <w:szCs w:val="28"/>
        </w:rPr>
      </w:pPr>
      <w:r w:rsidRPr="00961C73">
        <w:rPr>
          <w:sz w:val="28"/>
          <w:szCs w:val="28"/>
        </w:rPr>
        <w:t xml:space="preserve">Ген nuc, кодирующий фермент термонуклеазу у </w:t>
      </w:r>
      <w:r w:rsidR="007A7888" w:rsidRPr="007A7888">
        <w:rPr>
          <w:i/>
          <w:sz w:val="28"/>
          <w:szCs w:val="28"/>
        </w:rPr>
        <w:t>S. aureus</w:t>
      </w:r>
      <w:r w:rsidRPr="00961C73">
        <w:rPr>
          <w:sz w:val="28"/>
          <w:szCs w:val="28"/>
        </w:rPr>
        <w:t xml:space="preserve"> и является точным маркером для идентификации, а ПЦР методы на основе ДНК мишени nuc гена высокоэффективны для идентификации </w:t>
      </w:r>
      <w:r w:rsidR="007A7888" w:rsidRPr="007A7888">
        <w:rPr>
          <w:i/>
          <w:sz w:val="28"/>
          <w:szCs w:val="28"/>
        </w:rPr>
        <w:t>S. aureus</w:t>
      </w:r>
      <w:r w:rsidRPr="00961C73">
        <w:rPr>
          <w:sz w:val="28"/>
          <w:szCs w:val="28"/>
        </w:rPr>
        <w:t xml:space="preserve"> в различных средах [338, 339]. ПЦР тест, нацеленный на ген nuc, это надежный метод для выявления </w:t>
      </w:r>
      <w:r w:rsidR="007A7888" w:rsidRPr="007A7888">
        <w:rPr>
          <w:i/>
          <w:sz w:val="28"/>
          <w:szCs w:val="28"/>
        </w:rPr>
        <w:t>S. aureus</w:t>
      </w:r>
      <w:r w:rsidRPr="00961C73">
        <w:rPr>
          <w:sz w:val="28"/>
          <w:szCs w:val="28"/>
        </w:rPr>
        <w:t xml:space="preserve">, который обладает высокой аналитической чувствительностью и специфичностью [340]. Данные литературных источников акцентируют внимание на значимости гена nuc для выявления и мониторинга </w:t>
      </w:r>
      <w:r w:rsidR="007A7888" w:rsidRPr="007A7888">
        <w:rPr>
          <w:i/>
          <w:sz w:val="28"/>
          <w:szCs w:val="28"/>
        </w:rPr>
        <w:t>S. aureus</w:t>
      </w:r>
      <w:r w:rsidRPr="00961C73">
        <w:rPr>
          <w:sz w:val="28"/>
          <w:szCs w:val="28"/>
        </w:rPr>
        <w:t>.</w:t>
      </w:r>
    </w:p>
    <w:p w:rsidR="00961C73" w:rsidRPr="00961C73" w:rsidRDefault="00961C73" w:rsidP="00AE0408">
      <w:pPr>
        <w:ind w:firstLine="709"/>
        <w:rPr>
          <w:sz w:val="28"/>
          <w:szCs w:val="28"/>
        </w:rPr>
      </w:pPr>
      <w:r w:rsidRPr="00961C73">
        <w:rPr>
          <w:sz w:val="28"/>
          <w:szCs w:val="28"/>
        </w:rPr>
        <w:t xml:space="preserve">Ген spa </w:t>
      </w:r>
      <w:r w:rsidR="007A7888" w:rsidRPr="007A7888">
        <w:rPr>
          <w:i/>
          <w:sz w:val="28"/>
          <w:szCs w:val="28"/>
        </w:rPr>
        <w:t>S. aureus</w:t>
      </w:r>
      <w:r w:rsidRPr="00961C73">
        <w:rPr>
          <w:sz w:val="28"/>
          <w:szCs w:val="28"/>
        </w:rPr>
        <w:t xml:space="preserve">, кодирует стафилококковый белок А и является важным фактором вирулентности и помогает избегать иммунной реакции хозяина [341]. Исследования показывают высокую распространенность этого гена среди изолятов </w:t>
      </w:r>
      <w:r w:rsidR="007A7888" w:rsidRPr="007A7888">
        <w:rPr>
          <w:i/>
          <w:sz w:val="28"/>
          <w:szCs w:val="28"/>
        </w:rPr>
        <w:t>S. aureus</w:t>
      </w:r>
      <w:r w:rsidRPr="00961C73">
        <w:rPr>
          <w:sz w:val="28"/>
          <w:szCs w:val="28"/>
        </w:rPr>
        <w:t xml:space="preserve">, а Spa-типирование, основанное на секвенировании этого гена, представляет собой эффективный метод для идентификации и мониторинга штаммов </w:t>
      </w:r>
      <w:r w:rsidR="007A7888" w:rsidRPr="007A7888">
        <w:rPr>
          <w:i/>
          <w:sz w:val="28"/>
          <w:szCs w:val="28"/>
        </w:rPr>
        <w:t>S. aureus</w:t>
      </w:r>
      <w:r w:rsidRPr="00961C73">
        <w:rPr>
          <w:sz w:val="28"/>
          <w:szCs w:val="28"/>
        </w:rPr>
        <w:t xml:space="preserve"> [342, 343]. Для обнаружения гена spa используют высокочувствительные и специфичные методы ПЦР и колориметрический тест с применением наночастиц золота [341, </w:t>
      </w:r>
      <w:r w:rsidR="003E7FDD">
        <w:rPr>
          <w:sz w:val="28"/>
          <w:szCs w:val="28"/>
        </w:rPr>
        <w:t xml:space="preserve">с. 1; </w:t>
      </w:r>
      <w:r w:rsidRPr="00961C73">
        <w:rPr>
          <w:sz w:val="28"/>
          <w:szCs w:val="28"/>
        </w:rPr>
        <w:t xml:space="preserve">344]. Таким образом, исследования гена spa важно для понимания вирулентных свойств </w:t>
      </w:r>
      <w:r w:rsidR="007A7888" w:rsidRPr="007A7888">
        <w:rPr>
          <w:i/>
          <w:sz w:val="28"/>
          <w:szCs w:val="28"/>
        </w:rPr>
        <w:t>S. aureus</w:t>
      </w:r>
      <w:r w:rsidRPr="00961C73">
        <w:rPr>
          <w:sz w:val="28"/>
          <w:szCs w:val="28"/>
        </w:rPr>
        <w:t xml:space="preserve"> и особенностей его эпидемиологии.</w:t>
      </w:r>
    </w:p>
    <w:p w:rsidR="00961C73" w:rsidRPr="00961C73" w:rsidRDefault="00961C73" w:rsidP="00AE0408">
      <w:pPr>
        <w:ind w:firstLine="709"/>
        <w:rPr>
          <w:sz w:val="28"/>
          <w:szCs w:val="28"/>
        </w:rPr>
      </w:pPr>
      <w:r w:rsidRPr="00961C73">
        <w:rPr>
          <w:sz w:val="28"/>
          <w:szCs w:val="28"/>
        </w:rPr>
        <w:t xml:space="preserve">Ген mecA </w:t>
      </w:r>
      <w:r w:rsidR="007A7888" w:rsidRPr="007A7888">
        <w:rPr>
          <w:i/>
          <w:sz w:val="28"/>
          <w:szCs w:val="28"/>
        </w:rPr>
        <w:t>S. aureus</w:t>
      </w:r>
      <w:r w:rsidRPr="00961C73">
        <w:rPr>
          <w:sz w:val="28"/>
          <w:szCs w:val="28"/>
        </w:rPr>
        <w:t xml:space="preserve"> кодирует модифицированный пенициллинсвязывающий белок (PBP2a) у метициллинрезистентных штаммов золотистого стафилококка [345]. Метициллинрезистентный золотистый стафилококк (MRSA), несущий ген mecA является серьезной проблемой в системе здравоохранения из-за его устойчивости к антибиотикам [345, 346]. Штаммы MRSA имеют устойчивость ко многим антибиотикам, а к пенициллину 100%-ю устойчивость [346,</w:t>
      </w:r>
      <w:r w:rsidR="003E7FDD">
        <w:rPr>
          <w:sz w:val="28"/>
          <w:szCs w:val="28"/>
        </w:rPr>
        <w:t xml:space="preserve"> с. 1;</w:t>
      </w:r>
      <w:r w:rsidRPr="00961C73">
        <w:rPr>
          <w:sz w:val="28"/>
          <w:szCs w:val="28"/>
        </w:rPr>
        <w:t xml:space="preserve"> 347]. Кроме того, ген mecA, это </w:t>
      </w:r>
      <w:r w:rsidRPr="00961C73">
        <w:rPr>
          <w:sz w:val="28"/>
          <w:szCs w:val="28"/>
        </w:rPr>
        <w:lastRenderedPageBreak/>
        <w:t xml:space="preserve">ключевой фактор устойчивости к метициллину, который кодирует пенициллинсвязывающий белок, при этом интересным фактом является то, что метициллин чувствительные штаммы </w:t>
      </w:r>
      <w:r w:rsidR="007A7888" w:rsidRPr="007A7888">
        <w:rPr>
          <w:i/>
          <w:sz w:val="28"/>
          <w:szCs w:val="28"/>
        </w:rPr>
        <w:t>S. aureus</w:t>
      </w:r>
      <w:r w:rsidRPr="00961C73">
        <w:rPr>
          <w:sz w:val="28"/>
          <w:szCs w:val="28"/>
        </w:rPr>
        <w:t xml:space="preserve"> могут быть переносчиками гена mecA [348]. В одном из исследований этот ген был обнаружен у 82,79% штаммов MRSA [346</w:t>
      </w:r>
      <w:r w:rsidR="003E7FDD">
        <w:rPr>
          <w:sz w:val="28"/>
          <w:szCs w:val="28"/>
        </w:rPr>
        <w:t>, с. 10</w:t>
      </w:r>
      <w:r w:rsidRPr="00961C73">
        <w:rPr>
          <w:sz w:val="28"/>
          <w:szCs w:val="28"/>
        </w:rPr>
        <w:t>]. В другом исследовании этот ген был обнаружен у 63,8% штаммов MRSA [349]. Ген mecA, являясь основным геном резистентности, имеет гомологичный ген mecC, но при исследованиях, проведенных в Турции данный ген не обнаружен [349</w:t>
      </w:r>
      <w:r w:rsidR="003E7FDD">
        <w:rPr>
          <w:sz w:val="28"/>
          <w:szCs w:val="28"/>
        </w:rPr>
        <w:t>, с. 528</w:t>
      </w:r>
      <w:r w:rsidRPr="00961C73">
        <w:rPr>
          <w:sz w:val="28"/>
          <w:szCs w:val="28"/>
        </w:rPr>
        <w:t>].</w:t>
      </w:r>
    </w:p>
    <w:p w:rsidR="00961C73" w:rsidRPr="00961C73" w:rsidRDefault="00961C73" w:rsidP="00AE0408">
      <w:pPr>
        <w:ind w:firstLine="709"/>
        <w:rPr>
          <w:sz w:val="28"/>
          <w:szCs w:val="28"/>
        </w:rPr>
      </w:pPr>
      <w:r w:rsidRPr="00961C73">
        <w:rPr>
          <w:sz w:val="28"/>
          <w:szCs w:val="28"/>
        </w:rPr>
        <w:t xml:space="preserve">Мультиплексная ПЦР. Подобные системы обычно разрабатывают для быстрого и одновременного определения </w:t>
      </w:r>
      <w:r w:rsidR="007A7888" w:rsidRPr="007A7888">
        <w:rPr>
          <w:i/>
          <w:sz w:val="28"/>
          <w:szCs w:val="28"/>
        </w:rPr>
        <w:t>S. aureus</w:t>
      </w:r>
      <w:r w:rsidRPr="00961C73">
        <w:rPr>
          <w:sz w:val="28"/>
          <w:szCs w:val="28"/>
        </w:rPr>
        <w:t xml:space="preserve"> и его генов вирулентности. Мультиплексная ПЦР обеспечивают обнаружение генов, кодирующих энтеротоксины, гемолизины и детерминанты резистентности к антибиотикам [350, 351]. Мультиплексная ПЦР обладает высокой чувствительностью и колеблется в пределах 1-10 мкг/мл бактериальной ДНК [352].</w:t>
      </w:r>
    </w:p>
    <w:p w:rsidR="00961C73" w:rsidRPr="00961C73" w:rsidRDefault="00961C73" w:rsidP="00AE0408">
      <w:pPr>
        <w:ind w:firstLine="709"/>
        <w:rPr>
          <w:sz w:val="28"/>
          <w:szCs w:val="28"/>
        </w:rPr>
      </w:pPr>
      <w:r w:rsidRPr="00961C73">
        <w:rPr>
          <w:sz w:val="28"/>
          <w:szCs w:val="28"/>
        </w:rPr>
        <w:t xml:space="preserve">Мультилокусное секвенирование (MLST). MLST – это мощный метод генотипирования и дифференциации штаммов </w:t>
      </w:r>
      <w:r w:rsidR="007A7888" w:rsidRPr="007A7888">
        <w:rPr>
          <w:i/>
          <w:sz w:val="28"/>
          <w:szCs w:val="28"/>
        </w:rPr>
        <w:t>S. aureus</w:t>
      </w:r>
      <w:r w:rsidRPr="00961C73">
        <w:rPr>
          <w:sz w:val="28"/>
          <w:szCs w:val="28"/>
        </w:rPr>
        <w:t xml:space="preserve">, использующий последовательности внутренних областей из нескольких генов домашнего хозяйства [353]. Классические модели MLST для </w:t>
      </w:r>
      <w:r w:rsidR="007A7888" w:rsidRPr="007A7888">
        <w:rPr>
          <w:i/>
          <w:sz w:val="28"/>
          <w:szCs w:val="28"/>
        </w:rPr>
        <w:t>S. aureus</w:t>
      </w:r>
      <w:r w:rsidRPr="00961C73">
        <w:rPr>
          <w:sz w:val="28"/>
          <w:szCs w:val="28"/>
        </w:rPr>
        <w:t xml:space="preserve"> обычно используют семь генов, но последние исследования привели к их совершенствованию, где было предложено заменить три гена «yQil, aroE и gmk» новыми апликантами «opuCC, aspS, и rpiB» для повышения разрешающей способности [354]. Ранее в 2019 году была разработана комплексная схема MLST, где используется шесть генов «femA, ftsZ, gap, pyrH, rpoB, и tuf», которые позволили с высокой точностью типизировать и идентифицировать множество видов стафилококков [355]. Для устранения ограничений по времени и затратам основанного на секвенировании по Сэнгеру традиционного MLST, был представлен nanoMLST, где использовалось оборудование Oxford Nanopore Technologies MinION, позволяющее одновременно секвенировать несколько образцов. Этот метод показал 100% совпадение результатов с методом секвенирования по Сэнгеру и потенциально способен обрабатывать до тысячи образцов, в разы ускоряя время анализа и уменьшая его стоимость [356].</w:t>
      </w:r>
    </w:p>
    <w:p w:rsidR="00961C73" w:rsidRPr="00961C73" w:rsidRDefault="00961C73" w:rsidP="00AE0408">
      <w:pPr>
        <w:ind w:firstLine="709"/>
        <w:rPr>
          <w:sz w:val="28"/>
          <w:szCs w:val="28"/>
        </w:rPr>
      </w:pPr>
      <w:r w:rsidRPr="00961C73">
        <w:rPr>
          <w:sz w:val="28"/>
          <w:szCs w:val="28"/>
        </w:rPr>
        <w:t xml:space="preserve">Масс-спектрометрия MALDI-TOF </w:t>
      </w:r>
      <w:r w:rsidR="007A7888" w:rsidRPr="007A7888">
        <w:rPr>
          <w:i/>
          <w:sz w:val="28"/>
          <w:szCs w:val="28"/>
        </w:rPr>
        <w:t>S. aureus</w:t>
      </w:r>
      <w:r w:rsidRPr="00961C73">
        <w:rPr>
          <w:sz w:val="28"/>
          <w:szCs w:val="28"/>
        </w:rPr>
        <w:t xml:space="preserve">. MALDI-TOF с матричной лазерной десорбцией/ионизацией (MS) – это мощный инструмент для быстрой идентификации и определения характеристик штаммов </w:t>
      </w:r>
      <w:r w:rsidR="007A7888" w:rsidRPr="007A7888">
        <w:rPr>
          <w:i/>
          <w:sz w:val="28"/>
          <w:szCs w:val="28"/>
        </w:rPr>
        <w:t>S. aureus</w:t>
      </w:r>
      <w:r w:rsidRPr="00961C73">
        <w:rPr>
          <w:sz w:val="28"/>
          <w:szCs w:val="28"/>
        </w:rPr>
        <w:t xml:space="preserve">. Исследования показывают его возможности как высокоточного метода для идентификации как метициллин резистентного, та к и чувствительного к метициллину </w:t>
      </w:r>
      <w:r w:rsidR="007A7888" w:rsidRPr="007A7888">
        <w:rPr>
          <w:i/>
          <w:sz w:val="28"/>
          <w:szCs w:val="28"/>
        </w:rPr>
        <w:t>S. aureus</w:t>
      </w:r>
      <w:r w:rsidRPr="00961C73">
        <w:rPr>
          <w:sz w:val="28"/>
          <w:szCs w:val="28"/>
        </w:rPr>
        <w:t xml:space="preserve"> [357, 358]. Выявлены специфические масс-спектральные пики, позволяющие различать MRSA от MSSA с чувствительностью более 90% [357, 358]. MALDI-TOF MS может отличать пики специфичные для определенных штаммов </w:t>
      </w:r>
      <w:r w:rsidR="007A7888" w:rsidRPr="007A7888">
        <w:rPr>
          <w:i/>
          <w:sz w:val="28"/>
          <w:szCs w:val="28"/>
        </w:rPr>
        <w:t>S. aureus</w:t>
      </w:r>
      <w:r w:rsidRPr="00961C73">
        <w:rPr>
          <w:sz w:val="28"/>
          <w:szCs w:val="28"/>
        </w:rPr>
        <w:t xml:space="preserve"> [359]. Кроме того, MALDI-TOF MS эффективен для обнаружения неразрушенных стафилококковых энтеротоксинов в супернатанте культуры даже после нагревания и пастеризации [360]. Таким образом MALDI-TOF MS является полезным инструментом для быстрой идентификации </w:t>
      </w:r>
      <w:r w:rsidR="007A7888" w:rsidRPr="007A7888">
        <w:rPr>
          <w:i/>
          <w:sz w:val="28"/>
          <w:szCs w:val="28"/>
        </w:rPr>
        <w:t>S. aureus</w:t>
      </w:r>
      <w:r w:rsidRPr="00961C73">
        <w:rPr>
          <w:sz w:val="28"/>
          <w:szCs w:val="28"/>
        </w:rPr>
        <w:t>.</w:t>
      </w:r>
    </w:p>
    <w:p w:rsidR="00961C73" w:rsidRPr="00961C73" w:rsidRDefault="00961C73" w:rsidP="00AE0408">
      <w:pPr>
        <w:ind w:firstLine="709"/>
        <w:rPr>
          <w:sz w:val="28"/>
          <w:szCs w:val="28"/>
        </w:rPr>
      </w:pPr>
      <w:r w:rsidRPr="00961C73">
        <w:rPr>
          <w:sz w:val="28"/>
          <w:szCs w:val="28"/>
        </w:rPr>
        <w:lastRenderedPageBreak/>
        <w:t xml:space="preserve">Методы определения устойчивости к антибиотикам. Известны несколько способов определения антибиотикорезистентности </w:t>
      </w:r>
      <w:r w:rsidR="007A7888" w:rsidRPr="007A7888">
        <w:rPr>
          <w:i/>
          <w:sz w:val="28"/>
          <w:szCs w:val="28"/>
        </w:rPr>
        <w:t>S. aureus</w:t>
      </w:r>
      <w:r w:rsidRPr="00961C73">
        <w:rPr>
          <w:sz w:val="28"/>
          <w:szCs w:val="28"/>
        </w:rPr>
        <w:t xml:space="preserve">: </w:t>
      </w:r>
    </w:p>
    <w:p w:rsidR="00961C73" w:rsidRPr="00961C73" w:rsidRDefault="00961C73" w:rsidP="00AE0408">
      <w:pPr>
        <w:ind w:firstLine="709"/>
        <w:rPr>
          <w:sz w:val="28"/>
          <w:szCs w:val="28"/>
        </w:rPr>
      </w:pPr>
      <w:r w:rsidRPr="00961C73">
        <w:rPr>
          <w:sz w:val="28"/>
          <w:szCs w:val="28"/>
        </w:rPr>
        <w:t>Фенотипические методы, где оценивается способность бактерии расти в присутствии антибиотика: метод дисковой диффузии Кирби-Бауэра, метод микродилюция бульона, тест с градиентом антибиотика или E-тест.</w:t>
      </w:r>
    </w:p>
    <w:p w:rsidR="00961C73" w:rsidRPr="00961C73" w:rsidRDefault="00961C73" w:rsidP="00AE0408">
      <w:pPr>
        <w:ind w:firstLine="709"/>
        <w:rPr>
          <w:sz w:val="28"/>
          <w:szCs w:val="28"/>
        </w:rPr>
      </w:pPr>
      <w:r w:rsidRPr="00961C73">
        <w:rPr>
          <w:sz w:val="28"/>
          <w:szCs w:val="28"/>
        </w:rPr>
        <w:t xml:space="preserve">Метод дисковой диффузии Кирби-Бауэра. Этот метод активно применяется для выявления резистентности к антибиотикам у штаммов </w:t>
      </w:r>
      <w:r w:rsidR="007A7888" w:rsidRPr="007A7888">
        <w:rPr>
          <w:i/>
          <w:sz w:val="28"/>
          <w:szCs w:val="28"/>
        </w:rPr>
        <w:t>S. aureus</w:t>
      </w:r>
      <w:r w:rsidRPr="00961C73">
        <w:rPr>
          <w:sz w:val="28"/>
          <w:szCs w:val="28"/>
        </w:rPr>
        <w:t xml:space="preserve"> из разных источников, таких как молоко, мазки из слизистых, клинические пробы [361-364]. Метод включает культивирование бактерий на агаровых чашках с антибиотическими дисками и измерение зон ингибирования, при этом </w:t>
      </w:r>
      <w:r w:rsidR="007A7888" w:rsidRPr="007A7888">
        <w:rPr>
          <w:i/>
          <w:sz w:val="28"/>
          <w:szCs w:val="28"/>
        </w:rPr>
        <w:t>S. aureus</w:t>
      </w:r>
      <w:r w:rsidRPr="00961C73">
        <w:rPr>
          <w:sz w:val="28"/>
          <w:szCs w:val="28"/>
        </w:rPr>
        <w:t xml:space="preserve"> обладает резистентностью к множеству антибиотиков [361, </w:t>
      </w:r>
      <w:r w:rsidR="009923D0">
        <w:rPr>
          <w:sz w:val="28"/>
          <w:szCs w:val="28"/>
          <w:lang w:val="en-US"/>
        </w:rPr>
        <w:t>c</w:t>
      </w:r>
      <w:r w:rsidR="009923D0">
        <w:rPr>
          <w:sz w:val="28"/>
          <w:szCs w:val="28"/>
        </w:rPr>
        <w:t xml:space="preserve">. 31; </w:t>
      </w:r>
      <w:r w:rsidRPr="00961C73">
        <w:rPr>
          <w:sz w:val="28"/>
          <w:szCs w:val="28"/>
        </w:rPr>
        <w:t>365].</w:t>
      </w:r>
    </w:p>
    <w:p w:rsidR="00961C73" w:rsidRPr="00961C73" w:rsidRDefault="00961C73" w:rsidP="00AE0408">
      <w:pPr>
        <w:ind w:firstLine="709"/>
        <w:rPr>
          <w:sz w:val="28"/>
          <w:szCs w:val="28"/>
        </w:rPr>
      </w:pPr>
      <w:r w:rsidRPr="00961C73">
        <w:rPr>
          <w:sz w:val="28"/>
          <w:szCs w:val="28"/>
        </w:rPr>
        <w:t xml:space="preserve">Микродилюция бульона (МДБ). Метод разведения в жидкой среде широко используется для определения устойчивости к антибактериальным препаратам патогенных микроорганизмов. Согласно исследованиям, при сравнении МДБ с диффузией на агаровых дисках, были получены разные уровни соответствия между методами в зависимости от патогенного микроорганизма [366]. МДБ, как метод был адаптирован для более новых антимикробных препаратов (например - exebacase), где для получения точных результатов необходима адаптация добавлением сыворотки [367]. МДБ тестирование крупного рогатого скота по всем странам Европы выявило многообразные формы устойчивости </w:t>
      </w:r>
      <w:r w:rsidR="007A7888" w:rsidRPr="007A7888">
        <w:rPr>
          <w:i/>
          <w:sz w:val="28"/>
          <w:szCs w:val="28"/>
        </w:rPr>
        <w:t>S. aureus</w:t>
      </w:r>
      <w:r w:rsidRPr="00961C73">
        <w:rPr>
          <w:sz w:val="28"/>
          <w:szCs w:val="28"/>
        </w:rPr>
        <w:t>, которые были связанны с различными клональными комплексами [368].</w:t>
      </w:r>
    </w:p>
    <w:p w:rsidR="00961C73" w:rsidRPr="00961C73" w:rsidRDefault="00961C73" w:rsidP="00AE0408">
      <w:pPr>
        <w:ind w:firstLine="709"/>
        <w:rPr>
          <w:sz w:val="28"/>
          <w:szCs w:val="28"/>
        </w:rPr>
      </w:pPr>
      <w:r w:rsidRPr="00961C73">
        <w:rPr>
          <w:sz w:val="28"/>
          <w:szCs w:val="28"/>
        </w:rPr>
        <w:t xml:space="preserve">Тест с градиентом антибиотика или E-тест, для определения чувствительности </w:t>
      </w:r>
      <w:r w:rsidR="007A7888" w:rsidRPr="007A7888">
        <w:rPr>
          <w:i/>
          <w:sz w:val="28"/>
          <w:szCs w:val="28"/>
        </w:rPr>
        <w:t>S. aureus</w:t>
      </w:r>
      <w:r w:rsidRPr="00961C73">
        <w:rPr>
          <w:sz w:val="28"/>
          <w:szCs w:val="28"/>
        </w:rPr>
        <w:t xml:space="preserve"> к противомикробным препаратам в разной степени согласуется с методами микродилюции бульона, где к примеру, для воздействия цефтаролина на </w:t>
      </w:r>
      <w:r w:rsidR="007A7888" w:rsidRPr="007A7888">
        <w:rPr>
          <w:i/>
          <w:sz w:val="28"/>
          <w:szCs w:val="28"/>
        </w:rPr>
        <w:t>S. aureus</w:t>
      </w:r>
      <w:r w:rsidRPr="00961C73">
        <w:rPr>
          <w:sz w:val="28"/>
          <w:szCs w:val="28"/>
        </w:rPr>
        <w:t xml:space="preserve"> соответствие между E-тестом и МДБ составило &lt;90%. [369]. А касательно ванкомицина, E-тест показал 86,7% соответствия [370]. Кроме того, E-тест был предложен как альтернативный метод ПЦР для выявления MRSA [371]. При сравнении изолятов </w:t>
      </w:r>
      <w:r w:rsidR="007A7888" w:rsidRPr="007A7888">
        <w:rPr>
          <w:i/>
          <w:sz w:val="28"/>
          <w:szCs w:val="28"/>
        </w:rPr>
        <w:t>S. aureus</w:t>
      </w:r>
      <w:r w:rsidRPr="00961C73">
        <w:rPr>
          <w:sz w:val="28"/>
          <w:szCs w:val="28"/>
        </w:rPr>
        <w:t xml:space="preserve">, результаты E-теста были сравнимы с методами МДБ, где чувствительность E-теста составляла 38% в сравнении результатами МДБ 50-54% [372]. E-тест полезен в применении для определения антибиотикорезистентности </w:t>
      </w:r>
      <w:r w:rsidR="007A7888" w:rsidRPr="007A7888">
        <w:rPr>
          <w:i/>
          <w:sz w:val="28"/>
          <w:szCs w:val="28"/>
        </w:rPr>
        <w:t>S. aureus</w:t>
      </w:r>
      <w:r w:rsidRPr="00961C73">
        <w:rPr>
          <w:sz w:val="28"/>
          <w:szCs w:val="28"/>
        </w:rPr>
        <w:t>, но результаты необходимо интерпретировать с большой осторожностью, а в некоторых случаях необходимо применять дополнительные методы исследования для установления минимальных концентраций препаратов [369,</w:t>
      </w:r>
      <w:r w:rsidR="009923D0">
        <w:rPr>
          <w:sz w:val="28"/>
          <w:szCs w:val="28"/>
        </w:rPr>
        <w:t xml:space="preserve"> с. 301;</w:t>
      </w:r>
      <w:r w:rsidRPr="00961C73">
        <w:rPr>
          <w:sz w:val="28"/>
          <w:szCs w:val="28"/>
        </w:rPr>
        <w:t xml:space="preserve"> 370</w:t>
      </w:r>
      <w:r w:rsidR="009923D0">
        <w:rPr>
          <w:sz w:val="28"/>
          <w:szCs w:val="28"/>
        </w:rPr>
        <w:t>, с. 1</w:t>
      </w:r>
      <w:r w:rsidRPr="00961C73">
        <w:rPr>
          <w:sz w:val="28"/>
          <w:szCs w:val="28"/>
        </w:rPr>
        <w:t>].</w:t>
      </w:r>
    </w:p>
    <w:p w:rsidR="00961C73" w:rsidRDefault="00961C73" w:rsidP="00AE0408">
      <w:pPr>
        <w:ind w:firstLine="709"/>
        <w:rPr>
          <w:sz w:val="28"/>
          <w:szCs w:val="28"/>
        </w:rPr>
      </w:pPr>
      <w:r w:rsidRPr="00961C73">
        <w:rPr>
          <w:sz w:val="28"/>
          <w:szCs w:val="28"/>
        </w:rPr>
        <w:t xml:space="preserve">Генетические методы определения устойчивости к антибиотикам. Классические методы ПЦР по-прежнему остаются актуальными для определения генетических детерминант устойчивости </w:t>
      </w:r>
      <w:r w:rsidR="007A7888" w:rsidRPr="007A7888">
        <w:rPr>
          <w:i/>
          <w:sz w:val="28"/>
          <w:szCs w:val="28"/>
        </w:rPr>
        <w:t>S. aureus</w:t>
      </w:r>
      <w:r w:rsidRPr="00961C73">
        <w:rPr>
          <w:sz w:val="28"/>
          <w:szCs w:val="28"/>
        </w:rPr>
        <w:t xml:space="preserve">. К примеру, ПЦР в режиме реального времени с высокой чувствительностью и специфичностью позволяет обнаруживать множество генов в клиническом материале [373]. Из последних достижений имеется дуплексная рекомбиназная ПЦР в режиме реального времени, позволяющая одновременно обнаруживать </w:t>
      </w:r>
      <w:r w:rsidRPr="00961C73">
        <w:rPr>
          <w:sz w:val="28"/>
          <w:szCs w:val="28"/>
        </w:rPr>
        <w:lastRenderedPageBreak/>
        <w:t>множественные гены устойчивости к антибиотикам, предлагая более быструю альтернативу традиционной ПЦР [374]. Исследования новых методов ПЦР по выявлению генов устойчивости к антибиотикам непрерывно продолжаются, к примеру, разработаны мультиплексные ПЦР для выявления генов, имеющих значение для клинической практики (mecA, blaZ, vanB, aaca-aphd и tetK) [362,</w:t>
      </w:r>
      <w:r w:rsidR="009923D0">
        <w:rPr>
          <w:sz w:val="28"/>
          <w:szCs w:val="28"/>
        </w:rPr>
        <w:t xml:space="preserve"> с. 419;</w:t>
      </w:r>
      <w:r w:rsidRPr="00961C73">
        <w:rPr>
          <w:sz w:val="28"/>
          <w:szCs w:val="28"/>
        </w:rPr>
        <w:t xml:space="preserve"> 363</w:t>
      </w:r>
      <w:r w:rsidR="002F108C">
        <w:rPr>
          <w:sz w:val="28"/>
          <w:szCs w:val="28"/>
        </w:rPr>
        <w:t>, с. 1</w:t>
      </w:r>
      <w:r w:rsidRPr="00961C73">
        <w:rPr>
          <w:sz w:val="28"/>
          <w:szCs w:val="28"/>
        </w:rPr>
        <w:t xml:space="preserve">]. Разработан ПЦР-РВ направленный на ген nucA, для обнаружения </w:t>
      </w:r>
      <w:r w:rsidR="007A7888" w:rsidRPr="007A7888">
        <w:rPr>
          <w:i/>
          <w:sz w:val="28"/>
          <w:szCs w:val="28"/>
        </w:rPr>
        <w:t>S. aureus</w:t>
      </w:r>
      <w:r w:rsidRPr="00961C73">
        <w:rPr>
          <w:sz w:val="28"/>
          <w:szCs w:val="28"/>
        </w:rPr>
        <w:t xml:space="preserve">, а также мультиплексная ПЦР нацеленная на ген mecA, которая показала высокую чувствительность и специфичность в педиатрии [375]. Другие исследователи использовали мультиплексную ПЦР для идентификации генов устойчивости к антибиотикам ermA, ermB, ermC и mecA у </w:t>
      </w:r>
      <w:r w:rsidR="007A7888" w:rsidRPr="007A7888">
        <w:rPr>
          <w:i/>
          <w:sz w:val="28"/>
          <w:szCs w:val="28"/>
        </w:rPr>
        <w:t>S. aureus</w:t>
      </w:r>
      <w:r w:rsidRPr="00961C73">
        <w:rPr>
          <w:sz w:val="28"/>
          <w:szCs w:val="28"/>
        </w:rPr>
        <w:t xml:space="preserve"> [376]. Таким образом, исследования демонстрируют действенность ПЦР методов, однако в одной из научных работ были обнаружены расхождения в сравнении с фенотипическими методами, где указывается, что наличие или отсутствие отдельных генов не является окончательным показателем устойчивости [363</w:t>
      </w:r>
      <w:r w:rsidR="002F108C">
        <w:rPr>
          <w:sz w:val="28"/>
          <w:szCs w:val="28"/>
        </w:rPr>
        <w:t>, с. 1</w:t>
      </w:r>
      <w:r w:rsidRPr="00961C73">
        <w:rPr>
          <w:sz w:val="28"/>
          <w:szCs w:val="28"/>
        </w:rPr>
        <w:t>]. В исследовании, между геномными и фенотипическими методами оценки, наблюдались расхождения, причем соотношение расхождений в одном из исследований колебалось от 3,09 до 1,67 для различных генов устойчивости [363</w:t>
      </w:r>
      <w:r w:rsidR="002F108C">
        <w:rPr>
          <w:sz w:val="28"/>
          <w:szCs w:val="28"/>
        </w:rPr>
        <w:t>, с. 1</w:t>
      </w:r>
      <w:r w:rsidRPr="00961C73">
        <w:rPr>
          <w:sz w:val="28"/>
          <w:szCs w:val="28"/>
        </w:rPr>
        <w:t xml:space="preserve">]. Так же проведенные сравнительные исследования ПЦР с методом дисковой диффузии при выявлении устойчивости к цефокситину, показали высокую специфичность и чувствительность метода дисковой диффузии по сравнению с ПЦР 97,2% и 100% [377]. Данные факты подчеркивают сложность генетических механизмов устойчивости </w:t>
      </w:r>
      <w:r w:rsidR="007A7888" w:rsidRPr="007A7888">
        <w:rPr>
          <w:i/>
          <w:sz w:val="28"/>
          <w:szCs w:val="28"/>
        </w:rPr>
        <w:t>S. aureus</w:t>
      </w:r>
      <w:r w:rsidRPr="00961C73">
        <w:rPr>
          <w:sz w:val="28"/>
          <w:szCs w:val="28"/>
        </w:rPr>
        <w:t xml:space="preserve"> к антибактериальным препаратам.</w:t>
      </w: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F1B2C" w:rsidRDefault="009F1B2C" w:rsidP="00AE0408">
      <w:pPr>
        <w:ind w:firstLine="709"/>
        <w:rPr>
          <w:b/>
          <w:sz w:val="28"/>
          <w:szCs w:val="28"/>
        </w:rPr>
      </w:pPr>
    </w:p>
    <w:p w:rsidR="00961C73" w:rsidRPr="00961C73" w:rsidRDefault="00961C73" w:rsidP="00AE0408">
      <w:pPr>
        <w:ind w:firstLine="709"/>
        <w:rPr>
          <w:b/>
          <w:sz w:val="28"/>
          <w:szCs w:val="28"/>
        </w:rPr>
      </w:pPr>
      <w:r w:rsidRPr="00961C73">
        <w:rPr>
          <w:b/>
          <w:sz w:val="28"/>
          <w:szCs w:val="28"/>
        </w:rPr>
        <w:t>2 СОБСТВЕННЫЕ ИССЛЕДОВАНИЯ</w:t>
      </w:r>
    </w:p>
    <w:p w:rsidR="00405C81" w:rsidRDefault="00405C81" w:rsidP="00AE0408">
      <w:pPr>
        <w:ind w:firstLine="709"/>
        <w:rPr>
          <w:sz w:val="28"/>
          <w:szCs w:val="28"/>
        </w:rPr>
      </w:pPr>
    </w:p>
    <w:p w:rsidR="001C14C2" w:rsidRDefault="00961C73" w:rsidP="00AE0408">
      <w:pPr>
        <w:ind w:firstLine="709"/>
        <w:rPr>
          <w:sz w:val="28"/>
          <w:szCs w:val="28"/>
        </w:rPr>
      </w:pPr>
      <w:r w:rsidRPr="00961C73">
        <w:rPr>
          <w:sz w:val="28"/>
          <w:szCs w:val="28"/>
        </w:rPr>
        <w:t>Исследовательская работа проводилась на базе Научно-исследовательского института прикладной биотехнологии Костанайского государственного университета имени Ахмет Байтұрсынұлы в рамках научно-техническ</w:t>
      </w:r>
      <w:r w:rsidR="001C14C2">
        <w:rPr>
          <w:sz w:val="28"/>
          <w:szCs w:val="28"/>
        </w:rPr>
        <w:t>их программ:</w:t>
      </w:r>
    </w:p>
    <w:p w:rsidR="001C14C2" w:rsidRDefault="001C14C2" w:rsidP="00AE0408">
      <w:pPr>
        <w:ind w:firstLine="709"/>
        <w:rPr>
          <w:sz w:val="28"/>
          <w:szCs w:val="28"/>
        </w:rPr>
      </w:pPr>
      <w:r w:rsidRPr="001C14C2">
        <w:rPr>
          <w:sz w:val="28"/>
          <w:szCs w:val="28"/>
        </w:rPr>
        <w:t>- BR24992785-OT-24 «Организация и проведение комплексных исследований по обеспечению устойчивого развития агропромышленного комплекса Костанайской области с созданием научно-исследовательского технологического центра». По бюджетной программе 217 «Развитие науки», подпрограмма 101 «Программно-целевое финансирование субъектов научной и/или научно-технической деятельности», приоритет «Устойчивое развитие агропромышленного комплекса»</w:t>
      </w:r>
      <w:r>
        <w:rPr>
          <w:sz w:val="28"/>
          <w:szCs w:val="28"/>
        </w:rPr>
        <w:t>;</w:t>
      </w:r>
    </w:p>
    <w:p w:rsidR="00961C73" w:rsidRPr="00961C73" w:rsidRDefault="001C14C2" w:rsidP="00AE0408">
      <w:pPr>
        <w:ind w:firstLine="709"/>
        <w:rPr>
          <w:sz w:val="28"/>
          <w:szCs w:val="28"/>
        </w:rPr>
      </w:pPr>
      <w:r w:rsidRPr="001C14C2">
        <w:rPr>
          <w:sz w:val="28"/>
          <w:szCs w:val="28"/>
        </w:rPr>
        <w:t xml:space="preserve">- </w:t>
      </w:r>
      <w:r w:rsidR="00961C73" w:rsidRPr="00961C73">
        <w:rPr>
          <w:sz w:val="28"/>
          <w:szCs w:val="28"/>
        </w:rPr>
        <w:t xml:space="preserve">МСХ РК BR10764944 «Разработка методов аналитического контроля и проведения мониторинга безопасности пищевой продукции» по теме «Разработка мультиплексной ПЦР в реальном времени для выявления </w:t>
      </w:r>
      <w:r w:rsidR="00AE0408" w:rsidRPr="00AE0408">
        <w:rPr>
          <w:i/>
          <w:sz w:val="28"/>
          <w:szCs w:val="28"/>
        </w:rPr>
        <w:t>Staphylococcus</w:t>
      </w:r>
      <w:r w:rsidR="00961C73" w:rsidRPr="00961C73">
        <w:rPr>
          <w:sz w:val="28"/>
          <w:szCs w:val="28"/>
        </w:rPr>
        <w:t xml:space="preserve"> </w:t>
      </w:r>
      <w:r w:rsidR="00AE0408" w:rsidRPr="00AE0408">
        <w:rPr>
          <w:i/>
          <w:sz w:val="28"/>
          <w:szCs w:val="28"/>
        </w:rPr>
        <w:t>aureus</w:t>
      </w:r>
      <w:r w:rsidR="00961C73" w:rsidRPr="00961C73">
        <w:rPr>
          <w:sz w:val="28"/>
          <w:szCs w:val="28"/>
        </w:rPr>
        <w:t xml:space="preserve"> и </w:t>
      </w:r>
      <w:r w:rsidR="00AE0408" w:rsidRPr="00AE0408">
        <w:rPr>
          <w:i/>
          <w:sz w:val="28"/>
          <w:szCs w:val="28"/>
        </w:rPr>
        <w:t>Streptococcus agalactiae</w:t>
      </w:r>
      <w:r w:rsidR="00961C73" w:rsidRPr="00961C73">
        <w:rPr>
          <w:sz w:val="28"/>
          <w:szCs w:val="28"/>
        </w:rPr>
        <w:t xml:space="preserve"> в молочной продукции и определение локусов антибиотикорезистентности».</w:t>
      </w:r>
    </w:p>
    <w:p w:rsidR="00961C73" w:rsidRPr="00961C73" w:rsidRDefault="00961C73" w:rsidP="00AE0408">
      <w:pPr>
        <w:ind w:firstLine="709"/>
        <w:rPr>
          <w:sz w:val="28"/>
          <w:szCs w:val="28"/>
        </w:rPr>
      </w:pPr>
      <w:r w:rsidRPr="00961C73">
        <w:rPr>
          <w:sz w:val="28"/>
          <w:szCs w:val="28"/>
        </w:rPr>
        <w:t xml:space="preserve">Идентификация </w:t>
      </w:r>
      <w:r w:rsidR="007A7888" w:rsidRPr="007A7888">
        <w:rPr>
          <w:i/>
          <w:sz w:val="28"/>
          <w:szCs w:val="28"/>
        </w:rPr>
        <w:t>S. aureus</w:t>
      </w:r>
      <w:r w:rsidRPr="00961C73">
        <w:rPr>
          <w:sz w:val="28"/>
          <w:szCs w:val="28"/>
        </w:rPr>
        <w:t xml:space="preserve"> методом «MALDI-TOF MS», разработка рекомбинантных положительных контролей, содержащих все необходимые ДНК мишени, а также химический синтез олигонуклеотидов с заданной последовательностью (праймеры и зонды) для идентификации </w:t>
      </w:r>
      <w:r w:rsidR="007A7888" w:rsidRPr="007A7888">
        <w:rPr>
          <w:i/>
          <w:sz w:val="28"/>
          <w:szCs w:val="28"/>
        </w:rPr>
        <w:t>S. aureus</w:t>
      </w:r>
      <w:r w:rsidRPr="00961C73">
        <w:rPr>
          <w:sz w:val="28"/>
          <w:szCs w:val="28"/>
        </w:rPr>
        <w:t>, а также локусов, связанных с их антибиотикорезистентностью произведен в ТОО «Национальный центр биотехнологии» (НЦБ).</w:t>
      </w:r>
    </w:p>
    <w:p w:rsidR="009F1B2C" w:rsidRDefault="009F1B2C" w:rsidP="00AE0408">
      <w:pPr>
        <w:ind w:firstLine="709"/>
        <w:rPr>
          <w:b/>
          <w:sz w:val="28"/>
          <w:szCs w:val="28"/>
        </w:rPr>
      </w:pPr>
    </w:p>
    <w:p w:rsidR="00961C73" w:rsidRPr="00961C73" w:rsidRDefault="00961C73" w:rsidP="00AE0408">
      <w:pPr>
        <w:ind w:firstLine="709"/>
        <w:rPr>
          <w:b/>
          <w:sz w:val="28"/>
          <w:szCs w:val="28"/>
        </w:rPr>
      </w:pPr>
      <w:r w:rsidRPr="00961C73">
        <w:rPr>
          <w:b/>
          <w:sz w:val="28"/>
          <w:szCs w:val="28"/>
        </w:rPr>
        <w:t>2.1 Материалы и методы исследований</w:t>
      </w:r>
    </w:p>
    <w:p w:rsidR="00961C73" w:rsidRPr="00961C73" w:rsidRDefault="00961C73" w:rsidP="00AE0408">
      <w:pPr>
        <w:ind w:firstLine="709"/>
        <w:rPr>
          <w:sz w:val="28"/>
          <w:szCs w:val="28"/>
        </w:rPr>
      </w:pPr>
      <w:r w:rsidRPr="00961C73">
        <w:rPr>
          <w:sz w:val="28"/>
          <w:szCs w:val="28"/>
        </w:rPr>
        <w:lastRenderedPageBreak/>
        <w:t xml:space="preserve">Питательные среды. Для выделения стафилококков в образцах продукции использовали </w:t>
      </w:r>
      <w:r w:rsidR="00193E25">
        <w:rPr>
          <w:sz w:val="28"/>
          <w:szCs w:val="28"/>
        </w:rPr>
        <w:t>МПБ</w:t>
      </w:r>
      <w:r w:rsidRPr="00961C73">
        <w:rPr>
          <w:sz w:val="28"/>
          <w:szCs w:val="28"/>
        </w:rPr>
        <w:t xml:space="preserve">, солевой бульон, </w:t>
      </w:r>
      <w:r w:rsidR="00193E25">
        <w:rPr>
          <w:sz w:val="28"/>
          <w:szCs w:val="28"/>
        </w:rPr>
        <w:t>ЖСА</w:t>
      </w:r>
      <w:r w:rsidRPr="00961C73">
        <w:rPr>
          <w:sz w:val="28"/>
          <w:szCs w:val="28"/>
        </w:rPr>
        <w:t>, молочно-солевой и маннит-солевой агары (ФБУН ГНЦ прикладной микробиологии и биотехнологии, Санкт-Петербург), среду Кларка (ООО «НИЦФ», Санкт-Петербург), среды Гисса (Россия, Оболенск), агар Байрд – Паркера (Merck KGaA, Германия), CHROMagar Mastitis (CHROMagar, Франция), и кровяной агар (HiMedia, Индия).</w:t>
      </w:r>
      <w:r>
        <w:rPr>
          <w:sz w:val="28"/>
          <w:szCs w:val="28"/>
        </w:rPr>
        <w:t xml:space="preserve"> </w:t>
      </w:r>
      <w:r w:rsidRPr="00961C73">
        <w:rPr>
          <w:sz w:val="28"/>
          <w:szCs w:val="28"/>
        </w:rPr>
        <w:t>Исследования по изучению антибиотикорезистентности диско-диффузным методом проводили на среде Мюллера-Хинтона (ЗАО НИЦФ, Санкт-Петербург). Для отбора трансформированных бактериальных клеток, содержащих плазмиду с целевым геном, использовали LB агар с ампициллином [378].</w:t>
      </w:r>
    </w:p>
    <w:p w:rsidR="00961C73" w:rsidRPr="00961C73" w:rsidRDefault="00961C73" w:rsidP="00AE0408">
      <w:pPr>
        <w:ind w:firstLine="709"/>
        <w:rPr>
          <w:sz w:val="28"/>
          <w:szCs w:val="28"/>
        </w:rPr>
      </w:pPr>
      <w:r w:rsidRPr="00961C73">
        <w:rPr>
          <w:sz w:val="28"/>
          <w:szCs w:val="28"/>
        </w:rPr>
        <w:t xml:space="preserve">Применяли набор красителей для окрашивания мазков по Граму, 3%-й раствор перекиси водорода, плазму кроликов АО «НПО «Микроген», Москва). </w:t>
      </w:r>
    </w:p>
    <w:p w:rsidR="00961C73" w:rsidRPr="00961C73" w:rsidRDefault="00961C73" w:rsidP="00AE0408">
      <w:pPr>
        <w:ind w:firstLine="709"/>
        <w:rPr>
          <w:sz w:val="28"/>
          <w:szCs w:val="28"/>
        </w:rPr>
      </w:pPr>
      <w:r w:rsidRPr="00961C73">
        <w:rPr>
          <w:sz w:val="28"/>
          <w:szCs w:val="28"/>
        </w:rPr>
        <w:t>Биохимическая идентификация культур проводилась с использованием тест-систем «Стафи-тест» (ERBA Lachema, Чехия). Биологические свойства стафилококков определялись классическими микробиологическими методами.</w:t>
      </w:r>
    </w:p>
    <w:p w:rsidR="00961C73" w:rsidRPr="00961C73" w:rsidRDefault="00961C73" w:rsidP="00AE0408">
      <w:pPr>
        <w:ind w:firstLine="709"/>
        <w:rPr>
          <w:sz w:val="28"/>
          <w:szCs w:val="28"/>
        </w:rPr>
      </w:pPr>
      <w:r w:rsidRPr="00961C73">
        <w:rPr>
          <w:sz w:val="28"/>
          <w:szCs w:val="28"/>
        </w:rPr>
        <w:t>Для определения антибиотикочувствительности использовались диски с антибиотиками (ФБУН НИИ эпидемиологии и микробиологии им. Пастера, Санкт-Петербург): ампициллин (10 мкг), амоксициллин (25 мкг), бензилпенициллин (10 ЕД), стрептомицин (10 мкг), цефоперазон (75 мкг), цефокситин (30 мкг), канамицин (30 мкг), неомицин (30 мкг), гентамицин (120 мкг), тетрациклин (30 мкг), доксициклин (30 мкг), ципрофлоксацин (5 мкг), норфлоксацин (10 мкг), эритромицин (15 мкг), тилозин (15 мкг), сульфаметокзол с триметопримом (1,25/23,75).</w:t>
      </w:r>
    </w:p>
    <w:p w:rsidR="00961C73" w:rsidRPr="00961C73" w:rsidRDefault="00961C73" w:rsidP="00AE0408">
      <w:pPr>
        <w:ind w:firstLine="709"/>
        <w:rPr>
          <w:sz w:val="28"/>
          <w:szCs w:val="28"/>
        </w:rPr>
      </w:pPr>
      <w:r w:rsidRPr="00961C73">
        <w:rPr>
          <w:sz w:val="28"/>
          <w:szCs w:val="28"/>
        </w:rPr>
        <w:t>Материалы для РТ-ПЦР</w:t>
      </w:r>
      <w:r w:rsidR="00BD7EF1">
        <w:rPr>
          <w:sz w:val="28"/>
          <w:szCs w:val="28"/>
        </w:rPr>
        <w:t xml:space="preserve"> и </w:t>
      </w:r>
      <w:r w:rsidR="00BD7EF1" w:rsidRPr="00BD7EF1">
        <w:rPr>
          <w:sz w:val="28"/>
        </w:rPr>
        <w:t>секвенирования</w:t>
      </w:r>
      <w:r w:rsidRPr="00961C73">
        <w:rPr>
          <w:sz w:val="28"/>
          <w:szCs w:val="28"/>
        </w:rPr>
        <w:t>: наконечники в штативе, свободные от ДНКазы и РНКазы объемом 10, 100, 200, 1000; микропробирки без ДНК и РНК, 0,2 мл, 1,5 мл 1000; кастомные праймеры и флуоресцентные зонды, анодный буфер для генетических анализаторов 3500; катодный буфер для генетических анализаторов 3500; полимер POP-7 для генетических анализаторов 3500/3500xL; Hi-Di формамид; 96-луночные микропланшеты Corning; ПЦР мастер микс; дистиллированная без ДНКазы; полимераза рекомбинантная 5ед/мкл 500 ед Taq DNA Polymerase, recombinant (5 U/µL) 500 Units Termofisher кат. № EP0402; хлорид магния MgCl2 (25 мМ) 4 x 1.25 Ml (Thermo scientific) кат. № R0971; буфер для ПЦР (Invitrogen) кат. №18067017; агароза Ultrapure 100 g (Invitrogen) кат. № 16500100; маркер молекулярных масс O’RangeRuler 50 bp DNA Ladder 25 µg (Thermo scientific) SM0613; краска Orange DNA Loading Dye (6X) (Thermo scientific) 5 x 1.0 mL R0631; набор дезоксинуклеотидтрифосфатов (дЦТФ, дАТФ, дГТФ, дТТФ), 100 мМ растворы; набор для очистки реакций секвенирования BigDye XTerminator ™; набор для секвенирования BigDye ™ Terminator v3.1; ПЦР мастер-микс DreamTaq Green (2X), реагент для очистки продуктов ПЦР ExoSAP-IT™.</w:t>
      </w:r>
    </w:p>
    <w:p w:rsidR="00961C73" w:rsidRPr="00961C73" w:rsidRDefault="00961C73" w:rsidP="00AE0408">
      <w:pPr>
        <w:ind w:firstLine="709"/>
        <w:rPr>
          <w:sz w:val="28"/>
          <w:szCs w:val="28"/>
        </w:rPr>
      </w:pPr>
      <w:r>
        <w:rPr>
          <w:sz w:val="28"/>
          <w:szCs w:val="28"/>
        </w:rPr>
        <w:t xml:space="preserve">Оборудование: </w:t>
      </w:r>
      <w:r w:rsidRPr="00961C73">
        <w:rPr>
          <w:sz w:val="28"/>
          <w:szCs w:val="28"/>
        </w:rPr>
        <w:t>ламинарный бокс 2 к</w:t>
      </w:r>
      <w:r>
        <w:rPr>
          <w:sz w:val="28"/>
          <w:szCs w:val="28"/>
        </w:rPr>
        <w:t xml:space="preserve">ласса безопасности тип А БМБ-2 </w:t>
      </w:r>
      <w:r w:rsidRPr="00961C73">
        <w:rPr>
          <w:sz w:val="28"/>
          <w:szCs w:val="28"/>
        </w:rPr>
        <w:t xml:space="preserve">«Ламинар-С»-1,5, микроскоп лабораторный тринокулярный OPTIKA B510BF, сушильный шкаф, термостат (ТС-1/80СПУ), морозильная камера (Artiko), </w:t>
      </w:r>
      <w:r w:rsidRPr="00961C73">
        <w:rPr>
          <w:sz w:val="28"/>
          <w:szCs w:val="28"/>
        </w:rPr>
        <w:lastRenderedPageBreak/>
        <w:t>аналитические весы ХВ220А (Precisa), дозаторы переменного объема</w:t>
      </w:r>
      <w:r>
        <w:rPr>
          <w:sz w:val="28"/>
          <w:szCs w:val="28"/>
        </w:rPr>
        <w:t xml:space="preserve"> </w:t>
      </w:r>
      <w:r w:rsidRPr="00961C73">
        <w:rPr>
          <w:sz w:val="28"/>
          <w:szCs w:val="28"/>
        </w:rPr>
        <w:t>(1 – 1000 мкл) (Eppendorf), стерилизатор паровой (ВК-75-01), центрифуга-вортекс (Microspin FV-2400 Biosan), денситометр – DEN-1B (Biosan), MALDI-TOF масс-спектрометр (Bruker, Германия), флуориметр Qubit® 3.0 ("LifeTechnologies HoldingsPteLtd"), амплификаторы для количественной и качественной ПЦР - SimpllAmp Thermal Cycler, Proflex, QuantStudio (Applied Biosystems), генетический анализатор 3500 (Applied Biosystems), камера для электрофореза (Peqlab), гель-документирующая система QUANTUM (Vilber LOURMAT). При разработке ПКО использовали наборы «QIAquick PCR Purification Kit» («QIAGEN», Германия), «pTG19-T PCR Cloning Vector» («Vivantis Technologies»), DNA маркер 100-1000 br (Thermo Scientific).</w:t>
      </w:r>
    </w:p>
    <w:p w:rsidR="009F1B2C" w:rsidRDefault="009F1B2C" w:rsidP="00AE0408">
      <w:pPr>
        <w:ind w:firstLine="709"/>
        <w:rPr>
          <w:b/>
          <w:sz w:val="28"/>
          <w:szCs w:val="28"/>
        </w:rPr>
      </w:pPr>
    </w:p>
    <w:p w:rsidR="00961C73" w:rsidRPr="00BD7EF1" w:rsidRDefault="00961C73" w:rsidP="00AE0408">
      <w:pPr>
        <w:ind w:firstLine="709"/>
        <w:rPr>
          <w:sz w:val="28"/>
          <w:szCs w:val="28"/>
        </w:rPr>
      </w:pPr>
      <w:r w:rsidRPr="00BD7EF1">
        <w:rPr>
          <w:sz w:val="28"/>
          <w:szCs w:val="28"/>
        </w:rPr>
        <w:t>2.1.1 Отбор проб</w:t>
      </w:r>
    </w:p>
    <w:p w:rsidR="00961C73" w:rsidRDefault="00A106E4" w:rsidP="00AE0408">
      <w:pPr>
        <w:ind w:firstLine="709"/>
        <w:rPr>
          <w:sz w:val="28"/>
          <w:szCs w:val="28"/>
        </w:rPr>
      </w:pPr>
      <w:r w:rsidRPr="00A106E4">
        <w:rPr>
          <w:sz w:val="28"/>
          <w:szCs w:val="28"/>
        </w:rPr>
        <w:t>Отбор проб производился на местных рынках, в фермерских хозяйствах, супермаркетах, 16 молочных хозяйствах района Б. Майлина</w:t>
      </w:r>
      <w:r w:rsidR="00961C73" w:rsidRPr="00961C73">
        <w:rPr>
          <w:sz w:val="28"/>
          <w:szCs w:val="28"/>
        </w:rPr>
        <w:t xml:space="preserve">, Костанайского, Федоровского, Мендыкаринского, Денисовского и Узункольского районов Костанайской области. В период с 2021 по 2023 годы было отобрано </w:t>
      </w:r>
      <w:r w:rsidR="00193E25">
        <w:rPr>
          <w:sz w:val="28"/>
          <w:szCs w:val="28"/>
        </w:rPr>
        <w:t>1680</w:t>
      </w:r>
      <w:r w:rsidR="00961C73" w:rsidRPr="00961C73">
        <w:rPr>
          <w:sz w:val="28"/>
          <w:szCs w:val="28"/>
        </w:rPr>
        <w:t xml:space="preserve"> проб.</w:t>
      </w:r>
    </w:p>
    <w:p w:rsidR="009F1B2C" w:rsidRPr="00961C73" w:rsidRDefault="009F1B2C" w:rsidP="009F1B2C">
      <w:pPr>
        <w:ind w:firstLine="709"/>
        <w:rPr>
          <w:sz w:val="28"/>
          <w:szCs w:val="28"/>
        </w:rPr>
      </w:pPr>
      <w:r w:rsidRPr="00961C73">
        <w:rPr>
          <w:sz w:val="28"/>
          <w:szCs w:val="28"/>
        </w:rPr>
        <w:t>Для выявления субклинических форм мастита, использовался аппарат Драминского (DRAMIŃSKI S.A., Poland), работающий на основе изменений электропроводности молока (см. http://www.draminski.com).</w:t>
      </w:r>
      <w:r>
        <w:rPr>
          <w:sz w:val="28"/>
          <w:szCs w:val="28"/>
        </w:rPr>
        <w:t xml:space="preserve"> </w:t>
      </w:r>
      <w:r w:rsidRPr="00961C73">
        <w:rPr>
          <w:sz w:val="28"/>
          <w:szCs w:val="28"/>
        </w:rPr>
        <w:t>Для проведения анализа, в предварительно продезинфицированные чашки Draminski® набирали около 15-20 мл молока отдельно с каждого соска. Далее нажимали кнопку включения/выключения, и на ЖК-дисплее отображались показания для четырех сосков/четвертей вымени коров</w:t>
      </w:r>
      <w:r>
        <w:rPr>
          <w:sz w:val="28"/>
          <w:szCs w:val="28"/>
        </w:rPr>
        <w:t xml:space="preserve"> </w:t>
      </w:r>
      <w:r w:rsidRPr="00961C73">
        <w:rPr>
          <w:sz w:val="28"/>
          <w:szCs w:val="28"/>
        </w:rPr>
        <w:t>(рисунок 1).</w:t>
      </w:r>
    </w:p>
    <w:p w:rsidR="009F1B2C" w:rsidRDefault="009F1B2C" w:rsidP="00AE0408">
      <w:pPr>
        <w:ind w:firstLine="709"/>
        <w:rPr>
          <w:sz w:val="28"/>
          <w:szCs w:val="28"/>
        </w:rPr>
      </w:pPr>
    </w:p>
    <w:p w:rsidR="00961C73" w:rsidRDefault="00961C73" w:rsidP="00AE0408">
      <w:pPr>
        <w:ind w:firstLine="709"/>
        <w:rPr>
          <w:sz w:val="28"/>
          <w:szCs w:val="28"/>
        </w:rPr>
      </w:pPr>
    </w:p>
    <w:p w:rsidR="00961C73" w:rsidRPr="00961C73" w:rsidRDefault="00961C73" w:rsidP="00AE0408">
      <w:pPr>
        <w:jc w:val="center"/>
        <w:rPr>
          <w:sz w:val="28"/>
          <w:szCs w:val="28"/>
        </w:rPr>
      </w:pPr>
      <w:r w:rsidRPr="00961C73">
        <w:rPr>
          <w:noProof/>
          <w:sz w:val="28"/>
          <w:szCs w:val="28"/>
          <w:lang w:eastAsia="ru-RU"/>
        </w:rPr>
        <w:drawing>
          <wp:inline distT="0" distB="0" distL="0" distR="0" wp14:anchorId="3DEBABFD" wp14:editId="1531D258">
            <wp:extent cx="3229469" cy="2993572"/>
            <wp:effectExtent l="0" t="0" r="9525" b="0"/>
            <wp:docPr id="1" name="Рисунок 1" descr="C:\Users\User\Моноблок\Байменов\2025 год\докторантура\материалы и методы\Фото\ФФФФ.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Фото\ФФФФ.tiff"/>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3626271" cy="3361389"/>
                    </a:xfrm>
                    <a:prstGeom prst="rect">
                      <a:avLst/>
                    </a:prstGeom>
                    <a:noFill/>
                    <a:ln>
                      <a:noFill/>
                    </a:ln>
                  </pic:spPr>
                </pic:pic>
              </a:graphicData>
            </a:graphic>
          </wp:inline>
        </w:drawing>
      </w:r>
    </w:p>
    <w:p w:rsidR="00961C73" w:rsidRDefault="00961C73" w:rsidP="00AE0408">
      <w:pPr>
        <w:jc w:val="center"/>
        <w:rPr>
          <w:sz w:val="28"/>
          <w:szCs w:val="28"/>
        </w:rPr>
      </w:pPr>
      <w:r w:rsidRPr="00961C73">
        <w:rPr>
          <w:sz w:val="28"/>
          <w:szCs w:val="28"/>
        </w:rPr>
        <w:t>Рисунок 1 – Отбор образцов молока</w:t>
      </w:r>
    </w:p>
    <w:p w:rsidR="00AE0408" w:rsidRDefault="00AE0408" w:rsidP="00961C73">
      <w:pPr>
        <w:rPr>
          <w:sz w:val="28"/>
          <w:szCs w:val="28"/>
        </w:rPr>
      </w:pPr>
    </w:p>
    <w:p w:rsidR="00961C73" w:rsidRPr="00961C73" w:rsidRDefault="00961C73" w:rsidP="00F0107A">
      <w:pPr>
        <w:ind w:firstLine="709"/>
        <w:rPr>
          <w:sz w:val="28"/>
          <w:szCs w:val="28"/>
        </w:rPr>
      </w:pPr>
      <w:r w:rsidRPr="00961C73">
        <w:rPr>
          <w:sz w:val="28"/>
          <w:szCs w:val="28"/>
        </w:rPr>
        <w:lastRenderedPageBreak/>
        <w:t>Отобранные образцы молока подвергали бактериологическому исследованию.</w:t>
      </w:r>
    </w:p>
    <w:p w:rsidR="00961C73" w:rsidRPr="00961C73" w:rsidRDefault="00961C73" w:rsidP="00F0107A">
      <w:pPr>
        <w:ind w:firstLine="709"/>
        <w:rPr>
          <w:sz w:val="28"/>
          <w:szCs w:val="28"/>
        </w:rPr>
      </w:pPr>
      <w:r w:rsidRPr="00961C73">
        <w:rPr>
          <w:sz w:val="28"/>
          <w:szCs w:val="28"/>
        </w:rPr>
        <w:t>Молоко. Отбор проб молока проводили асептически, согласно ГОСТ 26809.1-2014 «Молоко и молочная продукция. Правила приемки, методы отбора и подготовка проб к анализу. Часть 1. Молоко, молочные, молочные составные и молоко содержащие продукты», исключая микробное загрязнение продукта из окружающей среды. Пробы отбирали в стерильную тару и доставляли в лабораторию в охлаждённом виде.</w:t>
      </w:r>
    </w:p>
    <w:p w:rsidR="00961C73" w:rsidRPr="00961C73" w:rsidRDefault="00961C73" w:rsidP="00F0107A">
      <w:pPr>
        <w:ind w:firstLine="709"/>
        <w:rPr>
          <w:sz w:val="28"/>
          <w:szCs w:val="28"/>
        </w:rPr>
      </w:pPr>
      <w:r w:rsidRPr="00961C73">
        <w:rPr>
          <w:sz w:val="28"/>
          <w:szCs w:val="28"/>
        </w:rPr>
        <w:t>Молочная продукция. Жидкие кисломолочные продукты и сметану в упаковке перемешивали около 1 минуты. После вскрытия продукт выливали в стакан, прогревали 10 минут на водяной бане при 32ºC для удаления углекислоты. Пробы из бутылок объединяли, перемешивали и выделяли часть для анализа.</w:t>
      </w:r>
    </w:p>
    <w:p w:rsidR="00961C73" w:rsidRPr="00961C73" w:rsidRDefault="00961C73" w:rsidP="00F0107A">
      <w:pPr>
        <w:ind w:firstLine="709"/>
        <w:rPr>
          <w:sz w:val="28"/>
          <w:szCs w:val="28"/>
        </w:rPr>
      </w:pPr>
      <w:r w:rsidRPr="00961C73">
        <w:rPr>
          <w:sz w:val="28"/>
          <w:szCs w:val="28"/>
        </w:rPr>
        <w:t xml:space="preserve">Пробы творога и сливочного масла переносили шпателем в посуду, перемешивали, формируя объединённую пробу массой не менее 500 г. </w:t>
      </w:r>
    </w:p>
    <w:p w:rsidR="00961C73" w:rsidRPr="00961C73" w:rsidRDefault="00961C73" w:rsidP="00F0107A">
      <w:pPr>
        <w:ind w:firstLine="709"/>
        <w:rPr>
          <w:sz w:val="28"/>
          <w:szCs w:val="28"/>
        </w:rPr>
      </w:pPr>
      <w:r w:rsidRPr="00961C73">
        <w:rPr>
          <w:sz w:val="28"/>
          <w:szCs w:val="28"/>
        </w:rPr>
        <w:t xml:space="preserve">Мясо и мясные продукты. Отбор проб мяса птицы, субпродуктов и полуфабрикатов, а также мяса и мясных продуктов проводили согласно ГОСТ 31467-2012 «Мясо птицы, субпродукты и полуфабрикаты из мяса птицы. Методы отбора проб и подготовка их к испытаниям» и СТ РК ГОСТ Р 51447-2010 «Мясо и мясные продукты. Методы отбора проб». Пробы транспортировали в стерильных контейнерах при </w:t>
      </w:r>
      <w:r w:rsidR="00F0107A">
        <w:rPr>
          <w:sz w:val="28"/>
          <w:szCs w:val="28"/>
        </w:rPr>
        <w:t>0-6</w:t>
      </w:r>
      <w:r w:rsidRPr="00961C73">
        <w:rPr>
          <w:sz w:val="28"/>
          <w:szCs w:val="28"/>
        </w:rPr>
        <w:t>ºC.</w:t>
      </w:r>
    </w:p>
    <w:p w:rsidR="00BD7EF1" w:rsidRDefault="00BD7EF1" w:rsidP="00F0107A">
      <w:pPr>
        <w:ind w:firstLine="709"/>
        <w:rPr>
          <w:b/>
          <w:sz w:val="28"/>
          <w:szCs w:val="28"/>
        </w:rPr>
      </w:pPr>
    </w:p>
    <w:p w:rsidR="00961C73" w:rsidRPr="00BD7EF1" w:rsidRDefault="00961C73" w:rsidP="00F0107A">
      <w:pPr>
        <w:ind w:firstLine="709"/>
        <w:rPr>
          <w:sz w:val="28"/>
          <w:szCs w:val="28"/>
        </w:rPr>
      </w:pPr>
      <w:r w:rsidRPr="00BD7EF1">
        <w:rPr>
          <w:sz w:val="28"/>
          <w:szCs w:val="28"/>
        </w:rPr>
        <w:t>2.1.2 Бактериологические исследования</w:t>
      </w:r>
    </w:p>
    <w:p w:rsidR="00961C73" w:rsidRPr="00961C73" w:rsidRDefault="00961C73" w:rsidP="00F0107A">
      <w:pPr>
        <w:ind w:firstLine="709"/>
        <w:rPr>
          <w:sz w:val="28"/>
          <w:szCs w:val="28"/>
        </w:rPr>
      </w:pPr>
      <w:r w:rsidRPr="00961C73">
        <w:rPr>
          <w:sz w:val="28"/>
          <w:szCs w:val="28"/>
        </w:rPr>
        <w:t xml:space="preserve">Для выделения и идентификации </w:t>
      </w:r>
      <w:r w:rsidR="007A7888" w:rsidRPr="007A7888">
        <w:rPr>
          <w:i/>
          <w:sz w:val="28"/>
          <w:szCs w:val="28"/>
        </w:rPr>
        <w:t>S. aureus</w:t>
      </w:r>
      <w:r w:rsidRPr="00961C73">
        <w:rPr>
          <w:sz w:val="28"/>
          <w:szCs w:val="28"/>
        </w:rPr>
        <w:t xml:space="preserve"> первичные посевы производили на солевой бульон (в соответствии с ГОСТ 30347-2016 «Молоко и молочная продукция. Методы определения </w:t>
      </w:r>
      <w:r w:rsidR="00AE0408" w:rsidRPr="00AE0408">
        <w:rPr>
          <w:i/>
          <w:sz w:val="28"/>
          <w:szCs w:val="28"/>
        </w:rPr>
        <w:t>Staphylococcus</w:t>
      </w:r>
      <w:r w:rsidRPr="00961C73">
        <w:rPr>
          <w:sz w:val="28"/>
          <w:szCs w:val="28"/>
        </w:rPr>
        <w:t xml:space="preserve"> </w:t>
      </w:r>
      <w:r w:rsidR="00AE0408" w:rsidRPr="00AE0408">
        <w:rPr>
          <w:i/>
          <w:sz w:val="28"/>
          <w:szCs w:val="28"/>
        </w:rPr>
        <w:t>aureus</w:t>
      </w:r>
      <w:r w:rsidRPr="00961C73">
        <w:rPr>
          <w:sz w:val="28"/>
          <w:szCs w:val="28"/>
        </w:rPr>
        <w:t xml:space="preserve">»; ГОСТ 31746-2012 Межгосударственный стандарт. Продукты пищевые. Методы выявления и определения количества коагулазоположительных стафилококков и </w:t>
      </w:r>
      <w:r w:rsidR="00AE0408" w:rsidRPr="00AE0408">
        <w:rPr>
          <w:i/>
          <w:sz w:val="28"/>
          <w:szCs w:val="28"/>
        </w:rPr>
        <w:t>Staphylococcus</w:t>
      </w:r>
      <w:r w:rsidRPr="00961C73">
        <w:rPr>
          <w:sz w:val="28"/>
          <w:szCs w:val="28"/>
        </w:rPr>
        <w:t xml:space="preserve"> </w:t>
      </w:r>
      <w:r w:rsidR="00AE0408" w:rsidRPr="00AE0408">
        <w:rPr>
          <w:i/>
          <w:sz w:val="28"/>
          <w:szCs w:val="28"/>
        </w:rPr>
        <w:t>aureus</w:t>
      </w:r>
      <w:r w:rsidRPr="00961C73">
        <w:rPr>
          <w:sz w:val="28"/>
          <w:szCs w:val="28"/>
        </w:rPr>
        <w:t>). Пробирки с посевами инкубировали при температуре 37°С в течение 24-48 ч</w:t>
      </w:r>
      <w:r w:rsidR="00A106E4">
        <w:rPr>
          <w:sz w:val="28"/>
          <w:szCs w:val="28"/>
        </w:rPr>
        <w:t>асов</w:t>
      </w:r>
      <w:r w:rsidRPr="00961C73">
        <w:rPr>
          <w:sz w:val="28"/>
          <w:szCs w:val="28"/>
        </w:rPr>
        <w:t xml:space="preserve">. Рост микроорганизмов определяли по характерному помутнению среды. Для выделения изолированных колоний, осуществляли пересев на желточно-солевой, маннит-солевой агары, определяя рост типичных колоний </w:t>
      </w:r>
      <w:r w:rsidR="007A7888" w:rsidRPr="007A7888">
        <w:rPr>
          <w:i/>
          <w:sz w:val="28"/>
          <w:szCs w:val="28"/>
        </w:rPr>
        <w:t>S. aureus</w:t>
      </w:r>
      <w:r w:rsidRPr="00961C73">
        <w:rPr>
          <w:sz w:val="28"/>
          <w:szCs w:val="28"/>
        </w:rPr>
        <w:t xml:space="preserve"> через 18-20 часов.</w:t>
      </w:r>
    </w:p>
    <w:p w:rsidR="00961C73" w:rsidRPr="00961C73" w:rsidRDefault="00961C73" w:rsidP="00F0107A">
      <w:pPr>
        <w:ind w:firstLine="709"/>
        <w:rPr>
          <w:sz w:val="28"/>
          <w:szCs w:val="28"/>
        </w:rPr>
      </w:pPr>
      <w:r w:rsidRPr="00961C73">
        <w:rPr>
          <w:sz w:val="28"/>
          <w:szCs w:val="28"/>
        </w:rPr>
        <w:t>Для подтверждения принадлежности к коагулазоположительным стафилококкам у выросших микроорганизмов определяли отношение к окраске по Граму, посевом на мясопептонный агар, способность коагулировать плазму крови кролика, тестом на каталазную активность и плазмокоагулазу и проверяли способность ферментировать маннит в анаэробных условиях.</w:t>
      </w:r>
    </w:p>
    <w:p w:rsidR="00961C73" w:rsidRPr="00961C73" w:rsidRDefault="00961C73" w:rsidP="00F0107A">
      <w:pPr>
        <w:ind w:firstLine="709"/>
        <w:rPr>
          <w:sz w:val="28"/>
          <w:szCs w:val="28"/>
        </w:rPr>
      </w:pPr>
      <w:r w:rsidRPr="00961C73">
        <w:rPr>
          <w:sz w:val="28"/>
          <w:szCs w:val="28"/>
        </w:rPr>
        <w:t xml:space="preserve">После инкубации, для получения изолированных колоний, стерильной петлей делали посев на маннитол-солевой агар (HiMedia Laboratories, Индия). На поверхность мясопептонного агара (Биокомпас-С, Россия) высевали типичные колонии в виде плоских или выпуклых дисков желтого, лимонного цвета с ровными краями. Гемолитические свойства определяли на кровяном агаре (HiMedia Laboratories, Индия). Наличие дезоксирибонуклеазной </w:t>
      </w:r>
      <w:r w:rsidRPr="00961C73">
        <w:rPr>
          <w:sz w:val="28"/>
          <w:szCs w:val="28"/>
        </w:rPr>
        <w:lastRenderedPageBreak/>
        <w:t>активности исследовали на ДНКазной среде (HiMedia Laboratories, Индия) с толуидиновым синим (HiMedia Laboratories, Индия). Внутривидовая идентификация стафилококков проводилась с помощью системы идентификации STAPHYtest 24 (Erba Lachema s.r.o., Брно, Чехия).</w:t>
      </w:r>
    </w:p>
    <w:p w:rsidR="00961C73" w:rsidRDefault="00961C73" w:rsidP="00961C73">
      <w:pPr>
        <w:rPr>
          <w:sz w:val="28"/>
          <w:szCs w:val="28"/>
        </w:rPr>
      </w:pPr>
    </w:p>
    <w:p w:rsidR="00961C73" w:rsidRPr="00961C73" w:rsidRDefault="00961C73" w:rsidP="00F0107A">
      <w:pPr>
        <w:jc w:val="center"/>
        <w:rPr>
          <w:sz w:val="28"/>
          <w:szCs w:val="28"/>
        </w:rPr>
      </w:pPr>
      <w:r w:rsidRPr="00507214">
        <w:rPr>
          <w:rFonts w:cs="Times New Roman"/>
          <w:noProof/>
          <w:sz w:val="28"/>
          <w:szCs w:val="28"/>
          <w:lang w:eastAsia="ru-RU"/>
        </w:rPr>
        <w:drawing>
          <wp:inline distT="0" distB="0" distL="0" distR="0" wp14:anchorId="335F2DBF" wp14:editId="656ABF91">
            <wp:extent cx="4237155" cy="3166533"/>
            <wp:effectExtent l="0" t="0" r="0" b="0"/>
            <wp:docPr id="47" name="Рисунок 47" descr="C:\Users\User\Моноблок\Байменов\2025 год\докторантура\материалы и методы\Фото\Дизаин микробиологического исследования.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Фото\Дизаин микробиологического исследования.tiff"/>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262105" cy="3185178"/>
                    </a:xfrm>
                    <a:prstGeom prst="rect">
                      <a:avLst/>
                    </a:prstGeom>
                    <a:noFill/>
                    <a:ln>
                      <a:noFill/>
                    </a:ln>
                  </pic:spPr>
                </pic:pic>
              </a:graphicData>
            </a:graphic>
          </wp:inline>
        </w:drawing>
      </w:r>
    </w:p>
    <w:p w:rsidR="00961C73" w:rsidRDefault="00961C73" w:rsidP="00F0107A">
      <w:pPr>
        <w:jc w:val="center"/>
        <w:rPr>
          <w:sz w:val="28"/>
          <w:szCs w:val="28"/>
        </w:rPr>
      </w:pPr>
      <w:r w:rsidRPr="00961C73">
        <w:rPr>
          <w:sz w:val="28"/>
          <w:szCs w:val="28"/>
        </w:rPr>
        <w:t>Рисунок 2 – Дизайн микробиологического исследования</w:t>
      </w:r>
    </w:p>
    <w:p w:rsidR="00961C73" w:rsidRDefault="00961C73" w:rsidP="00961C73">
      <w:pPr>
        <w:rPr>
          <w:sz w:val="28"/>
          <w:szCs w:val="28"/>
        </w:rPr>
      </w:pPr>
    </w:p>
    <w:p w:rsidR="00961C73" w:rsidRPr="00961C73" w:rsidRDefault="00961C73" w:rsidP="00F0107A">
      <w:pPr>
        <w:ind w:firstLine="709"/>
        <w:rPr>
          <w:sz w:val="28"/>
          <w:szCs w:val="28"/>
        </w:rPr>
      </w:pPr>
      <w:r w:rsidRPr="00961C73">
        <w:rPr>
          <w:sz w:val="28"/>
          <w:szCs w:val="28"/>
        </w:rPr>
        <w:t xml:space="preserve">Посев на кровяной агар с последующим изучением гемолитических свойств. Изоляты </w:t>
      </w:r>
      <w:r w:rsidR="007A7888" w:rsidRPr="007A7888">
        <w:rPr>
          <w:i/>
          <w:sz w:val="28"/>
          <w:szCs w:val="28"/>
        </w:rPr>
        <w:t>S. aureus</w:t>
      </w:r>
      <w:r w:rsidRPr="00961C73">
        <w:rPr>
          <w:sz w:val="28"/>
          <w:szCs w:val="28"/>
        </w:rPr>
        <w:t xml:space="preserve"> высевали на поверхность агара с добавлением 5-10% разведенной свежей крови (обычно овечьей, но также может быть кроличьей, курицы и т.д.). Инкубировали при 37°C в течение 18-24 часов.</w:t>
      </w:r>
    </w:p>
    <w:p w:rsidR="00961C73" w:rsidRPr="00961C73" w:rsidRDefault="00961C73" w:rsidP="00F0107A">
      <w:pPr>
        <w:ind w:firstLine="709"/>
        <w:rPr>
          <w:sz w:val="28"/>
          <w:szCs w:val="28"/>
        </w:rPr>
      </w:pPr>
      <w:r w:rsidRPr="00961C73">
        <w:rPr>
          <w:sz w:val="28"/>
          <w:szCs w:val="28"/>
        </w:rPr>
        <w:t xml:space="preserve">После инкубации, наблюдали различные зоны гемолиза вокруг колоний бактерий. Альфа-гемолиз - образование зоны частичного разрушения красных кровяных клеток, обычно видимой как зеленоватая окраска вокруг колоний; бета-гемолиз - полное разрушение красных кровяных клеток, что приводит к образованию ясной зоны вокруг колоний и гамма-гемолиз - отсутствие гемолиза, зона вокруг колоний остается прозрачной. У штаммов </w:t>
      </w:r>
      <w:r w:rsidR="007A7888" w:rsidRPr="007A7888">
        <w:rPr>
          <w:i/>
          <w:sz w:val="28"/>
          <w:szCs w:val="28"/>
        </w:rPr>
        <w:t>S. aureus</w:t>
      </w:r>
      <w:r w:rsidRPr="00961C73">
        <w:rPr>
          <w:sz w:val="28"/>
          <w:szCs w:val="28"/>
        </w:rPr>
        <w:t xml:space="preserve"> в основном наблюдали бета-гемолиз, подтверждающий его гемолитические свойства.</w:t>
      </w:r>
    </w:p>
    <w:p w:rsidR="00961C73" w:rsidRPr="00961C73" w:rsidRDefault="00961C73" w:rsidP="00F0107A">
      <w:pPr>
        <w:ind w:firstLine="709"/>
        <w:rPr>
          <w:sz w:val="28"/>
          <w:szCs w:val="28"/>
        </w:rPr>
      </w:pPr>
      <w:r w:rsidRPr="00961C73">
        <w:rPr>
          <w:sz w:val="28"/>
          <w:szCs w:val="28"/>
        </w:rPr>
        <w:t xml:space="preserve">Способность </w:t>
      </w:r>
      <w:r w:rsidR="007A7888" w:rsidRPr="007A7888">
        <w:rPr>
          <w:i/>
          <w:sz w:val="28"/>
          <w:szCs w:val="28"/>
        </w:rPr>
        <w:t>S. aureus</w:t>
      </w:r>
      <w:r w:rsidRPr="00961C73">
        <w:rPr>
          <w:sz w:val="28"/>
          <w:szCs w:val="28"/>
        </w:rPr>
        <w:t xml:space="preserve"> коагулировать плазму крови является важным видовым признаком, который разделяет стафилококки на две основные группы: коагулазоположительные и коагулазоотрицательные.</w:t>
      </w:r>
    </w:p>
    <w:p w:rsidR="00961C73" w:rsidRPr="00961C73" w:rsidRDefault="00961C73" w:rsidP="00F0107A">
      <w:pPr>
        <w:ind w:firstLine="709"/>
        <w:rPr>
          <w:sz w:val="28"/>
          <w:szCs w:val="28"/>
        </w:rPr>
      </w:pPr>
      <w:r w:rsidRPr="00961C73">
        <w:rPr>
          <w:sz w:val="28"/>
          <w:szCs w:val="28"/>
        </w:rPr>
        <w:t xml:space="preserve">Описание колоний коагулазоположительных стафилококков в среде маннитол-солевого агара (МСА) соответствует характеристикам </w:t>
      </w:r>
      <w:r w:rsidR="007A7888" w:rsidRPr="007A7888">
        <w:rPr>
          <w:i/>
          <w:sz w:val="28"/>
          <w:szCs w:val="28"/>
        </w:rPr>
        <w:t>S. aureus</w:t>
      </w:r>
      <w:r w:rsidRPr="00961C73">
        <w:rPr>
          <w:sz w:val="28"/>
          <w:szCs w:val="28"/>
        </w:rPr>
        <w:t>: колонии круглой формы, слегка выпуклые, края ровные (2,0-2,5 мм), желтого, золотистого, лимонно-желтого, кремового, палевого или белого цвета.</w:t>
      </w:r>
    </w:p>
    <w:p w:rsidR="00961C73" w:rsidRDefault="00961C73" w:rsidP="00F0107A">
      <w:pPr>
        <w:ind w:firstLine="709"/>
        <w:rPr>
          <w:sz w:val="28"/>
          <w:szCs w:val="28"/>
        </w:rPr>
      </w:pPr>
      <w:r w:rsidRPr="00961C73">
        <w:rPr>
          <w:sz w:val="28"/>
          <w:szCs w:val="28"/>
        </w:rPr>
        <w:t xml:space="preserve">Определение зоны лецитиназной активности вокруг колоний в ЖСА является еще одним методом, используемым для выявления </w:t>
      </w:r>
      <w:r w:rsidRPr="00961C73">
        <w:rPr>
          <w:sz w:val="28"/>
          <w:szCs w:val="28"/>
        </w:rPr>
        <w:lastRenderedPageBreak/>
        <w:t xml:space="preserve">коагулазоположительных </w:t>
      </w:r>
      <w:r w:rsidR="007A7888" w:rsidRPr="007A7888">
        <w:rPr>
          <w:i/>
          <w:sz w:val="28"/>
          <w:szCs w:val="28"/>
        </w:rPr>
        <w:t>S. aureus</w:t>
      </w:r>
      <w:r w:rsidRPr="00961C73">
        <w:rPr>
          <w:sz w:val="28"/>
          <w:szCs w:val="28"/>
        </w:rPr>
        <w:t>. Лецитиназа – фермент, разрушающий лецитин, который является одним из компонентов яичного желтка (рисунок3).</w:t>
      </w:r>
    </w:p>
    <w:p w:rsidR="00961C73" w:rsidRDefault="00961C73" w:rsidP="00F0107A">
      <w:pPr>
        <w:ind w:firstLine="709"/>
        <w:rPr>
          <w:sz w:val="28"/>
          <w:szCs w:val="28"/>
        </w:rPr>
      </w:pPr>
    </w:p>
    <w:p w:rsidR="00961C73" w:rsidRDefault="00961C73" w:rsidP="00F0107A">
      <w:pPr>
        <w:jc w:val="center"/>
        <w:rPr>
          <w:sz w:val="28"/>
          <w:szCs w:val="28"/>
        </w:rPr>
      </w:pPr>
      <w:r w:rsidRPr="00507214">
        <w:rPr>
          <w:rFonts w:cs="Times New Roman"/>
          <w:noProof/>
          <w:sz w:val="28"/>
          <w:szCs w:val="28"/>
          <w:lang w:eastAsia="ru-RU"/>
        </w:rPr>
        <w:drawing>
          <wp:inline distT="0" distB="0" distL="0" distR="0" wp14:anchorId="4B440CF2" wp14:editId="0CB16FA4">
            <wp:extent cx="4838700" cy="1631134"/>
            <wp:effectExtent l="0" t="0" r="0" b="7620"/>
            <wp:docPr id="32" name="Рисунок 32" descr="C:\Users\User\Моноблок\Байменов\2025 год\докторантура\материалы и методы\Фото\Рисунок 10 – Вирулентные свойства S. aureu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Моноблок\Байменов\2025 год\докторантура\материалы и методы\Фото\Рисунок 10 – Вирулентные свойства S. aureus.tiff"/>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950160" cy="1668707"/>
                    </a:xfrm>
                    <a:prstGeom prst="rect">
                      <a:avLst/>
                    </a:prstGeom>
                    <a:noFill/>
                    <a:ln>
                      <a:noFill/>
                    </a:ln>
                  </pic:spPr>
                </pic:pic>
              </a:graphicData>
            </a:graphic>
          </wp:inline>
        </w:drawing>
      </w:r>
    </w:p>
    <w:p w:rsidR="00961C73" w:rsidRDefault="00961C73" w:rsidP="00F0107A">
      <w:pPr>
        <w:jc w:val="center"/>
        <w:rPr>
          <w:sz w:val="28"/>
          <w:szCs w:val="28"/>
        </w:rPr>
      </w:pPr>
      <w:r w:rsidRPr="00961C73">
        <w:rPr>
          <w:sz w:val="28"/>
          <w:szCs w:val="28"/>
        </w:rPr>
        <w:t xml:space="preserve">Рисунок 3 – Вирулентные свойства </w:t>
      </w:r>
      <w:r w:rsidR="007A7888" w:rsidRPr="007A7888">
        <w:rPr>
          <w:i/>
          <w:sz w:val="28"/>
          <w:szCs w:val="28"/>
        </w:rPr>
        <w:t>S. aureus</w:t>
      </w:r>
    </w:p>
    <w:p w:rsidR="00961C73" w:rsidRDefault="00961C73" w:rsidP="00961C73">
      <w:pPr>
        <w:rPr>
          <w:sz w:val="28"/>
          <w:szCs w:val="28"/>
        </w:rPr>
      </w:pPr>
    </w:p>
    <w:p w:rsidR="00961C73" w:rsidRPr="00961C73" w:rsidRDefault="00961C73" w:rsidP="00F0107A">
      <w:pPr>
        <w:ind w:firstLine="709"/>
        <w:rPr>
          <w:sz w:val="28"/>
          <w:szCs w:val="28"/>
        </w:rPr>
      </w:pPr>
      <w:r w:rsidRPr="00961C73">
        <w:rPr>
          <w:sz w:val="28"/>
          <w:szCs w:val="28"/>
        </w:rPr>
        <w:t xml:space="preserve">Тест на дезоксирибонуклеазную (ДНКазную) активность. Проведение теста состояло из нескольких этапов: </w:t>
      </w:r>
    </w:p>
    <w:p w:rsidR="00961C73" w:rsidRPr="00961C73" w:rsidRDefault="00961C73" w:rsidP="00F0107A">
      <w:pPr>
        <w:ind w:firstLine="709"/>
        <w:rPr>
          <w:sz w:val="28"/>
          <w:szCs w:val="28"/>
        </w:rPr>
      </w:pPr>
      <w:r w:rsidRPr="00961C73">
        <w:rPr>
          <w:sz w:val="28"/>
          <w:szCs w:val="28"/>
        </w:rPr>
        <w:t xml:space="preserve">1. 4-5 разных образцов материала засевали широкополосным штрихом (ширина 2 см) на одну и ту же чашку; </w:t>
      </w:r>
    </w:p>
    <w:p w:rsidR="00961C73" w:rsidRPr="00961C73" w:rsidRDefault="00961C73" w:rsidP="00F0107A">
      <w:pPr>
        <w:ind w:firstLine="709"/>
        <w:rPr>
          <w:sz w:val="28"/>
          <w:szCs w:val="28"/>
        </w:rPr>
      </w:pPr>
      <w:r w:rsidRPr="00961C73">
        <w:rPr>
          <w:sz w:val="28"/>
          <w:szCs w:val="28"/>
        </w:rPr>
        <w:t xml:space="preserve">2. Инкубировали при температуре 37°С; </w:t>
      </w:r>
    </w:p>
    <w:p w:rsidR="00961C73" w:rsidRPr="00961C73" w:rsidRDefault="00961C73" w:rsidP="00F0107A">
      <w:pPr>
        <w:ind w:firstLine="709"/>
        <w:rPr>
          <w:sz w:val="28"/>
          <w:szCs w:val="28"/>
        </w:rPr>
      </w:pPr>
      <w:r w:rsidRPr="00961C73">
        <w:rPr>
          <w:sz w:val="28"/>
          <w:szCs w:val="28"/>
        </w:rPr>
        <w:t>3. К выросшим колониям, добавляли одну каплю 1N соляной кислоты или несколько капель 0,1 % раствора толуидинового синего.</w:t>
      </w:r>
    </w:p>
    <w:p w:rsidR="00961C73" w:rsidRDefault="00961C73" w:rsidP="00F0107A">
      <w:pPr>
        <w:ind w:firstLine="709"/>
        <w:rPr>
          <w:sz w:val="28"/>
          <w:szCs w:val="28"/>
        </w:rPr>
      </w:pPr>
      <w:r w:rsidRPr="00961C73">
        <w:rPr>
          <w:sz w:val="28"/>
          <w:szCs w:val="28"/>
        </w:rPr>
        <w:t>В результате образуется прозрачная зона вокруг колоний в среде с добавлением разбавленной соляной кислоты, а толуидиновый синий образует окрашенные комплексы с полимеризованной ДНК, что свидетельствует о наличии ДНКазной активности вокруг колоний коагулазоположительных стафилококков (рисунок 4).</w:t>
      </w:r>
    </w:p>
    <w:p w:rsidR="00961C73" w:rsidRDefault="00961C73" w:rsidP="00961C73">
      <w:pPr>
        <w:rPr>
          <w:sz w:val="28"/>
          <w:szCs w:val="28"/>
        </w:rPr>
      </w:pPr>
    </w:p>
    <w:p w:rsidR="00961C73" w:rsidRDefault="00961C73" w:rsidP="00F0107A">
      <w:pPr>
        <w:jc w:val="center"/>
        <w:rPr>
          <w:sz w:val="28"/>
          <w:szCs w:val="28"/>
        </w:rPr>
      </w:pPr>
      <w:r w:rsidRPr="00507214">
        <w:rPr>
          <w:rFonts w:cs="Times New Roman"/>
          <w:noProof/>
          <w:sz w:val="28"/>
          <w:szCs w:val="28"/>
          <w:lang w:eastAsia="ru-RU"/>
        </w:rPr>
        <w:drawing>
          <wp:inline distT="0" distB="0" distL="0" distR="0" wp14:anchorId="0E14A43F" wp14:editId="48EDCB2B">
            <wp:extent cx="3964439" cy="1820333"/>
            <wp:effectExtent l="0" t="0" r="0" b="8890"/>
            <wp:docPr id="48" name="Рисунок 48" descr="C:\Users\User\Моноблок\Байменов\2025 год\докторантура\материалы и методы\Фото\Рисунок 2 – Тест на дезоксирибонуклеазную (ДНКазную) актив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Моноблок\Байменов\2025 год\докторантура\материалы и методы\Фото\Рисунок 2 – Тест на дезоксирибонуклеазную (ДНКазную) активность.tiff"/>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180398" cy="1919494"/>
                    </a:xfrm>
                    <a:prstGeom prst="rect">
                      <a:avLst/>
                    </a:prstGeom>
                    <a:noFill/>
                    <a:ln>
                      <a:noFill/>
                    </a:ln>
                  </pic:spPr>
                </pic:pic>
              </a:graphicData>
            </a:graphic>
          </wp:inline>
        </w:drawing>
      </w:r>
    </w:p>
    <w:p w:rsidR="00961C73" w:rsidRDefault="00961C73" w:rsidP="00F0107A">
      <w:pPr>
        <w:jc w:val="center"/>
        <w:rPr>
          <w:sz w:val="28"/>
          <w:szCs w:val="28"/>
        </w:rPr>
      </w:pPr>
      <w:r w:rsidRPr="00E678B3">
        <w:rPr>
          <w:sz w:val="28"/>
          <w:szCs w:val="28"/>
        </w:rPr>
        <w:t>Рисунок 4 – Тест на дезоксирибонуклеазную (ДНКазную) активность</w:t>
      </w:r>
    </w:p>
    <w:p w:rsidR="00E678B3" w:rsidRPr="00E678B3" w:rsidRDefault="00E678B3" w:rsidP="00E678B3">
      <w:pPr>
        <w:rPr>
          <w:sz w:val="28"/>
          <w:szCs w:val="28"/>
        </w:rPr>
      </w:pPr>
    </w:p>
    <w:p w:rsidR="00E678B3" w:rsidRPr="00E678B3" w:rsidRDefault="00E678B3" w:rsidP="00F0107A">
      <w:pPr>
        <w:ind w:firstLine="709"/>
        <w:rPr>
          <w:sz w:val="28"/>
          <w:szCs w:val="28"/>
        </w:rPr>
      </w:pPr>
      <w:r w:rsidRPr="00E678B3">
        <w:rPr>
          <w:sz w:val="28"/>
          <w:szCs w:val="28"/>
        </w:rPr>
        <w:t xml:space="preserve">Видовая идентификация </w:t>
      </w:r>
      <w:r w:rsidR="007A7888" w:rsidRPr="007A7888">
        <w:rPr>
          <w:i/>
          <w:sz w:val="28"/>
          <w:szCs w:val="28"/>
        </w:rPr>
        <w:t>S. aureus</w:t>
      </w:r>
      <w:r w:rsidRPr="00E678B3">
        <w:rPr>
          <w:sz w:val="28"/>
          <w:szCs w:val="28"/>
        </w:rPr>
        <w:t xml:space="preserve"> с применением системы идентификации STAPHYtest 24. Из суточной культуры, выросшей на кровяном агаре готовили суспензию в физиологическом растворе. Гомогенизировали до мутности второй степени по шкале McFarland. Для проверки чистоты культур, делали посев на кровяной агар. Вносили по 100 мкл суспензии во все лунки соответствующего трехрядного стрипа. Далее, в лунки H (уреаза), G (аргинин), </w:t>
      </w:r>
      <w:r w:rsidRPr="00E678B3">
        <w:rPr>
          <w:sz w:val="28"/>
          <w:szCs w:val="28"/>
        </w:rPr>
        <w:lastRenderedPageBreak/>
        <w:t>F (орнитин) первого ряда вносили по две капли парафинового масла. Инкубировали при 37°С в течение суток. Затем проверяли чистоту культур контрольных посевов на кровяном агаре (оценка резистентности с новобиоцином). Интерпретацию результатов проводили согласно таблице в руководстве к системе идентификации STAPHYtest 24.</w:t>
      </w:r>
    </w:p>
    <w:p w:rsidR="00E678B3" w:rsidRPr="00E678B3" w:rsidRDefault="00E678B3" w:rsidP="00F0107A">
      <w:pPr>
        <w:ind w:firstLine="709"/>
        <w:rPr>
          <w:sz w:val="28"/>
          <w:szCs w:val="28"/>
        </w:rPr>
      </w:pPr>
      <w:r w:rsidRPr="00E678B3">
        <w:rPr>
          <w:sz w:val="28"/>
          <w:szCs w:val="28"/>
        </w:rPr>
        <w:t>Тестирование на чувствительность к антибиотикам</w:t>
      </w:r>
    </w:p>
    <w:p w:rsidR="00E678B3" w:rsidRPr="00E678B3" w:rsidRDefault="00E678B3" w:rsidP="00F0107A">
      <w:pPr>
        <w:ind w:firstLine="709"/>
        <w:rPr>
          <w:sz w:val="28"/>
          <w:szCs w:val="28"/>
        </w:rPr>
      </w:pPr>
      <w:r w:rsidRPr="00E678B3">
        <w:rPr>
          <w:sz w:val="28"/>
          <w:szCs w:val="28"/>
        </w:rPr>
        <w:t>Исследования по изучению антибиотикорезистентности проводили с использованием диско-диффузного (ДД) метода на среде Мюллера-Хинтона (MHA, Merck, Германия) согласно МУК 4.2.1890—04 МУ 4.2. «Методы контроля. Биологические и микробиологические факторы. Определение чувствительности микроорганизмов к антибактериальным препаратам», а интерпретацию результатов согласно рекомендациям EUCAST (Европейское агентство по клинической микробиологии и антимикробной химиотерапии), версия 9.0. [379-382].</w:t>
      </w:r>
    </w:p>
    <w:p w:rsidR="00E678B3" w:rsidRPr="00E678B3" w:rsidRDefault="00E678B3" w:rsidP="00F0107A">
      <w:pPr>
        <w:ind w:firstLine="709"/>
        <w:rPr>
          <w:sz w:val="28"/>
          <w:szCs w:val="28"/>
        </w:rPr>
      </w:pPr>
      <w:r w:rsidRPr="00E678B3">
        <w:rPr>
          <w:sz w:val="28"/>
          <w:szCs w:val="28"/>
        </w:rPr>
        <w:t>Для проведения исследования использовали среду Мюллера-Хинтона (MHA) согласно инструкции производителя: заполняли чашки толщиной слоя агара 4,0±0,5 мм, оставляли для застывания при комнатной температуре.</w:t>
      </w:r>
    </w:p>
    <w:p w:rsidR="00E678B3" w:rsidRPr="00E678B3" w:rsidRDefault="00E678B3" w:rsidP="00F0107A">
      <w:pPr>
        <w:ind w:firstLine="709"/>
        <w:rPr>
          <w:sz w:val="28"/>
          <w:szCs w:val="28"/>
        </w:rPr>
      </w:pPr>
      <w:r w:rsidRPr="00E678B3">
        <w:rPr>
          <w:sz w:val="28"/>
          <w:szCs w:val="28"/>
        </w:rPr>
        <w:t xml:space="preserve"> Диски с антибиотиками: ампициллин (10 мкг), амоксициллин (25 мкг), бензилпенициллин (10 ЕД), стрептомицин (10 мкг), цефоперазон (75 мкг), цефокситин (30 мкг), канамицин (30 мкг), неомицин (30 мкг), гентамицин (120 мкг), тетрациклин (30 мкг), доксициклин (30 мкг), ципрофлоксацин (5 мкг), норфлоксацин (10 мкг), эритромицин (15 мкг), тилозин (15 мкг) сульфаметокзол с триметопримом (1,25/23,75).</w:t>
      </w:r>
    </w:p>
    <w:p w:rsidR="00961C73" w:rsidRDefault="00E678B3" w:rsidP="00F0107A">
      <w:pPr>
        <w:ind w:firstLine="709"/>
        <w:rPr>
          <w:sz w:val="28"/>
          <w:szCs w:val="28"/>
        </w:rPr>
      </w:pPr>
      <w:r w:rsidRPr="00E678B3">
        <w:rPr>
          <w:sz w:val="28"/>
          <w:szCs w:val="28"/>
        </w:rPr>
        <w:t xml:space="preserve">Для подготовки стандартизированных культур </w:t>
      </w:r>
      <w:r w:rsidR="007A7888" w:rsidRPr="007A7888">
        <w:rPr>
          <w:i/>
          <w:sz w:val="28"/>
          <w:szCs w:val="28"/>
        </w:rPr>
        <w:t>S. aureus</w:t>
      </w:r>
      <w:r w:rsidRPr="00E678B3">
        <w:rPr>
          <w:sz w:val="28"/>
          <w:szCs w:val="28"/>
        </w:rPr>
        <w:t xml:space="preserve">, готовили инокулюм: брали суточную культуру </w:t>
      </w:r>
      <w:r w:rsidR="007A7888" w:rsidRPr="007A7888">
        <w:rPr>
          <w:i/>
          <w:sz w:val="28"/>
          <w:szCs w:val="28"/>
        </w:rPr>
        <w:t>S. aureus</w:t>
      </w:r>
      <w:r w:rsidRPr="00E678B3">
        <w:rPr>
          <w:sz w:val="28"/>
          <w:szCs w:val="28"/>
        </w:rPr>
        <w:t xml:space="preserve">, выросшую на плотных средах, </w:t>
      </w:r>
      <w:r w:rsidR="00A106E4" w:rsidRPr="00A106E4">
        <w:rPr>
          <w:sz w:val="28"/>
          <w:szCs w:val="28"/>
        </w:rPr>
        <w:t xml:space="preserve">обеспечивающих </w:t>
      </w:r>
      <w:r w:rsidRPr="00E678B3">
        <w:rPr>
          <w:sz w:val="28"/>
          <w:szCs w:val="28"/>
        </w:rPr>
        <w:t>активный рост микроорганизмов и формирование достаточного количества клеток. Бактериальной петлей переносили незначительное количество материала с верхушек колоний в пробирку. Перенесенный материал добавляется в пробирку со стерильным физиологическим раствором. Это раствор, содержащий натрий хлорид в концентрации, соответствующей физиологическому раствору в организме. На поверхность MHA наносили культуру микроорганизмов в объеме 1-2 мл, равномерно распределяя по поверхности. Избыток инокулюма удаляли пипеткой. На поверхность среды помещали диски, пропитанные известными концентрациями антибиотиков. Расстояние между дисками и краем чашки 15-20 мм. Чашки-Петри инкубировали при температуре 35°С в течение суток, дно обращено вверх. Зоны ингибирования (зоны задержки роста) измеряли вокруг каждого диска с точностью до 1 мм, ориентируясь на зоны полного подавления роста (рисунок 5, 6).</w:t>
      </w:r>
    </w:p>
    <w:p w:rsidR="00E678B3" w:rsidRPr="00E678B3" w:rsidRDefault="00E678B3" w:rsidP="00E678B3">
      <w:pPr>
        <w:rPr>
          <w:sz w:val="28"/>
          <w:szCs w:val="28"/>
        </w:rPr>
      </w:pPr>
    </w:p>
    <w:p w:rsidR="00E678B3" w:rsidRPr="00E678B3" w:rsidRDefault="00E678B3" w:rsidP="00F0107A">
      <w:pPr>
        <w:jc w:val="center"/>
        <w:rPr>
          <w:sz w:val="28"/>
          <w:szCs w:val="28"/>
        </w:rPr>
      </w:pPr>
      <w:r w:rsidRPr="00E678B3">
        <w:rPr>
          <w:noProof/>
          <w:sz w:val="28"/>
          <w:szCs w:val="28"/>
          <w:lang w:eastAsia="ru-RU"/>
        </w:rPr>
        <w:lastRenderedPageBreak/>
        <w:drawing>
          <wp:inline distT="0" distB="0" distL="0" distR="0" wp14:anchorId="659818FF" wp14:editId="1703C974">
            <wp:extent cx="3992322" cy="1337281"/>
            <wp:effectExtent l="0" t="0" r="0" b="0"/>
            <wp:docPr id="3" name="Рисунок 3" descr="C:\Users\User\Моноблок\Байменов\2025 год\докторантура\материалы и методы\Рисунки\Рисунок 12 – Тестирование на антибиотикорезистент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Рисунки\Рисунок 12 – Тестирование на антибиотикорезистентность.tiff"/>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152227" cy="1390843"/>
                    </a:xfrm>
                    <a:prstGeom prst="rect">
                      <a:avLst/>
                    </a:prstGeom>
                    <a:noFill/>
                    <a:ln>
                      <a:noFill/>
                    </a:ln>
                  </pic:spPr>
                </pic:pic>
              </a:graphicData>
            </a:graphic>
          </wp:inline>
        </w:drawing>
      </w:r>
    </w:p>
    <w:p w:rsidR="00E678B3" w:rsidRPr="00E678B3" w:rsidRDefault="00E678B3" w:rsidP="00F0107A">
      <w:pPr>
        <w:jc w:val="center"/>
        <w:rPr>
          <w:sz w:val="28"/>
          <w:szCs w:val="28"/>
        </w:rPr>
      </w:pPr>
      <w:r w:rsidRPr="00E678B3">
        <w:rPr>
          <w:sz w:val="28"/>
          <w:szCs w:val="28"/>
        </w:rPr>
        <w:t>Рисунок 5 – Тестирование на антибиотикорезистентность</w:t>
      </w:r>
    </w:p>
    <w:p w:rsidR="00E678B3" w:rsidRPr="00E678B3" w:rsidRDefault="00E678B3" w:rsidP="00F0107A">
      <w:pPr>
        <w:jc w:val="center"/>
        <w:rPr>
          <w:sz w:val="28"/>
          <w:szCs w:val="28"/>
        </w:rPr>
      </w:pPr>
    </w:p>
    <w:p w:rsidR="00E678B3" w:rsidRPr="00E678B3" w:rsidRDefault="00E678B3" w:rsidP="00F0107A">
      <w:pPr>
        <w:jc w:val="center"/>
        <w:rPr>
          <w:sz w:val="28"/>
          <w:szCs w:val="28"/>
        </w:rPr>
      </w:pPr>
      <w:r w:rsidRPr="00E678B3">
        <w:rPr>
          <w:noProof/>
          <w:sz w:val="28"/>
          <w:szCs w:val="28"/>
          <w:lang w:eastAsia="ru-RU"/>
        </w:rPr>
        <w:drawing>
          <wp:inline distT="0" distB="0" distL="0" distR="0" wp14:anchorId="07542051" wp14:editId="4168673E">
            <wp:extent cx="3968641" cy="1890047"/>
            <wp:effectExtent l="0" t="0" r="0" b="0"/>
            <wp:docPr id="64" name="Рисунок 64" descr="C:\Users\User\Моноблок\Байменов\2025 год\докторантура\материалы и методы\Фото\Рисунок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Моноблок\Байменов\2025 год\докторантура\материалы и методы\Фото\Рисунок 4.tiff"/>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258197" cy="2027947"/>
                    </a:xfrm>
                    <a:prstGeom prst="rect">
                      <a:avLst/>
                    </a:prstGeom>
                    <a:noFill/>
                    <a:ln>
                      <a:noFill/>
                    </a:ln>
                  </pic:spPr>
                </pic:pic>
              </a:graphicData>
            </a:graphic>
          </wp:inline>
        </w:drawing>
      </w:r>
    </w:p>
    <w:p w:rsidR="00E678B3" w:rsidRDefault="00E678B3" w:rsidP="00F0107A">
      <w:pPr>
        <w:jc w:val="center"/>
        <w:rPr>
          <w:sz w:val="28"/>
          <w:szCs w:val="28"/>
        </w:rPr>
      </w:pPr>
      <w:r w:rsidRPr="00E678B3">
        <w:rPr>
          <w:sz w:val="28"/>
          <w:szCs w:val="28"/>
        </w:rPr>
        <w:t xml:space="preserve">Рисунок 6 – Зоны ингибирования </w:t>
      </w:r>
      <w:r w:rsidR="007A7888" w:rsidRPr="007A7888">
        <w:rPr>
          <w:i/>
          <w:sz w:val="28"/>
          <w:szCs w:val="28"/>
        </w:rPr>
        <w:t>S. aureus</w:t>
      </w:r>
      <w:r w:rsidRPr="00E678B3">
        <w:rPr>
          <w:sz w:val="28"/>
          <w:szCs w:val="28"/>
        </w:rPr>
        <w:t xml:space="preserve"> на среде Мюллера-Хинтона</w:t>
      </w:r>
    </w:p>
    <w:p w:rsidR="00E678B3" w:rsidRPr="00E678B3" w:rsidRDefault="00E678B3" w:rsidP="00E678B3">
      <w:pPr>
        <w:rPr>
          <w:sz w:val="28"/>
          <w:szCs w:val="28"/>
        </w:rPr>
      </w:pPr>
    </w:p>
    <w:p w:rsidR="00E678B3" w:rsidRDefault="00E678B3" w:rsidP="00F0107A">
      <w:pPr>
        <w:ind w:firstLine="709"/>
        <w:rPr>
          <w:sz w:val="28"/>
          <w:szCs w:val="28"/>
        </w:rPr>
      </w:pPr>
      <w:r w:rsidRPr="00E678B3">
        <w:rPr>
          <w:sz w:val="28"/>
          <w:szCs w:val="28"/>
        </w:rPr>
        <w:t>Интерпретацию результатов осуществляли согласно рекомендациям EUCAST.</w:t>
      </w:r>
    </w:p>
    <w:p w:rsidR="00FE1507" w:rsidRPr="00E678B3" w:rsidRDefault="00FE1507" w:rsidP="00F0107A">
      <w:pPr>
        <w:ind w:firstLine="709"/>
        <w:rPr>
          <w:sz w:val="28"/>
          <w:szCs w:val="28"/>
        </w:rPr>
      </w:pPr>
    </w:p>
    <w:p w:rsidR="00E678B3" w:rsidRPr="00FE1507" w:rsidRDefault="00E678B3" w:rsidP="00F0107A">
      <w:pPr>
        <w:ind w:firstLine="709"/>
        <w:rPr>
          <w:sz w:val="28"/>
          <w:szCs w:val="28"/>
        </w:rPr>
      </w:pPr>
      <w:r w:rsidRPr="00FE1507">
        <w:rPr>
          <w:sz w:val="28"/>
          <w:szCs w:val="28"/>
        </w:rPr>
        <w:t>2.1.3 Молекулярно-генетические исследования</w:t>
      </w:r>
    </w:p>
    <w:p w:rsidR="00E678B3" w:rsidRPr="00E678B3" w:rsidRDefault="00E678B3" w:rsidP="00F0107A">
      <w:pPr>
        <w:ind w:firstLine="709"/>
        <w:rPr>
          <w:sz w:val="28"/>
          <w:szCs w:val="28"/>
        </w:rPr>
      </w:pPr>
      <w:r w:rsidRPr="00E678B3">
        <w:rPr>
          <w:sz w:val="28"/>
          <w:szCs w:val="28"/>
        </w:rPr>
        <w:t>Поиск генов-мишеней и локусов антибиотикорезистентности</w:t>
      </w:r>
    </w:p>
    <w:p w:rsidR="00E678B3" w:rsidRPr="00E678B3" w:rsidRDefault="00E678B3" w:rsidP="00F0107A">
      <w:pPr>
        <w:ind w:firstLine="709"/>
        <w:rPr>
          <w:sz w:val="28"/>
          <w:szCs w:val="28"/>
        </w:rPr>
      </w:pPr>
      <w:r w:rsidRPr="00E678B3">
        <w:rPr>
          <w:sz w:val="28"/>
          <w:szCs w:val="28"/>
        </w:rPr>
        <w:t>Поиск последовательностей генов, к которым необходимы праймеры, проводили в биоинформационной базе данных NСBI (https://www.ncbi.nlm.nih.gov/). Проанализировав результаты поиска, которые включают в себя ссылки на доступные последовательности и другую связанную информацию, выбирали наиболее подходящие данные в зависимости от наших задач [383, 384].</w:t>
      </w:r>
    </w:p>
    <w:p w:rsidR="00E678B3" w:rsidRPr="00E678B3" w:rsidRDefault="00E678B3" w:rsidP="00F0107A">
      <w:pPr>
        <w:ind w:firstLine="709"/>
        <w:rPr>
          <w:sz w:val="28"/>
          <w:szCs w:val="28"/>
        </w:rPr>
      </w:pPr>
      <w:r w:rsidRPr="00E678B3">
        <w:rPr>
          <w:sz w:val="28"/>
          <w:szCs w:val="28"/>
        </w:rPr>
        <w:t>Дизайн и синтез праймеров и флуоресцентно-меченых зондов</w:t>
      </w:r>
    </w:p>
    <w:p w:rsidR="00E678B3" w:rsidRPr="00E678B3" w:rsidRDefault="00E678B3" w:rsidP="00F0107A">
      <w:pPr>
        <w:ind w:firstLine="709"/>
        <w:rPr>
          <w:sz w:val="28"/>
          <w:szCs w:val="28"/>
        </w:rPr>
      </w:pPr>
      <w:r w:rsidRPr="00E678B3">
        <w:rPr>
          <w:sz w:val="28"/>
          <w:szCs w:val="28"/>
        </w:rPr>
        <w:t>Праймеры к целевым последовательностям генов подбирались с помощью инструмента «Primer-BLAST» NCBI [382,</w:t>
      </w:r>
      <w:r w:rsidR="00057D24">
        <w:rPr>
          <w:sz w:val="28"/>
          <w:szCs w:val="28"/>
        </w:rPr>
        <w:t xml:space="preserve"> с. </w:t>
      </w:r>
      <w:r w:rsidR="00057D24" w:rsidRPr="00057D24">
        <w:rPr>
          <w:sz w:val="28"/>
          <w:szCs w:val="28"/>
        </w:rPr>
        <w:t>1816</w:t>
      </w:r>
      <w:r w:rsidR="007E1CC3">
        <w:rPr>
          <w:sz w:val="28"/>
          <w:szCs w:val="28"/>
        </w:rPr>
        <w:t>;</w:t>
      </w:r>
      <w:r w:rsidRPr="00E678B3">
        <w:rPr>
          <w:sz w:val="28"/>
          <w:szCs w:val="28"/>
        </w:rPr>
        <w:t xml:space="preserve"> 384</w:t>
      </w:r>
      <w:r w:rsidR="007E1CC3">
        <w:rPr>
          <w:sz w:val="28"/>
          <w:szCs w:val="28"/>
        </w:rPr>
        <w:t>, с. 10; 385</w:t>
      </w:r>
      <w:r w:rsidRPr="00E678B3">
        <w:rPr>
          <w:sz w:val="28"/>
          <w:szCs w:val="28"/>
        </w:rPr>
        <w:t>-386].</w:t>
      </w:r>
    </w:p>
    <w:p w:rsidR="00E678B3" w:rsidRPr="00E678B3" w:rsidRDefault="00E678B3" w:rsidP="00F0107A">
      <w:pPr>
        <w:ind w:firstLine="709"/>
        <w:rPr>
          <w:sz w:val="28"/>
          <w:szCs w:val="28"/>
        </w:rPr>
      </w:pPr>
      <w:r w:rsidRPr="00E678B3">
        <w:rPr>
          <w:sz w:val="28"/>
          <w:szCs w:val="28"/>
        </w:rPr>
        <w:t>Primer-BLAST позволяет учесть специфичность праймеров, регулировать параметры, такие как максимальное количество несовпадений с шаблоном, чтобы обеспечить высокую специфичность. Важно проверить, что выбранные праймеры не показывают гомологии с другими участками генома, чтобы избежать нежелательной амплификации.</w:t>
      </w:r>
    </w:p>
    <w:p w:rsidR="00E678B3" w:rsidRPr="00E678B3" w:rsidRDefault="00E678B3" w:rsidP="00F0107A">
      <w:pPr>
        <w:ind w:firstLine="709"/>
        <w:rPr>
          <w:sz w:val="28"/>
          <w:szCs w:val="28"/>
        </w:rPr>
      </w:pPr>
      <w:r w:rsidRPr="00E678B3">
        <w:rPr>
          <w:sz w:val="28"/>
          <w:szCs w:val="28"/>
        </w:rPr>
        <w:t xml:space="preserve">Анализ и оценку свойств, подобранных олигонуклеотидов (праймеров и прочих коротких одноцепочечных последовательностей) производили с помощью онлайн-инструмента «OligoAnalyzer Tool» (https://eu.idtdna.com/calc/analyzer). Здесь производили расчет температуры </w:t>
      </w:r>
      <w:r w:rsidRPr="00E678B3">
        <w:rPr>
          <w:sz w:val="28"/>
          <w:szCs w:val="28"/>
        </w:rPr>
        <w:lastRenderedPageBreak/>
        <w:t>плавления (Tm) для олигонуклеотидов в различных условиях (например, в присутствии магния), оценку содержания GC- и AT-оснований, анализ возможных структурных особенностей, таких как образование G-образных структур, поиск гомологичных последовательностей в базе данных, оценку свойств гибридизации олигонуклеотида с комплементарной последовательностью, оценку эффективности олигонуклеотида для использования в ПЦР [385,</w:t>
      </w:r>
      <w:r w:rsidR="007E1CC3">
        <w:rPr>
          <w:sz w:val="28"/>
          <w:szCs w:val="28"/>
        </w:rPr>
        <w:t xml:space="preserve"> с. 10;</w:t>
      </w:r>
      <w:r w:rsidRPr="00E678B3">
        <w:rPr>
          <w:sz w:val="28"/>
          <w:szCs w:val="28"/>
        </w:rPr>
        <w:t xml:space="preserve"> 387-389].</w:t>
      </w:r>
    </w:p>
    <w:p w:rsidR="00E678B3" w:rsidRPr="00E678B3" w:rsidRDefault="00E678B3" w:rsidP="00F0107A">
      <w:pPr>
        <w:ind w:firstLine="709"/>
        <w:rPr>
          <w:sz w:val="28"/>
          <w:szCs w:val="28"/>
        </w:rPr>
      </w:pPr>
      <w:r w:rsidRPr="00E678B3">
        <w:rPr>
          <w:sz w:val="28"/>
          <w:szCs w:val="28"/>
        </w:rPr>
        <w:t xml:space="preserve">Химический синтез олигонуклеотидов с заданной последовательностью (праймеры и зонды) для идентификации </w:t>
      </w:r>
      <w:r w:rsidR="007A7888" w:rsidRPr="007A7888">
        <w:rPr>
          <w:i/>
          <w:sz w:val="28"/>
          <w:szCs w:val="28"/>
        </w:rPr>
        <w:t>S. aureus</w:t>
      </w:r>
      <w:r w:rsidRPr="00E678B3">
        <w:rPr>
          <w:sz w:val="28"/>
          <w:szCs w:val="28"/>
        </w:rPr>
        <w:t xml:space="preserve">, а также локусов, связанных с их антибиотикорезистентностью произведен в ТОО «Национальный центр биотехнологии» (НЦБ). </w:t>
      </w:r>
    </w:p>
    <w:p w:rsidR="00E678B3" w:rsidRPr="00E678B3" w:rsidRDefault="00E678B3" w:rsidP="00F0107A">
      <w:pPr>
        <w:ind w:firstLine="709"/>
        <w:rPr>
          <w:sz w:val="28"/>
          <w:szCs w:val="28"/>
        </w:rPr>
      </w:pPr>
      <w:r w:rsidRPr="00E678B3">
        <w:rPr>
          <w:sz w:val="28"/>
          <w:szCs w:val="28"/>
        </w:rPr>
        <w:t>Выделение ДНК</w:t>
      </w:r>
      <w:r w:rsidR="00FE1507">
        <w:rPr>
          <w:sz w:val="28"/>
          <w:szCs w:val="28"/>
        </w:rPr>
        <w:t xml:space="preserve">. </w:t>
      </w:r>
      <w:r w:rsidRPr="00E678B3">
        <w:rPr>
          <w:sz w:val="28"/>
          <w:szCs w:val="28"/>
        </w:rPr>
        <w:t xml:space="preserve">В целях определения наиболее эффективного метода экстракции ДНК, ДНК </w:t>
      </w:r>
      <w:r w:rsidR="007A7888" w:rsidRPr="007A7888">
        <w:rPr>
          <w:i/>
          <w:sz w:val="28"/>
          <w:szCs w:val="28"/>
        </w:rPr>
        <w:t>S. aureus</w:t>
      </w:r>
      <w:r w:rsidRPr="00E678B3">
        <w:rPr>
          <w:sz w:val="28"/>
          <w:szCs w:val="28"/>
        </w:rPr>
        <w:t xml:space="preserve"> выделяли тремя различными методами: термического лизиса (кипячения); связывания ДНК на силикагеле (диоксид кремния (SiO₂) ГК «Крисмал+» (Санкт-Петербург)); коммерческого набора «Проба-ГС» («Агро Диагностика» Москва, Россия»).</w:t>
      </w:r>
    </w:p>
    <w:p w:rsidR="00E678B3" w:rsidRPr="00E678B3" w:rsidRDefault="00E678B3" w:rsidP="00F0107A">
      <w:pPr>
        <w:ind w:firstLine="709"/>
        <w:rPr>
          <w:sz w:val="28"/>
          <w:szCs w:val="28"/>
        </w:rPr>
      </w:pPr>
      <w:r w:rsidRPr="00E678B3">
        <w:rPr>
          <w:sz w:val="28"/>
          <w:szCs w:val="28"/>
        </w:rPr>
        <w:t xml:space="preserve">Для обеспечения одинаковых условий для всех методов и сведения возможной ошибки при наборе материала, исследование проводили в трех повторах выводя среднее арифметическое, а извлечение ДНК производили из </w:t>
      </w:r>
      <w:r w:rsidR="00A106E4" w:rsidRPr="00A106E4">
        <w:rPr>
          <w:sz w:val="28"/>
          <w:szCs w:val="28"/>
        </w:rPr>
        <w:t>одной колонии</w:t>
      </w:r>
      <w:r w:rsidRPr="00E678B3">
        <w:rPr>
          <w:sz w:val="28"/>
          <w:szCs w:val="28"/>
        </w:rPr>
        <w:t>. Степень чистоты и концентрацию ДНК измеряли на бескюветном спектрофотометре Halo DNAmaster (Dynamica Scientific Ltd., Лондон, Великобритания).</w:t>
      </w:r>
    </w:p>
    <w:p w:rsidR="00E678B3" w:rsidRPr="00E678B3" w:rsidRDefault="00E678B3" w:rsidP="00F0107A">
      <w:pPr>
        <w:ind w:firstLine="709"/>
        <w:rPr>
          <w:sz w:val="28"/>
          <w:szCs w:val="28"/>
        </w:rPr>
      </w:pPr>
      <w:r w:rsidRPr="00E678B3">
        <w:rPr>
          <w:sz w:val="28"/>
          <w:szCs w:val="28"/>
        </w:rPr>
        <w:t xml:space="preserve">Метод термического лизиса. В пробирку с 400 мкл MQ воды с помощью одноразовой петли добавляли несколько колоний </w:t>
      </w:r>
      <w:r w:rsidR="007A7888" w:rsidRPr="007A7888">
        <w:rPr>
          <w:i/>
          <w:sz w:val="28"/>
          <w:szCs w:val="28"/>
        </w:rPr>
        <w:t>S. aureus</w:t>
      </w:r>
      <w:r w:rsidRPr="00E678B3">
        <w:rPr>
          <w:sz w:val="28"/>
          <w:szCs w:val="28"/>
        </w:rPr>
        <w:t xml:space="preserve"> с плотной питательной среды и перемешивали на вортексе. Лизис производили при температуре 100°С в течение 10 минут периодически встряхивая на вортексе. Далее для быстрой остановки денатурации белков и предотвращения деградации ДНК, пробы резко охлаждали, помещая в гелевую плашку, предварительно замороженную в морозильной камере. Охлажденные пробы центрифугировали при 10 000 об/мин в течение 10 мин. Супернатант переносили в чистую пробирку в объеме 100 мкл.</w:t>
      </w:r>
    </w:p>
    <w:p w:rsidR="00E678B3" w:rsidRPr="00E678B3" w:rsidRDefault="00E678B3" w:rsidP="00F0107A">
      <w:pPr>
        <w:ind w:firstLine="709"/>
        <w:rPr>
          <w:sz w:val="28"/>
          <w:szCs w:val="28"/>
        </w:rPr>
      </w:pPr>
      <w:r w:rsidRPr="00E678B3">
        <w:rPr>
          <w:sz w:val="28"/>
          <w:szCs w:val="28"/>
        </w:rPr>
        <w:t xml:space="preserve">Метод связывания ДНК на силикагеле. Несколько колоний </w:t>
      </w:r>
      <w:r w:rsidR="007A7888" w:rsidRPr="007A7888">
        <w:rPr>
          <w:i/>
          <w:sz w:val="28"/>
          <w:szCs w:val="28"/>
        </w:rPr>
        <w:t>S. aureus</w:t>
      </w:r>
      <w:r w:rsidRPr="00E678B3">
        <w:rPr>
          <w:sz w:val="28"/>
          <w:szCs w:val="28"/>
        </w:rPr>
        <w:t xml:space="preserve"> с плотной питательной среды разбавляли в 500 мкл стерилизованного физиологического раствора и центрифугировали при 10 000 об/мин. Супернатант удаляли, к осадку добавляли 300 мкл лизирующего раствора (тиоцианат гуанидина – 3М; этилендиаминтетрауксусная кислота – 20мМ; Трис-HCl – 10мМ с pH 6,8; Тритон X-100 – 40 мг/мл; DL-Дитиотреитола – 10 мг/мл), 200 мкл связывающего раствора (40 мг/мл диоксида, суспендированного в лизирующем буфере). Перемешивали на вортексе и лизировали при комнатной температуре в течение пяти минут. Лизат центрифугировали при 10 000 об/мин 30 сек. Удаляли супернатант и для очистки нуклеиновых кислот, к осадку добавляли 200 мкл промывочного раствора – 25% изопропанола, 25% абсолютного этанола, 10 мМ Трис-HCl с pH 8 и 100 мМ NaCl. Встряхивали на вортексе и центрифугировали при 10 000 </w:t>
      </w:r>
      <w:r w:rsidRPr="00E678B3">
        <w:rPr>
          <w:sz w:val="28"/>
          <w:szCs w:val="28"/>
        </w:rPr>
        <w:lastRenderedPageBreak/>
        <w:t>об/мин 30 сек. Удаляли супернатант, осадок промывали добавлением 200 мкл высокочистого этанола, встряхивали на вортексе и центрифугировали 10 000 об/мин 30 сек. Супернатант удаляли и инкубировали пробирки с открытыми крышками при 37°С 10 минут до полного высыхания.</w:t>
      </w:r>
    </w:p>
    <w:p w:rsidR="00E678B3" w:rsidRPr="00E678B3" w:rsidRDefault="00E678B3" w:rsidP="00F0107A">
      <w:pPr>
        <w:ind w:firstLine="709"/>
        <w:rPr>
          <w:sz w:val="28"/>
          <w:szCs w:val="28"/>
        </w:rPr>
      </w:pPr>
      <w:r w:rsidRPr="00E678B3">
        <w:rPr>
          <w:sz w:val="28"/>
          <w:szCs w:val="28"/>
        </w:rPr>
        <w:t>Выделение ДНК с помощью коммерческого набора «Проба-ГС». Метод экстракции ДНК у данного набора реагентов основан на использовании сильного хаотропного агента гуанидин тиоционата (GuSCN) который хорошо разрушает клеточные оболочки. Сорбция ДНК осуществляется на таких носителях, как стеклянные бусы, диатомовая земля, стеклянное «молоко» и т.д. После этапа отмывок, ДНК, сорбированная на носителе, легко снимается с помощью элюирующего раствора.</w:t>
      </w:r>
    </w:p>
    <w:p w:rsidR="00E678B3" w:rsidRPr="00E678B3" w:rsidRDefault="00E678B3" w:rsidP="00F0107A">
      <w:pPr>
        <w:ind w:firstLine="709"/>
        <w:rPr>
          <w:sz w:val="28"/>
          <w:szCs w:val="28"/>
        </w:rPr>
      </w:pPr>
      <w:r w:rsidRPr="00E678B3">
        <w:rPr>
          <w:sz w:val="28"/>
          <w:szCs w:val="28"/>
        </w:rPr>
        <w:t>Оптимизация параметров ПЦР</w:t>
      </w:r>
      <w:r w:rsidR="00FE1507">
        <w:rPr>
          <w:sz w:val="28"/>
          <w:szCs w:val="28"/>
        </w:rPr>
        <w:t xml:space="preserve">. </w:t>
      </w:r>
      <w:r w:rsidRPr="00E678B3">
        <w:rPr>
          <w:sz w:val="28"/>
          <w:szCs w:val="28"/>
        </w:rPr>
        <w:t>Отработку и оптимизацию параметров ПЦР проводили с использованием системы QuantStudio 5 (Applied Biosystems) для проведения ПЦР в режиме реального времени. Прибор обладает усовершенствованной оптической системой OptiPlex и блоком VeriFlex (шесть отдельных температурных зон для точного контроля оптимизации ПЦР).</w:t>
      </w:r>
    </w:p>
    <w:p w:rsidR="00E678B3" w:rsidRPr="00E678B3" w:rsidRDefault="00E678B3" w:rsidP="00F0107A">
      <w:pPr>
        <w:ind w:firstLine="709"/>
        <w:rPr>
          <w:sz w:val="28"/>
          <w:szCs w:val="28"/>
        </w:rPr>
      </w:pPr>
      <w:r w:rsidRPr="00E678B3">
        <w:rPr>
          <w:sz w:val="28"/>
          <w:szCs w:val="28"/>
        </w:rPr>
        <w:t>Приготовление рабочих растворов праймеров и флуоресцентно меченых зондов</w:t>
      </w:r>
    </w:p>
    <w:p w:rsidR="00E678B3" w:rsidRDefault="00E678B3" w:rsidP="00F0107A">
      <w:pPr>
        <w:ind w:firstLine="709"/>
        <w:rPr>
          <w:sz w:val="28"/>
          <w:szCs w:val="28"/>
        </w:rPr>
      </w:pPr>
      <w:r w:rsidRPr="00E678B3">
        <w:rPr>
          <w:sz w:val="28"/>
          <w:szCs w:val="28"/>
        </w:rPr>
        <w:t>Для получения рабочих растворов праймеров и флуоресцентно меченых зондов требуемой концентрации 100 мкМ/л, использовали следующую формулу (1):</w:t>
      </w:r>
    </w:p>
    <w:p w:rsidR="00E678B3" w:rsidRDefault="00E678B3" w:rsidP="00E678B3">
      <w:pPr>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7"/>
        <w:gridCol w:w="3354"/>
        <w:gridCol w:w="3137"/>
      </w:tblGrid>
      <w:tr w:rsidR="00F00269" w:rsidRPr="00F00269" w:rsidTr="00193E25">
        <w:tc>
          <w:tcPr>
            <w:tcW w:w="3137" w:type="dxa"/>
          </w:tcPr>
          <w:p w:rsidR="00F00269" w:rsidRPr="00F00269" w:rsidRDefault="00F00269" w:rsidP="00F00269">
            <w:pPr>
              <w:rPr>
                <w:sz w:val="28"/>
                <w:szCs w:val="28"/>
              </w:rPr>
            </w:pPr>
          </w:p>
        </w:tc>
        <w:tc>
          <w:tcPr>
            <w:tcW w:w="3354" w:type="dxa"/>
            <w:vAlign w:val="center"/>
          </w:tcPr>
          <w:p w:rsidR="00F00269" w:rsidRPr="00F00269" w:rsidRDefault="00F00269" w:rsidP="00F00269">
            <w:pPr>
              <w:rPr>
                <w:rFonts w:cs="Times New Roman"/>
                <w:sz w:val="28"/>
                <w:szCs w:val="28"/>
              </w:rPr>
            </w:pPr>
            <w:r w:rsidRPr="00F00269">
              <w:rPr>
                <w:rFonts w:cs="Times New Roman"/>
                <w:sz w:val="28"/>
                <w:szCs w:val="28"/>
              </w:rPr>
              <w:t>V р−ра</w:t>
            </w:r>
            <m:oMath>
              <m:r>
                <m:rPr>
                  <m:nor/>
                </m:rPr>
                <w:rPr>
                  <w:rFonts w:cs="Times New Roman"/>
                  <w:sz w:val="28"/>
                  <w:szCs w:val="28"/>
                </w:rPr>
                <m:t>=</m:t>
              </m:r>
              <m:f>
                <m:fPr>
                  <m:ctrlPr>
                    <w:rPr>
                      <w:rFonts w:ascii="Cambria Math" w:hAnsi="Cambria Math" w:cs="Times New Roman"/>
                      <w:sz w:val="28"/>
                      <w:szCs w:val="28"/>
                    </w:rPr>
                  </m:ctrlPr>
                </m:fPr>
                <m:num>
                  <m:r>
                    <m:rPr>
                      <m:nor/>
                    </m:rPr>
                    <w:rPr>
                      <w:rFonts w:cs="Times New Roman"/>
                      <w:sz w:val="28"/>
                      <w:szCs w:val="28"/>
                    </w:rPr>
                    <m:t>n</m:t>
                  </m:r>
                </m:num>
                <m:den>
                  <m:r>
                    <m:rPr>
                      <m:nor/>
                    </m:rPr>
                    <w:rPr>
                      <w:rFonts w:cs="Times New Roman"/>
                      <w:sz w:val="28"/>
                      <w:szCs w:val="28"/>
                    </w:rPr>
                    <m:t>Cn</m:t>
                  </m:r>
                </m:den>
              </m:f>
            </m:oMath>
          </w:p>
        </w:tc>
        <w:tc>
          <w:tcPr>
            <w:tcW w:w="3137" w:type="dxa"/>
            <w:vAlign w:val="center"/>
          </w:tcPr>
          <w:p w:rsidR="00F00269" w:rsidRPr="00F00269" w:rsidRDefault="00F00269" w:rsidP="00F00269">
            <w:pPr>
              <w:jc w:val="right"/>
              <w:rPr>
                <w:sz w:val="28"/>
                <w:szCs w:val="28"/>
              </w:rPr>
            </w:pPr>
            <w:r w:rsidRPr="00F00269">
              <w:rPr>
                <w:sz w:val="28"/>
                <w:szCs w:val="28"/>
              </w:rPr>
              <w:t>(1)</w:t>
            </w:r>
          </w:p>
        </w:tc>
      </w:tr>
    </w:tbl>
    <w:p w:rsidR="00E678B3" w:rsidRDefault="00E678B3" w:rsidP="00E678B3">
      <w:pPr>
        <w:rPr>
          <w:sz w:val="28"/>
          <w:szCs w:val="28"/>
        </w:rPr>
      </w:pPr>
    </w:p>
    <w:p w:rsidR="00F00269" w:rsidRPr="00F00269" w:rsidRDefault="00F00269" w:rsidP="00F0107A">
      <w:pPr>
        <w:ind w:firstLine="709"/>
        <w:rPr>
          <w:sz w:val="28"/>
          <w:szCs w:val="28"/>
        </w:rPr>
      </w:pPr>
      <w:r w:rsidRPr="00F00269">
        <w:rPr>
          <w:sz w:val="28"/>
          <w:szCs w:val="28"/>
        </w:rPr>
        <w:t>где:</w:t>
      </w:r>
    </w:p>
    <w:p w:rsidR="00F00269" w:rsidRPr="00F00269" w:rsidRDefault="00F00269" w:rsidP="00F0107A">
      <w:pPr>
        <w:ind w:firstLine="709"/>
        <w:rPr>
          <w:sz w:val="28"/>
          <w:szCs w:val="28"/>
        </w:rPr>
      </w:pPr>
      <w:r w:rsidRPr="00F00269">
        <w:rPr>
          <w:sz w:val="28"/>
          <w:szCs w:val="28"/>
        </w:rPr>
        <w:t>V р-ра – необходимое количество воды;</w:t>
      </w:r>
    </w:p>
    <w:p w:rsidR="00F00269" w:rsidRPr="00F00269" w:rsidRDefault="00F00269" w:rsidP="00F0107A">
      <w:pPr>
        <w:ind w:firstLine="709"/>
        <w:rPr>
          <w:sz w:val="28"/>
          <w:szCs w:val="28"/>
        </w:rPr>
      </w:pPr>
      <w:r w:rsidRPr="00F00269">
        <w:rPr>
          <w:sz w:val="28"/>
          <w:szCs w:val="28"/>
        </w:rPr>
        <w:t>n – концентрация лиофилизированного праймера;</w:t>
      </w:r>
    </w:p>
    <w:p w:rsidR="00F00269" w:rsidRPr="00F00269" w:rsidRDefault="00F00269" w:rsidP="00F0107A">
      <w:pPr>
        <w:ind w:firstLine="709"/>
        <w:rPr>
          <w:sz w:val="28"/>
          <w:szCs w:val="28"/>
        </w:rPr>
      </w:pPr>
      <w:r w:rsidRPr="00F00269">
        <w:rPr>
          <w:sz w:val="28"/>
          <w:szCs w:val="28"/>
        </w:rPr>
        <w:t>Cn – требуемая концентрация.</w:t>
      </w:r>
    </w:p>
    <w:p w:rsidR="00F00269" w:rsidRPr="00F00269" w:rsidRDefault="00F00269" w:rsidP="00F0107A">
      <w:pPr>
        <w:ind w:firstLine="709"/>
        <w:rPr>
          <w:sz w:val="28"/>
          <w:szCs w:val="28"/>
        </w:rPr>
      </w:pPr>
      <w:r w:rsidRPr="00F00269">
        <w:rPr>
          <w:sz w:val="28"/>
          <w:szCs w:val="28"/>
        </w:rPr>
        <w:t>Таким образом, получали необходимое количество воды для разведения олигонуклеотидов требуемой концентрации стоковых растворов 100 мкМ/л (100 пМ/мкл).</w:t>
      </w:r>
    </w:p>
    <w:p w:rsidR="00F00269" w:rsidRDefault="00F00269" w:rsidP="00F0107A">
      <w:pPr>
        <w:ind w:firstLine="709"/>
        <w:rPr>
          <w:sz w:val="28"/>
          <w:szCs w:val="28"/>
        </w:rPr>
      </w:pPr>
      <w:r w:rsidRPr="00F00269">
        <w:rPr>
          <w:sz w:val="28"/>
          <w:szCs w:val="28"/>
        </w:rPr>
        <w:t>Для приготовления праймер-миксов с необходимой концентрацией олигонуклеотидов, использовали ранее приготовленные стоковые растворы праймеров и флуоресцентно меченых зондов 100 мкМ/л (100 пМ/мкл), формула (2):</w:t>
      </w:r>
    </w:p>
    <w:p w:rsidR="00F00269" w:rsidRDefault="00F00269" w:rsidP="00F00269">
      <w:pPr>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F00269" w:rsidRPr="00F00269" w:rsidTr="00193E25">
        <w:tc>
          <w:tcPr>
            <w:tcW w:w="3209" w:type="dxa"/>
          </w:tcPr>
          <w:p w:rsidR="00F00269" w:rsidRPr="00F00269" w:rsidRDefault="00F00269" w:rsidP="00F00269">
            <w:pPr>
              <w:rPr>
                <w:rFonts w:cs="Times New Roman"/>
                <w:sz w:val="28"/>
                <w:szCs w:val="28"/>
              </w:rPr>
            </w:pPr>
          </w:p>
        </w:tc>
        <w:tc>
          <w:tcPr>
            <w:tcW w:w="3209" w:type="dxa"/>
            <w:vAlign w:val="center"/>
          </w:tcPr>
          <w:p w:rsidR="00F00269" w:rsidRPr="00F00269" w:rsidRDefault="00F00269" w:rsidP="00F00269">
            <w:pPr>
              <w:rPr>
                <w:rFonts w:cs="Times New Roman"/>
                <w:sz w:val="28"/>
                <w:szCs w:val="28"/>
              </w:rPr>
            </w:pPr>
            <m:oMathPara>
              <m:oMath>
                <m:r>
                  <m:rPr>
                    <m:sty m:val="p"/>
                  </m:rPr>
                  <w:rPr>
                    <w:rFonts w:ascii="Cambria Math" w:hAnsi="Cambria Math" w:cs="Times New Roman"/>
                    <w:sz w:val="28"/>
                    <w:szCs w:val="28"/>
                  </w:rPr>
                  <m:t>x=</m:t>
                </m:r>
                <m:f>
                  <m:fPr>
                    <m:ctrlPr>
                      <w:rPr>
                        <w:rFonts w:ascii="Cambria Math" w:hAnsi="Cambria Math" w:cs="Times New Roman"/>
                        <w:sz w:val="28"/>
                        <w:szCs w:val="28"/>
                      </w:rPr>
                    </m:ctrlPr>
                  </m:fPr>
                  <m:num>
                    <m:r>
                      <m:rPr>
                        <m:sty m:val="p"/>
                      </m:rPr>
                      <w:rPr>
                        <w:rFonts w:ascii="Cambria Math" w:hAnsi="Cambria Math" w:cs="Times New Roman"/>
                        <w:sz w:val="28"/>
                        <w:szCs w:val="28"/>
                      </w:rPr>
                      <m:t>Cn*V</m:t>
                    </m:r>
                  </m:num>
                  <m:den>
                    <m:r>
                      <m:rPr>
                        <m:sty m:val="p"/>
                      </m:rPr>
                      <w:rPr>
                        <w:rFonts w:ascii="Cambria Math" w:hAnsi="Cambria Math" w:cs="Times New Roman"/>
                        <w:sz w:val="28"/>
                        <w:szCs w:val="28"/>
                      </w:rPr>
                      <m:t>1000</m:t>
                    </m:r>
                  </m:den>
                </m:f>
              </m:oMath>
            </m:oMathPara>
          </w:p>
        </w:tc>
        <w:tc>
          <w:tcPr>
            <w:tcW w:w="3210" w:type="dxa"/>
            <w:vAlign w:val="center"/>
          </w:tcPr>
          <w:p w:rsidR="00F00269" w:rsidRPr="00F00269" w:rsidRDefault="00F00269" w:rsidP="00F00269">
            <w:pPr>
              <w:jc w:val="right"/>
              <w:rPr>
                <w:rFonts w:cs="Times New Roman"/>
                <w:sz w:val="28"/>
                <w:szCs w:val="28"/>
              </w:rPr>
            </w:pPr>
            <w:r w:rsidRPr="00F00269">
              <w:rPr>
                <w:rFonts w:cs="Times New Roman"/>
                <w:sz w:val="28"/>
                <w:szCs w:val="28"/>
              </w:rPr>
              <w:t>(2)</w:t>
            </w:r>
          </w:p>
        </w:tc>
      </w:tr>
    </w:tbl>
    <w:p w:rsidR="00F00269" w:rsidRPr="00F00269" w:rsidRDefault="00F00269" w:rsidP="00F00269">
      <w:pPr>
        <w:rPr>
          <w:sz w:val="28"/>
          <w:szCs w:val="28"/>
        </w:rPr>
      </w:pPr>
    </w:p>
    <w:p w:rsidR="00F00269" w:rsidRPr="00F00269" w:rsidRDefault="00F00269" w:rsidP="00F0107A">
      <w:pPr>
        <w:ind w:firstLine="709"/>
        <w:rPr>
          <w:sz w:val="28"/>
          <w:szCs w:val="28"/>
        </w:rPr>
      </w:pPr>
      <w:r w:rsidRPr="00F00269">
        <w:rPr>
          <w:sz w:val="28"/>
          <w:szCs w:val="28"/>
        </w:rPr>
        <w:t>где:</w:t>
      </w:r>
    </w:p>
    <w:p w:rsidR="00F00269" w:rsidRPr="00F00269" w:rsidRDefault="00F00269" w:rsidP="00F0107A">
      <w:pPr>
        <w:ind w:firstLine="709"/>
        <w:rPr>
          <w:sz w:val="28"/>
          <w:szCs w:val="28"/>
        </w:rPr>
      </w:pPr>
      <w:r w:rsidRPr="00F00269">
        <w:rPr>
          <w:sz w:val="28"/>
          <w:szCs w:val="28"/>
        </w:rPr>
        <w:t>x – необходимое количество воды;</w:t>
      </w:r>
    </w:p>
    <w:p w:rsidR="00F00269" w:rsidRPr="00F00269" w:rsidRDefault="00F00269" w:rsidP="00F0107A">
      <w:pPr>
        <w:ind w:firstLine="709"/>
        <w:rPr>
          <w:sz w:val="28"/>
          <w:szCs w:val="28"/>
        </w:rPr>
      </w:pPr>
      <w:r w:rsidRPr="00F00269">
        <w:rPr>
          <w:sz w:val="28"/>
          <w:szCs w:val="28"/>
        </w:rPr>
        <w:t>Cn – требуемая концентрация в реакционной смеси, нМ/л;</w:t>
      </w:r>
    </w:p>
    <w:p w:rsidR="00F00269" w:rsidRPr="00F00269" w:rsidRDefault="00F00269" w:rsidP="00F0107A">
      <w:pPr>
        <w:ind w:firstLine="709"/>
        <w:rPr>
          <w:sz w:val="28"/>
          <w:szCs w:val="28"/>
        </w:rPr>
      </w:pPr>
      <w:r w:rsidRPr="00F00269">
        <w:rPr>
          <w:sz w:val="28"/>
          <w:szCs w:val="28"/>
        </w:rPr>
        <w:lastRenderedPageBreak/>
        <w:t>V – объём реакционной смеси, мкл;</w:t>
      </w:r>
    </w:p>
    <w:p w:rsidR="00F00269" w:rsidRPr="00F00269" w:rsidRDefault="00F00269" w:rsidP="00F0107A">
      <w:pPr>
        <w:ind w:firstLine="709"/>
        <w:rPr>
          <w:sz w:val="28"/>
          <w:szCs w:val="28"/>
        </w:rPr>
      </w:pPr>
      <w:r w:rsidRPr="00F00269">
        <w:rPr>
          <w:sz w:val="28"/>
          <w:szCs w:val="28"/>
        </w:rPr>
        <w:t>1000 – поправочный коэффициент.</w:t>
      </w:r>
    </w:p>
    <w:p w:rsidR="00F00269" w:rsidRPr="00F00269" w:rsidRDefault="00F00269" w:rsidP="00F0107A">
      <w:pPr>
        <w:ind w:firstLine="709"/>
        <w:rPr>
          <w:sz w:val="28"/>
          <w:szCs w:val="28"/>
        </w:rPr>
      </w:pPr>
      <w:r w:rsidRPr="00F00269">
        <w:rPr>
          <w:sz w:val="28"/>
          <w:szCs w:val="28"/>
        </w:rPr>
        <w:t>Таким образом, получали необходимое количество воды для разведения рабочих растворов праймеров и флуоресцентно меченых зондов до требуемой концентрации в реакционной смеси.</w:t>
      </w:r>
    </w:p>
    <w:p w:rsidR="00F00269" w:rsidRPr="00F00269" w:rsidRDefault="00F00269" w:rsidP="00F0107A">
      <w:pPr>
        <w:ind w:firstLine="709"/>
        <w:rPr>
          <w:sz w:val="28"/>
          <w:szCs w:val="28"/>
        </w:rPr>
      </w:pPr>
      <w:r w:rsidRPr="00F00269">
        <w:rPr>
          <w:sz w:val="28"/>
          <w:szCs w:val="28"/>
        </w:rPr>
        <w:t>Для приготовления реакционной смеси использовали:</w:t>
      </w:r>
    </w:p>
    <w:p w:rsidR="00F00269" w:rsidRPr="00F00269" w:rsidRDefault="00F00269" w:rsidP="00F0107A">
      <w:pPr>
        <w:ind w:firstLine="709"/>
        <w:rPr>
          <w:sz w:val="28"/>
          <w:szCs w:val="28"/>
        </w:rPr>
      </w:pPr>
      <w:r w:rsidRPr="00F00269">
        <w:rPr>
          <w:sz w:val="28"/>
          <w:szCs w:val="28"/>
        </w:rPr>
        <w:t>1. 2хqPCRmix, в который входят все необходимые компоненты ПЦР:</w:t>
      </w:r>
    </w:p>
    <w:p w:rsidR="00F00269" w:rsidRPr="00F00269" w:rsidRDefault="00F00269" w:rsidP="00F0107A">
      <w:pPr>
        <w:ind w:firstLine="709"/>
        <w:rPr>
          <w:sz w:val="28"/>
          <w:szCs w:val="28"/>
        </w:rPr>
      </w:pPr>
      <w:r w:rsidRPr="00F00269">
        <w:rPr>
          <w:sz w:val="28"/>
          <w:szCs w:val="28"/>
        </w:rPr>
        <w:t>– смесь нуклеотидтрифосфатов;</w:t>
      </w:r>
    </w:p>
    <w:p w:rsidR="00F00269" w:rsidRPr="00F00269" w:rsidRDefault="00F00269" w:rsidP="00F0107A">
      <w:pPr>
        <w:ind w:firstLine="709"/>
        <w:rPr>
          <w:sz w:val="28"/>
          <w:szCs w:val="28"/>
        </w:rPr>
      </w:pPr>
      <w:r w:rsidRPr="00F00269">
        <w:rPr>
          <w:sz w:val="28"/>
          <w:szCs w:val="28"/>
        </w:rPr>
        <w:t>– Mg2+;</w:t>
      </w:r>
    </w:p>
    <w:p w:rsidR="00F00269" w:rsidRPr="00F00269" w:rsidRDefault="00F00269" w:rsidP="00F0107A">
      <w:pPr>
        <w:ind w:firstLine="709"/>
        <w:rPr>
          <w:sz w:val="28"/>
          <w:szCs w:val="28"/>
        </w:rPr>
      </w:pPr>
      <w:r w:rsidRPr="00F00269">
        <w:rPr>
          <w:sz w:val="28"/>
          <w:szCs w:val="28"/>
        </w:rPr>
        <w:t>– ПЦР буфер.</w:t>
      </w:r>
    </w:p>
    <w:p w:rsidR="00F00269" w:rsidRPr="00F00269" w:rsidRDefault="00F00269" w:rsidP="00F0107A">
      <w:pPr>
        <w:ind w:firstLine="709"/>
        <w:rPr>
          <w:sz w:val="28"/>
          <w:szCs w:val="28"/>
        </w:rPr>
      </w:pPr>
      <w:r w:rsidRPr="00F00269">
        <w:rPr>
          <w:sz w:val="28"/>
          <w:szCs w:val="28"/>
        </w:rPr>
        <w:t>2. Высокопроцессивная Taq ДНК полимераза со специфическими моноклональными антителами. Свойства полимеразы:</w:t>
      </w:r>
    </w:p>
    <w:p w:rsidR="00F00269" w:rsidRPr="00F00269" w:rsidRDefault="00F00269" w:rsidP="00F0107A">
      <w:pPr>
        <w:ind w:firstLine="709"/>
        <w:rPr>
          <w:sz w:val="28"/>
          <w:szCs w:val="28"/>
        </w:rPr>
      </w:pPr>
      <w:r w:rsidRPr="00F00269">
        <w:rPr>
          <w:sz w:val="28"/>
          <w:szCs w:val="28"/>
        </w:rPr>
        <w:t>– 5’&gt;3’ полимеразная активность;</w:t>
      </w:r>
    </w:p>
    <w:p w:rsidR="00F00269" w:rsidRPr="00F00269" w:rsidRDefault="00F00269" w:rsidP="00F0107A">
      <w:pPr>
        <w:ind w:firstLine="709"/>
        <w:rPr>
          <w:sz w:val="28"/>
          <w:szCs w:val="28"/>
        </w:rPr>
      </w:pPr>
      <w:r w:rsidRPr="00F00269">
        <w:rPr>
          <w:sz w:val="28"/>
          <w:szCs w:val="28"/>
        </w:rPr>
        <w:t>– 5’&gt;3’ экзонуклеазная активность;</w:t>
      </w:r>
    </w:p>
    <w:p w:rsidR="00F00269" w:rsidRPr="00F00269" w:rsidRDefault="00F00269" w:rsidP="00F0107A">
      <w:pPr>
        <w:ind w:firstLine="709"/>
        <w:rPr>
          <w:sz w:val="28"/>
          <w:szCs w:val="28"/>
        </w:rPr>
      </w:pPr>
      <w:r w:rsidRPr="00F00269">
        <w:rPr>
          <w:sz w:val="28"/>
          <w:szCs w:val="28"/>
        </w:rPr>
        <w:t>– Быстрый горячий старт в первом цикле денатурации (95°C, 5-10 сек).</w:t>
      </w:r>
    </w:p>
    <w:p w:rsidR="00F00269" w:rsidRPr="00F00269" w:rsidRDefault="00F00269" w:rsidP="00F0107A">
      <w:pPr>
        <w:ind w:firstLine="709"/>
        <w:rPr>
          <w:sz w:val="28"/>
          <w:szCs w:val="28"/>
        </w:rPr>
      </w:pPr>
      <w:r w:rsidRPr="00F00269">
        <w:rPr>
          <w:sz w:val="28"/>
          <w:szCs w:val="28"/>
        </w:rPr>
        <w:t xml:space="preserve">Для постановки реакции ПЦР в смесь добавляли только праймеры, компоненты для детекции, матрицу ДНК и при необходимости воду. </w:t>
      </w:r>
    </w:p>
    <w:p w:rsidR="00F00269" w:rsidRPr="00F00269" w:rsidRDefault="00F00269" w:rsidP="00F0107A">
      <w:pPr>
        <w:ind w:firstLine="709"/>
        <w:rPr>
          <w:sz w:val="28"/>
          <w:szCs w:val="28"/>
        </w:rPr>
      </w:pPr>
      <w:r w:rsidRPr="00F00269">
        <w:rPr>
          <w:sz w:val="28"/>
          <w:szCs w:val="28"/>
        </w:rPr>
        <w:t>Свойства реакционной смеси:</w:t>
      </w:r>
    </w:p>
    <w:p w:rsidR="00F00269" w:rsidRPr="00F00269" w:rsidRDefault="00F00269" w:rsidP="00F0107A">
      <w:pPr>
        <w:ind w:firstLine="709"/>
        <w:rPr>
          <w:sz w:val="28"/>
          <w:szCs w:val="28"/>
        </w:rPr>
      </w:pPr>
      <w:r w:rsidRPr="00F00269">
        <w:rPr>
          <w:sz w:val="28"/>
          <w:szCs w:val="28"/>
        </w:rPr>
        <w:t>– В 1х реакционной смеси концентрация магния 3 мМ, концентрация каждого нуклеотидтрифосфата 0,2 мМ;</w:t>
      </w:r>
    </w:p>
    <w:p w:rsidR="00F00269" w:rsidRPr="00F00269" w:rsidRDefault="00F00269" w:rsidP="00F0107A">
      <w:pPr>
        <w:ind w:firstLine="709"/>
        <w:rPr>
          <w:sz w:val="28"/>
          <w:szCs w:val="28"/>
        </w:rPr>
      </w:pPr>
      <w:r w:rsidRPr="00F00269">
        <w:rPr>
          <w:sz w:val="28"/>
          <w:szCs w:val="28"/>
        </w:rPr>
        <w:t xml:space="preserve">– Смесь оптимизирована для специфичной работы Taq ДНК полимеразы, длительного хранения, многократного замораживания-размораживания. </w:t>
      </w:r>
    </w:p>
    <w:p w:rsidR="00F00269" w:rsidRPr="00F00269" w:rsidRDefault="00F00269" w:rsidP="00F0107A">
      <w:pPr>
        <w:ind w:firstLine="709"/>
        <w:rPr>
          <w:sz w:val="28"/>
          <w:szCs w:val="28"/>
        </w:rPr>
      </w:pPr>
      <w:r w:rsidRPr="00F00269">
        <w:rPr>
          <w:sz w:val="28"/>
          <w:szCs w:val="28"/>
        </w:rPr>
        <w:t>Концентрацию праймеров и зондов в реакционной смеси применяли стандартную, которая составляет:</w:t>
      </w:r>
    </w:p>
    <w:p w:rsidR="00F00269" w:rsidRPr="00F00269" w:rsidRDefault="00F00269" w:rsidP="00F0107A">
      <w:pPr>
        <w:ind w:firstLine="709"/>
        <w:rPr>
          <w:sz w:val="28"/>
          <w:szCs w:val="28"/>
        </w:rPr>
      </w:pPr>
      <w:r w:rsidRPr="00F00269">
        <w:rPr>
          <w:sz w:val="28"/>
          <w:szCs w:val="28"/>
        </w:rPr>
        <w:t>для зондов – 200 нмоль/л;</w:t>
      </w:r>
    </w:p>
    <w:p w:rsidR="00F00269" w:rsidRPr="00F00269" w:rsidRDefault="00F00269" w:rsidP="00F0107A">
      <w:pPr>
        <w:ind w:firstLine="709"/>
        <w:rPr>
          <w:sz w:val="28"/>
          <w:szCs w:val="28"/>
        </w:rPr>
      </w:pPr>
      <w:r w:rsidRPr="00F00269">
        <w:rPr>
          <w:sz w:val="28"/>
          <w:szCs w:val="28"/>
        </w:rPr>
        <w:t>для праймеров – 400 нмоль/л.</w:t>
      </w:r>
    </w:p>
    <w:p w:rsidR="00F00269" w:rsidRDefault="00F00269" w:rsidP="00F0107A">
      <w:pPr>
        <w:ind w:firstLine="709"/>
        <w:rPr>
          <w:sz w:val="28"/>
          <w:szCs w:val="28"/>
        </w:rPr>
      </w:pPr>
      <w:r w:rsidRPr="00F00269">
        <w:rPr>
          <w:sz w:val="28"/>
          <w:szCs w:val="28"/>
        </w:rPr>
        <w:t>Оптимальная температура отжига определяется структурой праймеров и варьирует от 50 до 68°C. Для приблизительного расчета температуры отжига (Tm) использовали формулу (3):</w:t>
      </w:r>
    </w:p>
    <w:p w:rsidR="00F00269" w:rsidRPr="00F00269" w:rsidRDefault="00F00269" w:rsidP="00F00269">
      <w:pPr>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5528"/>
        <w:gridCol w:w="1978"/>
      </w:tblGrid>
      <w:tr w:rsidR="00F00269" w:rsidRPr="00F00269" w:rsidTr="00193E25">
        <w:tc>
          <w:tcPr>
            <w:tcW w:w="2122" w:type="dxa"/>
          </w:tcPr>
          <w:p w:rsidR="00F00269" w:rsidRPr="00F00269" w:rsidRDefault="00F00269" w:rsidP="00F00269">
            <w:pPr>
              <w:rPr>
                <w:sz w:val="28"/>
                <w:szCs w:val="28"/>
              </w:rPr>
            </w:pPr>
          </w:p>
        </w:tc>
        <w:tc>
          <w:tcPr>
            <w:tcW w:w="5528" w:type="dxa"/>
            <w:vAlign w:val="center"/>
          </w:tcPr>
          <w:p w:rsidR="00F00269" w:rsidRPr="00F00269" w:rsidRDefault="00F00269" w:rsidP="00F00269">
            <w:pPr>
              <w:rPr>
                <w:sz w:val="28"/>
                <w:szCs w:val="28"/>
              </w:rPr>
            </w:pPr>
            <w:r w:rsidRPr="00F00269">
              <w:rPr>
                <w:sz w:val="28"/>
                <w:szCs w:val="28"/>
              </w:rPr>
              <w:t>Tm (°C) = 2 х (A+T) + 4 х (G+C)</w:t>
            </w:r>
          </w:p>
        </w:tc>
        <w:tc>
          <w:tcPr>
            <w:tcW w:w="1978" w:type="dxa"/>
            <w:vAlign w:val="center"/>
          </w:tcPr>
          <w:p w:rsidR="00F00269" w:rsidRPr="00F00269" w:rsidRDefault="00F00269" w:rsidP="00F00269">
            <w:pPr>
              <w:jc w:val="right"/>
              <w:rPr>
                <w:sz w:val="28"/>
                <w:szCs w:val="28"/>
              </w:rPr>
            </w:pPr>
            <w:r w:rsidRPr="00F00269">
              <w:rPr>
                <w:sz w:val="28"/>
                <w:szCs w:val="28"/>
              </w:rPr>
              <w:t>(3)</w:t>
            </w:r>
          </w:p>
        </w:tc>
      </w:tr>
    </w:tbl>
    <w:p w:rsidR="00F00269" w:rsidRDefault="00F00269" w:rsidP="00F00269">
      <w:pPr>
        <w:rPr>
          <w:sz w:val="28"/>
          <w:szCs w:val="28"/>
        </w:rPr>
      </w:pPr>
    </w:p>
    <w:p w:rsidR="00F00269" w:rsidRPr="00F00269" w:rsidRDefault="00F00269" w:rsidP="00F0107A">
      <w:pPr>
        <w:ind w:firstLine="709"/>
        <w:rPr>
          <w:sz w:val="28"/>
          <w:szCs w:val="28"/>
        </w:rPr>
      </w:pPr>
      <w:r w:rsidRPr="00F00269">
        <w:rPr>
          <w:sz w:val="28"/>
          <w:szCs w:val="28"/>
        </w:rPr>
        <w:t>где:</w:t>
      </w:r>
    </w:p>
    <w:p w:rsidR="00F00269" w:rsidRPr="00F00269" w:rsidRDefault="00F00269" w:rsidP="00F0107A">
      <w:pPr>
        <w:ind w:firstLine="709"/>
        <w:rPr>
          <w:sz w:val="28"/>
          <w:szCs w:val="28"/>
        </w:rPr>
      </w:pPr>
      <w:r w:rsidRPr="00F00269">
        <w:rPr>
          <w:sz w:val="28"/>
          <w:szCs w:val="28"/>
        </w:rPr>
        <w:t>Tm (°C) – температура отжига;</w:t>
      </w:r>
    </w:p>
    <w:p w:rsidR="00F00269" w:rsidRPr="00F00269" w:rsidRDefault="00F00269" w:rsidP="00F0107A">
      <w:pPr>
        <w:ind w:firstLine="709"/>
        <w:rPr>
          <w:sz w:val="28"/>
          <w:szCs w:val="28"/>
        </w:rPr>
      </w:pPr>
      <w:r w:rsidRPr="00F00269">
        <w:rPr>
          <w:sz w:val="28"/>
          <w:szCs w:val="28"/>
        </w:rPr>
        <w:t>2 х – поправочный коэффициент для A-T пар;</w:t>
      </w:r>
    </w:p>
    <w:p w:rsidR="00F00269" w:rsidRPr="00F00269" w:rsidRDefault="00F00269" w:rsidP="00F0107A">
      <w:pPr>
        <w:ind w:firstLine="709"/>
        <w:rPr>
          <w:sz w:val="28"/>
          <w:szCs w:val="28"/>
        </w:rPr>
      </w:pPr>
      <w:r w:rsidRPr="00F00269">
        <w:rPr>
          <w:sz w:val="28"/>
          <w:szCs w:val="28"/>
        </w:rPr>
        <w:t>4 х – поправочный коэффициент для G-C пар;</w:t>
      </w:r>
    </w:p>
    <w:p w:rsidR="00F00269" w:rsidRPr="00F00269" w:rsidRDefault="00F00269" w:rsidP="00F0107A">
      <w:pPr>
        <w:ind w:firstLine="709"/>
        <w:rPr>
          <w:sz w:val="28"/>
          <w:szCs w:val="28"/>
        </w:rPr>
      </w:pPr>
      <w:r w:rsidRPr="00F00269">
        <w:rPr>
          <w:sz w:val="28"/>
          <w:szCs w:val="28"/>
        </w:rPr>
        <w:t>A, T, G, C – количество олигонуклеотидов.</w:t>
      </w:r>
    </w:p>
    <w:p w:rsidR="00F00269" w:rsidRPr="00F00269" w:rsidRDefault="00F00269" w:rsidP="00F0107A">
      <w:pPr>
        <w:ind w:firstLine="709"/>
        <w:rPr>
          <w:sz w:val="28"/>
          <w:szCs w:val="28"/>
        </w:rPr>
      </w:pPr>
      <w:r w:rsidRPr="00F00269">
        <w:rPr>
          <w:sz w:val="28"/>
          <w:szCs w:val="28"/>
        </w:rPr>
        <w:t>Определение аналитической специфичности и чувствительности</w:t>
      </w:r>
    </w:p>
    <w:p w:rsidR="00F00269" w:rsidRPr="00F00269" w:rsidRDefault="00F00269" w:rsidP="00F0107A">
      <w:pPr>
        <w:ind w:firstLine="709"/>
        <w:rPr>
          <w:sz w:val="28"/>
          <w:szCs w:val="28"/>
        </w:rPr>
      </w:pPr>
      <w:r w:rsidRPr="00F00269">
        <w:rPr>
          <w:sz w:val="28"/>
          <w:szCs w:val="28"/>
        </w:rPr>
        <w:t xml:space="preserve">Для определения аналитической чувствительности тестовых праймеров и зондов, использовали стандартную методику последовательных разведений ДНК и проведение ПЦР. Готовили серию разведений стандартных образцов </w:t>
      </w:r>
      <w:r w:rsidRPr="00F00269">
        <w:rPr>
          <w:sz w:val="28"/>
          <w:szCs w:val="28"/>
        </w:rPr>
        <w:lastRenderedPageBreak/>
        <w:t>ДНК с известными концентрациями. После ПЦР оценивали результаты амплификации (циклы порога (Ct)).</w:t>
      </w:r>
    </w:p>
    <w:p w:rsidR="00F00269" w:rsidRPr="00F00269" w:rsidRDefault="00F00269" w:rsidP="00F0107A">
      <w:pPr>
        <w:ind w:firstLine="709"/>
        <w:rPr>
          <w:sz w:val="28"/>
          <w:szCs w:val="28"/>
        </w:rPr>
      </w:pPr>
      <w:r w:rsidRPr="00F00269">
        <w:rPr>
          <w:sz w:val="28"/>
          <w:szCs w:val="28"/>
        </w:rPr>
        <w:t xml:space="preserve">Для определения диагностической специфичности праймеров, произвели анализ схожести с близкородственными организмами. В данном исследовании определяли группу близкородственных организмов, которые могут иметь схожие последовательности с нашими целевыми генами. Провели in silico (виртуальные) анализы специфичности праймеров с использованием биоинформационного инструмента «Primer-BLAST». Для определения групп близкородственных микроорганизмов провели молекулярную идентификацию </w:t>
      </w:r>
      <w:r w:rsidR="007A7888" w:rsidRPr="007A7888">
        <w:rPr>
          <w:i/>
          <w:sz w:val="28"/>
          <w:szCs w:val="28"/>
        </w:rPr>
        <w:t>S. aureus</w:t>
      </w:r>
      <w:r w:rsidRPr="00F00269">
        <w:rPr>
          <w:sz w:val="28"/>
          <w:szCs w:val="28"/>
        </w:rPr>
        <w:t xml:space="preserve"> методом секвениров</w:t>
      </w:r>
      <w:r>
        <w:rPr>
          <w:sz w:val="28"/>
          <w:szCs w:val="28"/>
        </w:rPr>
        <w:t>ания генов 16S рРНК по Сэнгеру.</w:t>
      </w:r>
    </w:p>
    <w:p w:rsidR="00F00269" w:rsidRPr="00F00269" w:rsidRDefault="00F00269" w:rsidP="00F0107A">
      <w:pPr>
        <w:ind w:firstLine="709"/>
        <w:rPr>
          <w:sz w:val="28"/>
          <w:szCs w:val="28"/>
        </w:rPr>
      </w:pPr>
      <w:r w:rsidRPr="00F00269">
        <w:rPr>
          <w:sz w:val="28"/>
          <w:szCs w:val="28"/>
        </w:rPr>
        <w:t xml:space="preserve">Экстракцию ДНК одиночных колоний </w:t>
      </w:r>
      <w:r w:rsidR="007A7888" w:rsidRPr="007A7888">
        <w:rPr>
          <w:i/>
          <w:sz w:val="28"/>
          <w:szCs w:val="28"/>
        </w:rPr>
        <w:t>S. aureus</w:t>
      </w:r>
      <w:r w:rsidRPr="00F00269">
        <w:rPr>
          <w:sz w:val="28"/>
          <w:szCs w:val="28"/>
        </w:rPr>
        <w:t xml:space="preserve"> производили с помощью набора PureLink™ Genomic DNA Kits (Thermo Fisher Scientific) и хранили до использования при температуре -20°C. Измерение концентрации ДНК проводили на спектрофотометре Dynamica Halo DNAmaster с кюветой 1 мм (factor 10).</w:t>
      </w:r>
    </w:p>
    <w:p w:rsidR="00F00269" w:rsidRPr="00F00269" w:rsidRDefault="00F00269" w:rsidP="00F0107A">
      <w:pPr>
        <w:ind w:firstLine="709"/>
        <w:rPr>
          <w:sz w:val="28"/>
          <w:szCs w:val="28"/>
        </w:rPr>
      </w:pPr>
      <w:r w:rsidRPr="00F00269">
        <w:rPr>
          <w:sz w:val="28"/>
          <w:szCs w:val="28"/>
        </w:rPr>
        <w:t>Амплификацию гена 16S рРНК производили с помощью прямого праймера 8F – AGAGTTTTGATCCTGGCTCAG и обратного праймера 806R GGACTACCAGGGTATCTAAT [390]. Амплификацию фрагментов производили с помощью двукратного мастер-микса DreamTaq Green в объеме реакционной смеси 30 мкл (15 мкл мастер-микса, 3 мкл праймеров (10 пМ), 7 мкл образца выделенной ДНК и 5 мкл воды). Условия циклирования PCR были следующими: начальный горячий старт при 95°C в течение 5 минут, 30 циклов амплификации – денатурация при 95°C 30 секунд, отжиг праймеров при 55°C 40 секунд, удлинение ампликонов при 72°C в течение 50 секунд, и финальное удлинение при 72°C 10 минут. Все реакции ПЦР выполняли с использованием термоциклера производства Applied Biosystems SimpliAmp.</w:t>
      </w:r>
    </w:p>
    <w:p w:rsidR="00F00269" w:rsidRPr="00F00269" w:rsidRDefault="00F00269" w:rsidP="00F0107A">
      <w:pPr>
        <w:ind w:firstLine="709"/>
        <w:rPr>
          <w:sz w:val="28"/>
          <w:szCs w:val="28"/>
        </w:rPr>
      </w:pPr>
      <w:r w:rsidRPr="00F00269">
        <w:rPr>
          <w:sz w:val="28"/>
          <w:szCs w:val="28"/>
        </w:rPr>
        <w:t>В целях стабилизации реакции секвенирования и удаления из реакционной смеси оставшихся праймеров и дезоксинуклеотидтрифосфатов, производили очистку продуктов амплификации PCR с использованием реактива ExoSAP-IT™ (Thermo Fisher Scientific, USA) согласно протоколу производителя.</w:t>
      </w:r>
    </w:p>
    <w:p w:rsidR="00F00269" w:rsidRPr="00F00269" w:rsidRDefault="00F00269" w:rsidP="00F0107A">
      <w:pPr>
        <w:ind w:firstLine="709"/>
        <w:rPr>
          <w:sz w:val="28"/>
          <w:szCs w:val="28"/>
        </w:rPr>
      </w:pPr>
      <w:r w:rsidRPr="00F00269">
        <w:rPr>
          <w:sz w:val="28"/>
          <w:szCs w:val="28"/>
        </w:rPr>
        <w:t>Реакции секвенирования осуществляли с помощью набора для циклического секвенирования BigDye™ Terminator v3.1 производства Thermo Fisher Scientific (USA) согласно протоколу производителя. При проведении реакции прямой и обратный праймеры использовали в отдельных пробирках, в концентрации 3,2 пмоль, температуру отжига оставили прежней.</w:t>
      </w:r>
    </w:p>
    <w:p w:rsidR="00F00269" w:rsidRPr="00F00269" w:rsidRDefault="00F00269" w:rsidP="00F0107A">
      <w:pPr>
        <w:ind w:firstLine="709"/>
        <w:rPr>
          <w:sz w:val="28"/>
          <w:szCs w:val="28"/>
        </w:rPr>
      </w:pPr>
      <w:r w:rsidRPr="00F00269">
        <w:rPr>
          <w:sz w:val="28"/>
          <w:szCs w:val="28"/>
        </w:rPr>
        <w:t>Далее для высокоэффективной очистки секвенированных продуктов использовали набор BigDye XTerminator™ включающий в себя два компонента XTerminator™ Solution и SAM™ Solution (Thermo Fisher Scientific, USA) согласно протоколу производителя.</w:t>
      </w:r>
    </w:p>
    <w:p w:rsidR="00F00269" w:rsidRPr="00F00269" w:rsidRDefault="00F00269" w:rsidP="00F0107A">
      <w:pPr>
        <w:ind w:firstLine="709"/>
        <w:rPr>
          <w:sz w:val="28"/>
          <w:szCs w:val="28"/>
        </w:rPr>
      </w:pPr>
      <w:r w:rsidRPr="00F00269">
        <w:rPr>
          <w:sz w:val="28"/>
          <w:szCs w:val="28"/>
        </w:rPr>
        <w:t xml:space="preserve">Для разделения амплифицированных ДНК-фрагментов использовался генетический анализатор ABI PRISM 3500 (Applied Biosystems, USA). Исследование проводилось методом капиллярного электрофореза в полимерном геле марки POP-7 по протоколу Std_Seq_Assay-POP7_Z – четыре </w:t>
      </w:r>
      <w:r w:rsidRPr="00F00269">
        <w:rPr>
          <w:sz w:val="28"/>
          <w:szCs w:val="28"/>
        </w:rPr>
        <w:lastRenderedPageBreak/>
        <w:t>красителя с помощью программного обеспечения GeneMapper® (Applied Biosystems, USA).</w:t>
      </w:r>
    </w:p>
    <w:p w:rsidR="00F00269" w:rsidRPr="00F00269" w:rsidRDefault="00F00269" w:rsidP="00F0107A">
      <w:pPr>
        <w:ind w:firstLine="709"/>
        <w:rPr>
          <w:sz w:val="28"/>
          <w:szCs w:val="28"/>
        </w:rPr>
      </w:pPr>
      <w:r w:rsidRPr="00F00269">
        <w:rPr>
          <w:sz w:val="28"/>
          <w:szCs w:val="28"/>
        </w:rPr>
        <w:t>Анализ полученных последовательностей генов производили с помощью программного обеспечения Unipro UGENE (Applied Biosystems, USA). Экспортировали интересующие нас последовательности из UGENE в формат fasta. Далее проводили анализ с помощью онлайн ресурса для поиска нуклеотидных последовательностей «nucleotide BLAST» (https://blast.ncbi.nlm.nih.gov/Blast.cgi?PROGRAM=blastn&amp;PAGE_TYPE=BlastSearch&amp;LINK_LOC=blasthome) для сопоставления с последовательностями в базе данных GenBank.</w:t>
      </w:r>
    </w:p>
    <w:p w:rsidR="00F00269" w:rsidRPr="00F00269" w:rsidRDefault="00F00269" w:rsidP="00F0107A">
      <w:pPr>
        <w:ind w:firstLine="709"/>
        <w:rPr>
          <w:sz w:val="28"/>
          <w:szCs w:val="28"/>
        </w:rPr>
      </w:pPr>
      <w:r w:rsidRPr="00F00269">
        <w:rPr>
          <w:sz w:val="28"/>
          <w:szCs w:val="28"/>
        </w:rPr>
        <w:t>Для оценки вероятности определенных эволюционных сценариев был проведен филогенетический анализ с использованием модели максимального совокупного правдоподобия (Maximum Likelihood), в основе которого лежат вероятностные модели эволюции последовательностей</w:t>
      </w:r>
      <w:r w:rsidR="00BA01CD">
        <w:rPr>
          <w:sz w:val="28"/>
          <w:szCs w:val="28"/>
        </w:rPr>
        <w:t>,</w:t>
      </w:r>
      <w:r w:rsidRPr="00F00269">
        <w:rPr>
          <w:sz w:val="28"/>
          <w:szCs w:val="28"/>
        </w:rPr>
        <w:t xml:space="preserve"> позволяющий построить филогенетические деревья и оценить эволюционные отношения между последовательностями [391]. Выравнивание и эволюционный анализ был проведен с использованием программного обеспечения «ClustalW» инструмента MEGA11 [392].</w:t>
      </w:r>
    </w:p>
    <w:p w:rsidR="00F00269" w:rsidRPr="00F00269" w:rsidRDefault="00F00269" w:rsidP="00F0107A">
      <w:pPr>
        <w:ind w:firstLine="709"/>
        <w:rPr>
          <w:sz w:val="28"/>
          <w:szCs w:val="28"/>
        </w:rPr>
      </w:pPr>
      <w:r w:rsidRPr="00F00269">
        <w:rPr>
          <w:sz w:val="28"/>
          <w:szCs w:val="28"/>
        </w:rPr>
        <w:t>Проведены эксперименты методом ПЦР с использованием различных ДНК образцов, представляющих близкородственные организмы, чтобы экспериментально подтвердить специфичность праймеров.</w:t>
      </w:r>
    </w:p>
    <w:p w:rsidR="00F00269" w:rsidRPr="00F00269" w:rsidRDefault="00F00269" w:rsidP="00F0107A">
      <w:pPr>
        <w:ind w:firstLine="709"/>
        <w:rPr>
          <w:sz w:val="28"/>
          <w:szCs w:val="28"/>
        </w:rPr>
      </w:pPr>
      <w:r w:rsidRPr="00F00269">
        <w:rPr>
          <w:sz w:val="28"/>
          <w:szCs w:val="28"/>
        </w:rPr>
        <w:t>Разработка положительного контрольного образца</w:t>
      </w:r>
    </w:p>
    <w:p w:rsidR="00F00269" w:rsidRPr="00F00269" w:rsidRDefault="00F00269" w:rsidP="00F0107A">
      <w:pPr>
        <w:ind w:firstLine="709"/>
        <w:rPr>
          <w:sz w:val="28"/>
          <w:szCs w:val="28"/>
        </w:rPr>
      </w:pPr>
      <w:r w:rsidRPr="00F00269">
        <w:rPr>
          <w:sz w:val="28"/>
          <w:szCs w:val="28"/>
        </w:rPr>
        <w:t>Для подтверждения правильной работы детекционной системы, контроля амплификации нуклеиновых кислот и верного функционирования РТ-ПЦР, создан положительный контрольный образец [378</w:t>
      </w:r>
      <w:r w:rsidR="007E1CC3">
        <w:rPr>
          <w:sz w:val="28"/>
          <w:szCs w:val="28"/>
        </w:rPr>
        <w:t xml:space="preserve">, с. </w:t>
      </w:r>
      <w:r w:rsidR="007E1CC3" w:rsidRPr="007E1CC3">
        <w:rPr>
          <w:sz w:val="28"/>
          <w:szCs w:val="28"/>
        </w:rPr>
        <w:t>144</w:t>
      </w:r>
      <w:r w:rsidRPr="00F00269">
        <w:rPr>
          <w:sz w:val="28"/>
          <w:szCs w:val="28"/>
        </w:rPr>
        <w:t>]. На данном этапе произведены следующие работы:</w:t>
      </w:r>
    </w:p>
    <w:p w:rsidR="00F00269" w:rsidRPr="00F00269" w:rsidRDefault="00F00269" w:rsidP="00F0107A">
      <w:pPr>
        <w:ind w:firstLine="709"/>
        <w:rPr>
          <w:sz w:val="28"/>
          <w:szCs w:val="28"/>
        </w:rPr>
      </w:pPr>
      <w:r w:rsidRPr="00F00269">
        <w:rPr>
          <w:sz w:val="28"/>
          <w:szCs w:val="28"/>
        </w:rPr>
        <w:t>1) Амплификация фрагмента при помощи ПЦР. На этом этапе провели реакцию ПЦР для усиления конкретного фрагмента ДНК, представляющего интересующий нас ген или участок. В реакционной смеси использовали 2x qPCR mix, который содержит в себе готовую смесь компонентов для проведения полимеразной цепной реакции: смесь нуклеотидтрифосфатов (dNTPs); Mg2+; ПЦР буфер; термостабильная ДНК-полимераза. При постановке реакции ПЦР добавляли только праймеры, матрицу ДНК и при необходимости воду.</w:t>
      </w:r>
    </w:p>
    <w:p w:rsidR="00F00269" w:rsidRPr="00F00269" w:rsidRDefault="00F00269" w:rsidP="00F0107A">
      <w:pPr>
        <w:ind w:firstLine="709"/>
        <w:rPr>
          <w:sz w:val="28"/>
          <w:szCs w:val="28"/>
        </w:rPr>
      </w:pPr>
      <w:r w:rsidRPr="00F00269">
        <w:rPr>
          <w:sz w:val="28"/>
          <w:szCs w:val="28"/>
        </w:rPr>
        <w:t>2) Для разделения амплифицированных фрагментов по их размеру проводили электрофорез в агарозном геле:</w:t>
      </w:r>
    </w:p>
    <w:p w:rsidR="00F00269" w:rsidRPr="00F00269" w:rsidRDefault="00F00269" w:rsidP="00F0107A">
      <w:pPr>
        <w:ind w:firstLine="709"/>
        <w:rPr>
          <w:sz w:val="28"/>
          <w:szCs w:val="28"/>
        </w:rPr>
      </w:pPr>
      <w:r w:rsidRPr="00F00269">
        <w:rPr>
          <w:sz w:val="28"/>
          <w:szCs w:val="28"/>
        </w:rPr>
        <w:t>Готовили 3%-й агарозный гель, который использовался для разделения и визуализации фрагментов ДНК. Брали 5 микролитров амплификата (продукта ПЦР) предварительно смешав пипетированием с красителем 6x Orange – 2 мкл и вносили его в лунки (ямки) агарозного геля. Использовали лестницу ДНК (DNA ladder) 100-1000 br – 5 мкл. Электрофорез проводили при 90 амперах в течение 2 часов.</w:t>
      </w:r>
    </w:p>
    <w:p w:rsidR="00F00269" w:rsidRPr="00F00269" w:rsidRDefault="00F00269" w:rsidP="00F0107A">
      <w:pPr>
        <w:ind w:firstLine="709"/>
        <w:rPr>
          <w:sz w:val="28"/>
          <w:szCs w:val="28"/>
        </w:rPr>
      </w:pPr>
      <w:r w:rsidRPr="00F00269">
        <w:rPr>
          <w:sz w:val="28"/>
          <w:szCs w:val="28"/>
        </w:rPr>
        <w:t xml:space="preserve">После завершения фореза, визуализировали результаты, используя ультрафиолетовый (UV) источник. Фрагменты видны как яркие полосы, и </w:t>
      </w:r>
      <w:r w:rsidRPr="00F00269">
        <w:rPr>
          <w:sz w:val="28"/>
          <w:szCs w:val="28"/>
        </w:rPr>
        <w:lastRenderedPageBreak/>
        <w:t>сравнивая их с лестницей ДНК, оценивали размер амплифицированных продуктов.</w:t>
      </w:r>
    </w:p>
    <w:p w:rsidR="00F00269" w:rsidRDefault="00F00269" w:rsidP="00F0107A">
      <w:pPr>
        <w:ind w:firstLine="709"/>
        <w:rPr>
          <w:sz w:val="28"/>
          <w:szCs w:val="28"/>
        </w:rPr>
      </w:pPr>
      <w:r w:rsidRPr="00F00269">
        <w:rPr>
          <w:sz w:val="28"/>
          <w:szCs w:val="28"/>
        </w:rPr>
        <w:t>3) Для очистки амплифицированных фрагментов от остаточных примесей и ферментов ПЦР использовали протокол QIAquick (QIAGEN) (рисунок 7).</w:t>
      </w:r>
    </w:p>
    <w:p w:rsidR="00F00269" w:rsidRDefault="00F00269" w:rsidP="00F00269">
      <w:pPr>
        <w:rPr>
          <w:sz w:val="28"/>
          <w:szCs w:val="28"/>
        </w:rPr>
      </w:pPr>
    </w:p>
    <w:p w:rsidR="00F00269" w:rsidRPr="00F00269" w:rsidRDefault="00F00269" w:rsidP="00F0107A">
      <w:pPr>
        <w:jc w:val="center"/>
        <w:rPr>
          <w:sz w:val="28"/>
          <w:szCs w:val="28"/>
        </w:rPr>
      </w:pPr>
      <w:r w:rsidRPr="00F00269">
        <w:rPr>
          <w:noProof/>
          <w:sz w:val="28"/>
          <w:szCs w:val="28"/>
          <w:lang w:eastAsia="ru-RU"/>
        </w:rPr>
        <w:drawing>
          <wp:inline distT="0" distB="0" distL="0" distR="0" wp14:anchorId="5D4D889E" wp14:editId="027F001A">
            <wp:extent cx="3969327" cy="1616917"/>
            <wp:effectExtent l="0" t="0" r="0" b="2540"/>
            <wp:docPr id="8" name="Рисунок 8" descr="C:\Users\User\Моноблок\Байменов\2025 год\докторантура\материалы и методы\Рисунки\Рисунок 5 – Набор «QIAquick PCR Purification Ki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Рисунки\Рисунок 5 – Набор «QIAquick PCR Purification Kit».tiff"/>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011982" cy="1634293"/>
                    </a:xfrm>
                    <a:prstGeom prst="rect">
                      <a:avLst/>
                    </a:prstGeom>
                    <a:noFill/>
                    <a:ln>
                      <a:noFill/>
                    </a:ln>
                  </pic:spPr>
                </pic:pic>
              </a:graphicData>
            </a:graphic>
          </wp:inline>
        </w:drawing>
      </w:r>
    </w:p>
    <w:p w:rsidR="00F00269" w:rsidRPr="00193E25" w:rsidRDefault="00F00269" w:rsidP="00F0107A">
      <w:pPr>
        <w:jc w:val="center"/>
        <w:rPr>
          <w:sz w:val="28"/>
          <w:szCs w:val="28"/>
          <w:lang w:val="en-US"/>
        </w:rPr>
      </w:pPr>
      <w:r w:rsidRPr="00F00269">
        <w:rPr>
          <w:sz w:val="28"/>
          <w:szCs w:val="28"/>
        </w:rPr>
        <w:t>Рисунок</w:t>
      </w:r>
      <w:r w:rsidRPr="00193E25">
        <w:rPr>
          <w:sz w:val="28"/>
          <w:szCs w:val="28"/>
          <w:lang w:val="en-US"/>
        </w:rPr>
        <w:t xml:space="preserve"> 7 – </w:t>
      </w:r>
      <w:r w:rsidRPr="00F00269">
        <w:rPr>
          <w:sz w:val="28"/>
          <w:szCs w:val="28"/>
        </w:rPr>
        <w:t>Набор</w:t>
      </w:r>
      <w:r w:rsidRPr="00193E25">
        <w:rPr>
          <w:sz w:val="28"/>
          <w:szCs w:val="28"/>
          <w:lang w:val="en-US"/>
        </w:rPr>
        <w:t xml:space="preserve"> «QIAquick PCR Purification Kit»</w:t>
      </w:r>
    </w:p>
    <w:p w:rsidR="00F00269" w:rsidRPr="00193E25" w:rsidRDefault="00F00269" w:rsidP="00F00269">
      <w:pPr>
        <w:rPr>
          <w:sz w:val="28"/>
          <w:szCs w:val="28"/>
          <w:lang w:val="en-US"/>
        </w:rPr>
      </w:pPr>
    </w:p>
    <w:p w:rsidR="00F00269" w:rsidRDefault="00F00269" w:rsidP="00F0107A">
      <w:pPr>
        <w:ind w:firstLine="709"/>
        <w:rPr>
          <w:sz w:val="28"/>
          <w:szCs w:val="28"/>
        </w:rPr>
      </w:pPr>
      <w:r w:rsidRPr="00F00269">
        <w:rPr>
          <w:sz w:val="28"/>
          <w:szCs w:val="28"/>
        </w:rPr>
        <w:t>Добавляли 5 объемов буфера PB (QIAGEN) к 1 объему реакции ПЦР и перемешивали для связывания ДНК с колонкой QIAquick. Помещали колонку QIAquick в прилагаемую пробирку для сбора 2 мл. Наносили образец на колонку QIAquick и центрифугировали в течение 30-60 с. Для промывки добавляли 750 мкл промывочного буфера PE в колонку QIAquick, центрифугировали в течение 30-60 с чтобы удалить остатки соли и других загрязнений. Центрифугировали колонку QIAquick еще раз в прилагаемой пробирке для сбора 2 мл в течение 1 мин, чтобы удалить остатки промывочного буфера. Помещали каждую колонку QIAquick в чистую пробирку для микроцентрифуги объемом 1,5 мл для сбора элюированной ДНК. ДНК элюировали в 15 мкл MQ с Н2О (бидистилят) и инкубировали 5 мин при комнатной температуре. Центрифугировали 1 мин при 13 000 оборотах. Повторили данный шаг без инкубации для более полной элюции. Конечный продукт - очищенная и готовая для использования ПЦР смесь (рисунок 8).</w:t>
      </w:r>
    </w:p>
    <w:p w:rsidR="00F00269" w:rsidRDefault="00F00269" w:rsidP="00F00269">
      <w:pPr>
        <w:rPr>
          <w:sz w:val="28"/>
          <w:szCs w:val="28"/>
        </w:rPr>
      </w:pPr>
    </w:p>
    <w:p w:rsidR="00F00269" w:rsidRPr="00F00269" w:rsidRDefault="00F00269" w:rsidP="00F0107A">
      <w:pPr>
        <w:jc w:val="center"/>
        <w:rPr>
          <w:sz w:val="28"/>
          <w:szCs w:val="28"/>
        </w:rPr>
      </w:pPr>
      <w:r w:rsidRPr="00F00269">
        <w:rPr>
          <w:noProof/>
          <w:sz w:val="28"/>
          <w:szCs w:val="28"/>
          <w:lang w:eastAsia="ru-RU"/>
        </w:rPr>
        <w:lastRenderedPageBreak/>
        <w:drawing>
          <wp:inline distT="0" distB="0" distL="0" distR="0" wp14:anchorId="5D338BBB" wp14:editId="1D847E2C">
            <wp:extent cx="2057935" cy="3054801"/>
            <wp:effectExtent l="0" t="0" r="0" b="0"/>
            <wp:docPr id="52" name="Рисунок 52" descr="C:\Users\User\Моноблок\Байменов\2025 год\докторантура\материалы и методы\Фото\Рисунок 5 - Процедура очистки амплифицированных фрагментов от остаточных примесей и ферментов ПЦР по протоколу «QIAquick».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Фото\Рисунок 5 - Процедура очистки амплифицированных фрагментов от остаточных примесей и ферментов ПЦР по протоколу «QIAquick».tiff"/>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103765" cy="3122831"/>
                    </a:xfrm>
                    <a:prstGeom prst="rect">
                      <a:avLst/>
                    </a:prstGeom>
                    <a:noFill/>
                    <a:ln>
                      <a:noFill/>
                    </a:ln>
                  </pic:spPr>
                </pic:pic>
              </a:graphicData>
            </a:graphic>
          </wp:inline>
        </w:drawing>
      </w:r>
    </w:p>
    <w:p w:rsidR="00F00269" w:rsidRDefault="00F00269" w:rsidP="00F0107A">
      <w:pPr>
        <w:jc w:val="center"/>
        <w:rPr>
          <w:sz w:val="28"/>
          <w:szCs w:val="28"/>
        </w:rPr>
      </w:pPr>
      <w:r w:rsidRPr="00F00269">
        <w:rPr>
          <w:sz w:val="28"/>
          <w:szCs w:val="28"/>
        </w:rPr>
        <w:t>Рисунок 8 – Процедура очистки амплифицированных фрагментов от остаточных примесей и ферментов ПЦР по протоколу «QIAquick»</w:t>
      </w:r>
    </w:p>
    <w:p w:rsidR="00F44C9A" w:rsidRPr="00F44C9A" w:rsidRDefault="00F44C9A" w:rsidP="00F44C9A">
      <w:pPr>
        <w:rPr>
          <w:sz w:val="28"/>
          <w:szCs w:val="28"/>
        </w:rPr>
      </w:pPr>
    </w:p>
    <w:p w:rsidR="00F44C9A" w:rsidRPr="00F44C9A" w:rsidRDefault="00F44C9A" w:rsidP="00F0107A">
      <w:pPr>
        <w:ind w:firstLine="709"/>
        <w:rPr>
          <w:sz w:val="28"/>
          <w:szCs w:val="28"/>
        </w:rPr>
      </w:pPr>
      <w:r w:rsidRPr="00F44C9A">
        <w:rPr>
          <w:sz w:val="28"/>
          <w:szCs w:val="28"/>
        </w:rPr>
        <w:t xml:space="preserve">4) Реакция лигирования продуктов ПЦР в вектор pTG19-T. Реакцию лигирования проводили с использованием вектора для ПЦР-клонирования pTG19-T (Vivantis Technologies). </w:t>
      </w:r>
    </w:p>
    <w:p w:rsidR="00F44C9A" w:rsidRPr="00F44C9A" w:rsidRDefault="00F44C9A" w:rsidP="00F0107A">
      <w:pPr>
        <w:ind w:firstLine="709"/>
        <w:rPr>
          <w:sz w:val="28"/>
          <w:szCs w:val="28"/>
        </w:rPr>
      </w:pPr>
      <w:r w:rsidRPr="00F44C9A">
        <w:rPr>
          <w:sz w:val="28"/>
          <w:szCs w:val="28"/>
        </w:rPr>
        <w:t>Подготовка реакционной смеси. Компоненты смешивали следующим образом:</w:t>
      </w:r>
    </w:p>
    <w:p w:rsidR="00F44C9A" w:rsidRPr="00F44C9A" w:rsidRDefault="00F44C9A" w:rsidP="00F0107A">
      <w:pPr>
        <w:ind w:firstLine="709"/>
        <w:rPr>
          <w:sz w:val="28"/>
          <w:szCs w:val="28"/>
        </w:rPr>
      </w:pPr>
      <w:r w:rsidRPr="00F44C9A">
        <w:rPr>
          <w:sz w:val="28"/>
          <w:szCs w:val="28"/>
        </w:rPr>
        <w:t>– 2 мкл вектора pGT-19;</w:t>
      </w:r>
    </w:p>
    <w:p w:rsidR="00F44C9A" w:rsidRPr="00F44C9A" w:rsidRDefault="00F44C9A" w:rsidP="00F0107A">
      <w:pPr>
        <w:ind w:firstLine="709"/>
        <w:rPr>
          <w:sz w:val="28"/>
          <w:szCs w:val="28"/>
        </w:rPr>
      </w:pPr>
      <w:r w:rsidRPr="00F44C9A">
        <w:rPr>
          <w:sz w:val="28"/>
          <w:szCs w:val="28"/>
        </w:rPr>
        <w:t>– 1 мкл 10х T4 лигазного буфера;</w:t>
      </w:r>
    </w:p>
    <w:p w:rsidR="00F44C9A" w:rsidRPr="00F44C9A" w:rsidRDefault="00F44C9A" w:rsidP="00F0107A">
      <w:pPr>
        <w:ind w:firstLine="709"/>
        <w:rPr>
          <w:sz w:val="28"/>
          <w:szCs w:val="28"/>
        </w:rPr>
      </w:pPr>
      <w:r w:rsidRPr="00F44C9A">
        <w:rPr>
          <w:sz w:val="28"/>
          <w:szCs w:val="28"/>
        </w:rPr>
        <w:t>– 1 мкл T4 ДНК-лигазы;</w:t>
      </w:r>
    </w:p>
    <w:p w:rsidR="00F44C9A" w:rsidRPr="00F44C9A" w:rsidRDefault="00F44C9A" w:rsidP="00F0107A">
      <w:pPr>
        <w:ind w:firstLine="709"/>
        <w:rPr>
          <w:sz w:val="28"/>
          <w:szCs w:val="28"/>
        </w:rPr>
      </w:pPr>
      <w:r w:rsidRPr="00F44C9A">
        <w:rPr>
          <w:sz w:val="28"/>
          <w:szCs w:val="28"/>
        </w:rPr>
        <w:t>– 5 мкл вставки;</w:t>
      </w:r>
    </w:p>
    <w:p w:rsidR="00F44C9A" w:rsidRPr="00F44C9A" w:rsidRDefault="00F44C9A" w:rsidP="00F0107A">
      <w:pPr>
        <w:ind w:firstLine="709"/>
        <w:rPr>
          <w:sz w:val="28"/>
          <w:szCs w:val="28"/>
        </w:rPr>
      </w:pPr>
      <w:r w:rsidRPr="00F44C9A">
        <w:rPr>
          <w:sz w:val="28"/>
          <w:szCs w:val="28"/>
        </w:rPr>
        <w:t>– Доводили водой до объема 10 мкл.</w:t>
      </w:r>
    </w:p>
    <w:p w:rsidR="00F44C9A" w:rsidRPr="00F44C9A" w:rsidRDefault="00F44C9A" w:rsidP="00F0107A">
      <w:pPr>
        <w:ind w:firstLine="709"/>
        <w:rPr>
          <w:sz w:val="28"/>
          <w:szCs w:val="28"/>
        </w:rPr>
      </w:pPr>
      <w:r w:rsidRPr="00F44C9A">
        <w:rPr>
          <w:sz w:val="28"/>
          <w:szCs w:val="28"/>
        </w:rPr>
        <w:t>Реакцию проводили в течение 60 минут при комнатной температуре.</w:t>
      </w:r>
    </w:p>
    <w:p w:rsidR="00F44C9A" w:rsidRDefault="00F44C9A" w:rsidP="00F0107A">
      <w:pPr>
        <w:ind w:firstLine="709"/>
        <w:rPr>
          <w:sz w:val="28"/>
          <w:szCs w:val="28"/>
        </w:rPr>
      </w:pPr>
      <w:r w:rsidRPr="00F44C9A">
        <w:rPr>
          <w:sz w:val="28"/>
          <w:szCs w:val="28"/>
        </w:rPr>
        <w:t>5) Трансформация полученной смеси в клетки E. coli. Клонирование проводили с использованием хемо компетентных клеток E. coli DH5a (рисунок 9).</w:t>
      </w:r>
    </w:p>
    <w:p w:rsidR="00F44C9A" w:rsidRDefault="00F44C9A" w:rsidP="00F44C9A">
      <w:pPr>
        <w:rPr>
          <w:sz w:val="28"/>
          <w:szCs w:val="28"/>
        </w:rPr>
      </w:pPr>
    </w:p>
    <w:p w:rsidR="00F44C9A" w:rsidRPr="00F44C9A" w:rsidRDefault="00F44C9A" w:rsidP="00F0107A">
      <w:pPr>
        <w:jc w:val="center"/>
        <w:rPr>
          <w:sz w:val="28"/>
          <w:szCs w:val="28"/>
        </w:rPr>
      </w:pPr>
      <w:r w:rsidRPr="00F44C9A">
        <w:rPr>
          <w:noProof/>
          <w:sz w:val="28"/>
          <w:szCs w:val="28"/>
          <w:lang w:eastAsia="ru-RU"/>
        </w:rPr>
        <w:drawing>
          <wp:inline distT="0" distB="0" distL="0" distR="0" wp14:anchorId="7EE9246A" wp14:editId="5126ECD2">
            <wp:extent cx="3990109" cy="1186633"/>
            <wp:effectExtent l="0" t="0" r="0" b="0"/>
            <wp:docPr id="63" name="Рисунок 63" descr="C:\Users\User\Моноблок\Байменов\2025 год\докторантура\материалы и методы\Фото\Рисунок 6 – Трансформация рекомбинантной ДНК в хемо компетентные клетки E. coli DH5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Моноблок\Байменов\2025 год\докторантура\материалы и методы\Фото\Рисунок 6 – Трансформация рекомбинантной ДНК в хемо компетентные клетки E. coli DH5a.tiff"/>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106952" cy="1221381"/>
                    </a:xfrm>
                    <a:prstGeom prst="rect">
                      <a:avLst/>
                    </a:prstGeom>
                    <a:noFill/>
                    <a:ln>
                      <a:noFill/>
                    </a:ln>
                  </pic:spPr>
                </pic:pic>
              </a:graphicData>
            </a:graphic>
          </wp:inline>
        </w:drawing>
      </w:r>
    </w:p>
    <w:p w:rsidR="00F44C9A" w:rsidRDefault="00F44C9A" w:rsidP="00F0107A">
      <w:pPr>
        <w:jc w:val="center"/>
        <w:rPr>
          <w:sz w:val="28"/>
          <w:szCs w:val="28"/>
        </w:rPr>
      </w:pPr>
      <w:r w:rsidRPr="00F44C9A">
        <w:rPr>
          <w:sz w:val="28"/>
          <w:szCs w:val="28"/>
        </w:rPr>
        <w:t>Рисунок 9 – Трансформация рекомбинантной ДНК в хемо компетентные клетки E. coli DH5a</w:t>
      </w:r>
    </w:p>
    <w:p w:rsidR="00F44C9A" w:rsidRDefault="00F44C9A" w:rsidP="00F44C9A">
      <w:pPr>
        <w:rPr>
          <w:sz w:val="28"/>
          <w:szCs w:val="28"/>
        </w:rPr>
      </w:pPr>
    </w:p>
    <w:p w:rsidR="00F44C9A" w:rsidRPr="00F0107A" w:rsidRDefault="00F44C9A" w:rsidP="00F0107A">
      <w:pPr>
        <w:ind w:firstLine="709"/>
        <w:rPr>
          <w:sz w:val="28"/>
          <w:szCs w:val="28"/>
        </w:rPr>
      </w:pPr>
      <w:r w:rsidRPr="00F0107A">
        <w:rPr>
          <w:sz w:val="28"/>
          <w:szCs w:val="28"/>
        </w:rPr>
        <w:lastRenderedPageBreak/>
        <w:t xml:space="preserve">Для предотвращения повреждения клеток и обеспечения их оптимального состояния для трансформации, химически компетентные клетки E. coli DH5a размораживали на льду в течение 20 минут. 5 мкл лигазной смеси добавляли к 50 мкл химически компетентных клеток. Смесь инкубировали на льду в течение 30 минут. </w:t>
      </w:r>
    </w:p>
    <w:p w:rsidR="00F44C9A" w:rsidRPr="00F0107A" w:rsidRDefault="00F44C9A" w:rsidP="00F0107A">
      <w:pPr>
        <w:ind w:firstLine="709"/>
        <w:rPr>
          <w:sz w:val="28"/>
          <w:szCs w:val="28"/>
        </w:rPr>
      </w:pPr>
      <w:r w:rsidRPr="00F0107A">
        <w:rPr>
          <w:sz w:val="28"/>
          <w:szCs w:val="28"/>
        </w:rPr>
        <w:t xml:space="preserve">Тепловой шок (тепловой удар): </w:t>
      </w:r>
      <w:r w:rsidR="00F0107A" w:rsidRPr="00F0107A">
        <w:rPr>
          <w:sz w:val="28"/>
          <w:szCs w:val="28"/>
        </w:rPr>
        <w:t>с</w:t>
      </w:r>
      <w:r w:rsidRPr="00F0107A">
        <w:rPr>
          <w:sz w:val="28"/>
          <w:szCs w:val="28"/>
        </w:rPr>
        <w:t>месь переносится в водяную баню с температурой 42°C на 90 секунд. Этот шаг создает временные поры в клеточной мембране, что облегчает введение рекомбинантной ДНК внутрь клеток.</w:t>
      </w:r>
    </w:p>
    <w:p w:rsidR="00F44C9A" w:rsidRPr="00F0107A" w:rsidRDefault="00F44C9A" w:rsidP="00F0107A">
      <w:pPr>
        <w:ind w:firstLine="709"/>
        <w:rPr>
          <w:sz w:val="28"/>
          <w:szCs w:val="28"/>
        </w:rPr>
      </w:pPr>
      <w:r w:rsidRPr="00F0107A">
        <w:rPr>
          <w:sz w:val="28"/>
          <w:szCs w:val="28"/>
        </w:rPr>
        <w:t>После теплового удара смесь инкубировалась на льду еще 1 минуту. Затем добавляли 200 мкл свежей SOC-среды (Tryptone 20 g/l, Yeast extract 5 g/l, NaCl 0.5 g/l), предварительно прогретой до 37°C. SOC-среда содержит компоненты, способствующие восстановлению клеток после трансформации.</w:t>
      </w:r>
    </w:p>
    <w:p w:rsidR="00F44C9A" w:rsidRPr="00F0107A" w:rsidRDefault="00F44C9A" w:rsidP="00F0107A">
      <w:pPr>
        <w:ind w:firstLine="709"/>
        <w:rPr>
          <w:sz w:val="28"/>
          <w:szCs w:val="28"/>
        </w:rPr>
      </w:pPr>
      <w:r w:rsidRPr="00F0107A">
        <w:rPr>
          <w:sz w:val="28"/>
          <w:szCs w:val="28"/>
        </w:rPr>
        <w:t>Пробирки инкубировали в шейкере при 37°C и 200 об/мин в течение 90 минут. Этот этап обеспечивает оптимальные условия для восстановления и роста трансформированных клеток (рисунок 10).</w:t>
      </w:r>
    </w:p>
    <w:p w:rsidR="00F44C9A" w:rsidRDefault="00F44C9A" w:rsidP="00F44C9A">
      <w:pPr>
        <w:rPr>
          <w:sz w:val="28"/>
          <w:szCs w:val="28"/>
        </w:rPr>
      </w:pPr>
    </w:p>
    <w:p w:rsidR="00F44C9A" w:rsidRPr="00F44C9A" w:rsidRDefault="00F44C9A" w:rsidP="00F0107A">
      <w:pPr>
        <w:jc w:val="center"/>
        <w:rPr>
          <w:sz w:val="28"/>
          <w:szCs w:val="28"/>
        </w:rPr>
      </w:pPr>
      <w:r w:rsidRPr="00F44C9A">
        <w:rPr>
          <w:noProof/>
          <w:sz w:val="28"/>
          <w:szCs w:val="28"/>
          <w:lang w:eastAsia="ru-RU"/>
        </w:rPr>
        <w:drawing>
          <wp:inline distT="0" distB="0" distL="0" distR="0" wp14:anchorId="5D5806EF" wp14:editId="150EE614">
            <wp:extent cx="3953841" cy="2963333"/>
            <wp:effectExtent l="0" t="0" r="8890" b="8890"/>
            <wp:docPr id="30" name="Рисунок 30" descr="C:\Users\User\Моноблок\Байменов\2025 год\докторантура\материалы и методы\Рисунки\Рисунок 8 – Трансформация лигазной смеси.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Моноблок\Байменов\2025 год\докторантура\материалы и методы\Рисунки\Рисунок 8 – Трансформация лигазной смеси.tiff"/>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074966" cy="3054114"/>
                    </a:xfrm>
                    <a:prstGeom prst="rect">
                      <a:avLst/>
                    </a:prstGeom>
                    <a:noFill/>
                    <a:ln>
                      <a:noFill/>
                    </a:ln>
                  </pic:spPr>
                </pic:pic>
              </a:graphicData>
            </a:graphic>
          </wp:inline>
        </w:drawing>
      </w:r>
    </w:p>
    <w:p w:rsidR="00F44C9A" w:rsidRDefault="00F44C9A" w:rsidP="00F0107A">
      <w:pPr>
        <w:jc w:val="center"/>
        <w:rPr>
          <w:sz w:val="28"/>
          <w:szCs w:val="28"/>
        </w:rPr>
      </w:pPr>
      <w:r w:rsidRPr="00F44C9A">
        <w:rPr>
          <w:sz w:val="28"/>
          <w:szCs w:val="28"/>
        </w:rPr>
        <w:t xml:space="preserve">Рисунок 10 – </w:t>
      </w:r>
      <w:r w:rsidR="00BA01CD" w:rsidRPr="00BA01CD">
        <w:rPr>
          <w:sz w:val="28"/>
          <w:szCs w:val="28"/>
        </w:rPr>
        <w:t>Процесс трансформации лигазной смеси в термошейкере</w:t>
      </w:r>
    </w:p>
    <w:p w:rsidR="00F44C9A" w:rsidRPr="00F44C9A" w:rsidRDefault="00F44C9A" w:rsidP="00F44C9A">
      <w:pPr>
        <w:rPr>
          <w:sz w:val="28"/>
          <w:szCs w:val="28"/>
        </w:rPr>
      </w:pPr>
    </w:p>
    <w:p w:rsidR="00F44C9A" w:rsidRPr="00F44C9A" w:rsidRDefault="00F44C9A" w:rsidP="00F0107A">
      <w:pPr>
        <w:ind w:firstLine="709"/>
        <w:rPr>
          <w:sz w:val="28"/>
          <w:szCs w:val="28"/>
        </w:rPr>
      </w:pPr>
      <w:r w:rsidRPr="00F44C9A">
        <w:rPr>
          <w:sz w:val="28"/>
          <w:szCs w:val="28"/>
        </w:rPr>
        <w:t>Весь объем культуры переносили на предварительно прогретую чашку Петри и растирали до полного впитывания. После этого инкубировали на ночь при 37°C крышкой вниз.</w:t>
      </w:r>
    </w:p>
    <w:p w:rsidR="00F44C9A" w:rsidRPr="00F44C9A" w:rsidRDefault="00F44C9A" w:rsidP="00F0107A">
      <w:pPr>
        <w:ind w:firstLine="709"/>
        <w:rPr>
          <w:sz w:val="28"/>
          <w:szCs w:val="28"/>
        </w:rPr>
      </w:pPr>
      <w:r w:rsidRPr="00F44C9A">
        <w:rPr>
          <w:sz w:val="28"/>
          <w:szCs w:val="28"/>
        </w:rPr>
        <w:t xml:space="preserve"> Результат реакции – образование клонов, содержащих необходимый вектор с вставкой.</w:t>
      </w:r>
    </w:p>
    <w:p w:rsidR="00F44C9A" w:rsidRPr="00F44C9A" w:rsidRDefault="00F44C9A" w:rsidP="00F0107A">
      <w:pPr>
        <w:ind w:firstLine="709"/>
        <w:rPr>
          <w:sz w:val="28"/>
          <w:szCs w:val="28"/>
        </w:rPr>
      </w:pPr>
      <w:r w:rsidRPr="00F44C9A">
        <w:rPr>
          <w:sz w:val="28"/>
          <w:szCs w:val="28"/>
        </w:rPr>
        <w:t>6) Скрининг колоний после трансформации методом бело-голубой селекции. Клетки, содержащие рекомбинантные вставки в векторе, проявляют белый цвет на агаровой среде, благодаря взаимодействию белого хлорамфениколь-галактозидного субстрата с рекомбинантной β-галактозидазой в вставке.</w:t>
      </w:r>
    </w:p>
    <w:p w:rsidR="00F44C9A" w:rsidRPr="00F44C9A" w:rsidRDefault="00F44C9A" w:rsidP="00F0107A">
      <w:pPr>
        <w:ind w:firstLine="709"/>
        <w:rPr>
          <w:sz w:val="28"/>
          <w:szCs w:val="28"/>
        </w:rPr>
      </w:pPr>
      <w:r w:rsidRPr="00F44C9A">
        <w:rPr>
          <w:sz w:val="28"/>
          <w:szCs w:val="28"/>
        </w:rPr>
        <w:lastRenderedPageBreak/>
        <w:t>Белые колонии, проявившие положительный сигнал в результате бело-голубой селекции, пересевали на чистый агар для отделения одиночных клонов.</w:t>
      </w:r>
    </w:p>
    <w:p w:rsidR="00F44C9A" w:rsidRPr="00F44C9A" w:rsidRDefault="00F44C9A" w:rsidP="00F0107A">
      <w:pPr>
        <w:ind w:firstLine="709"/>
        <w:rPr>
          <w:sz w:val="28"/>
          <w:szCs w:val="28"/>
        </w:rPr>
      </w:pPr>
      <w:r w:rsidRPr="00F44C9A">
        <w:rPr>
          <w:sz w:val="28"/>
          <w:szCs w:val="28"/>
        </w:rPr>
        <w:t>Выбранные белые колонии анализировали методом ПЦР с использованием специфических праймеров, разработанных для амплификации области вставки в векторе. Минуя этап выделения ДНК из клеток, белую колонию помещали прямо в реакционную смесь ПЦР. Это упрощает процесс, поскольку не требуется предварительное выделение ДНК.</w:t>
      </w:r>
    </w:p>
    <w:p w:rsidR="00F44C9A" w:rsidRPr="00F44C9A" w:rsidRDefault="00F44C9A" w:rsidP="00F0107A">
      <w:pPr>
        <w:ind w:firstLine="709"/>
        <w:rPr>
          <w:sz w:val="28"/>
          <w:szCs w:val="28"/>
        </w:rPr>
      </w:pPr>
      <w:r w:rsidRPr="00F44C9A">
        <w:rPr>
          <w:sz w:val="28"/>
          <w:szCs w:val="28"/>
        </w:rPr>
        <w:t>Результаты ПЦР анализировали на 1% агарозном геле, содержащем DNA маркер. Продукты ПЦР разделяются по размеру, и наличие желаемой полосы свидетельствует о наличии рекомбинантной вставки в клоне.</w:t>
      </w:r>
    </w:p>
    <w:p w:rsidR="00F44C9A" w:rsidRPr="00F44C9A" w:rsidRDefault="00F44C9A" w:rsidP="00F0107A">
      <w:pPr>
        <w:ind w:firstLine="709"/>
        <w:rPr>
          <w:sz w:val="28"/>
          <w:szCs w:val="28"/>
        </w:rPr>
      </w:pPr>
      <w:r w:rsidRPr="00F44C9A">
        <w:rPr>
          <w:sz w:val="28"/>
          <w:szCs w:val="28"/>
        </w:rPr>
        <w:t>Положительные бактерии на наличие специфических вставок генов переносили на жидкую среду LB с ампициллином. Инкубировали в течение ночи 37°C, и после центрифугирования получали осадок бактериальных клеток.</w:t>
      </w:r>
    </w:p>
    <w:p w:rsidR="00F44C9A" w:rsidRPr="00F44C9A" w:rsidRDefault="00F44C9A" w:rsidP="00F0107A">
      <w:pPr>
        <w:ind w:firstLine="709"/>
        <w:rPr>
          <w:sz w:val="28"/>
          <w:szCs w:val="28"/>
        </w:rPr>
      </w:pPr>
      <w:r w:rsidRPr="00F44C9A">
        <w:rPr>
          <w:sz w:val="28"/>
          <w:szCs w:val="28"/>
        </w:rPr>
        <w:t>Выделение плазмидной ДНК из бактериальных клеток производили с помощью набора реагентов «GeneJet Plasmid Miniprep Kit» от Thermo Fisher Scientific по протоколу производителя.</w:t>
      </w:r>
    </w:p>
    <w:p w:rsidR="00FE1507" w:rsidRDefault="00FE1507" w:rsidP="00F0107A">
      <w:pPr>
        <w:ind w:firstLine="709"/>
        <w:rPr>
          <w:b/>
          <w:sz w:val="28"/>
          <w:szCs w:val="28"/>
        </w:rPr>
      </w:pPr>
    </w:p>
    <w:p w:rsidR="00F44C9A" w:rsidRPr="000D6CCE" w:rsidRDefault="00F44C9A" w:rsidP="00F0107A">
      <w:pPr>
        <w:ind w:firstLine="709"/>
        <w:rPr>
          <w:b/>
          <w:sz w:val="28"/>
          <w:szCs w:val="28"/>
        </w:rPr>
      </w:pPr>
      <w:r w:rsidRPr="000D6CCE">
        <w:rPr>
          <w:b/>
          <w:sz w:val="28"/>
          <w:szCs w:val="28"/>
        </w:rPr>
        <w:t>2.2 Статистический анализ</w:t>
      </w:r>
    </w:p>
    <w:p w:rsidR="00F44C9A" w:rsidRPr="00F44C9A" w:rsidRDefault="00F44C9A" w:rsidP="00F0107A">
      <w:pPr>
        <w:ind w:firstLine="709"/>
        <w:rPr>
          <w:sz w:val="28"/>
          <w:szCs w:val="28"/>
        </w:rPr>
      </w:pPr>
      <w:r w:rsidRPr="00F44C9A">
        <w:rPr>
          <w:sz w:val="28"/>
          <w:szCs w:val="28"/>
        </w:rPr>
        <w:t xml:space="preserve">Для оценки производительности и соответствия ПЦР теста по исследуемым генам с фенотипическими методами (микробиологический и ДД методы), были рассчитаны следующие параметры: </w:t>
      </w:r>
    </w:p>
    <w:p w:rsidR="00F44C9A" w:rsidRPr="00F44C9A" w:rsidRDefault="00F44C9A" w:rsidP="00F0107A">
      <w:pPr>
        <w:ind w:firstLine="709"/>
        <w:rPr>
          <w:sz w:val="28"/>
          <w:szCs w:val="28"/>
        </w:rPr>
      </w:pPr>
      <w:r w:rsidRPr="00F44C9A">
        <w:rPr>
          <w:sz w:val="28"/>
          <w:szCs w:val="28"/>
        </w:rPr>
        <w:t xml:space="preserve">– диагностическая чувствительность, формула (4); </w:t>
      </w:r>
    </w:p>
    <w:p w:rsidR="00F44C9A" w:rsidRPr="00F44C9A" w:rsidRDefault="00F44C9A" w:rsidP="00F0107A">
      <w:pPr>
        <w:ind w:firstLine="709"/>
        <w:rPr>
          <w:sz w:val="28"/>
          <w:szCs w:val="28"/>
        </w:rPr>
      </w:pPr>
      <w:r w:rsidRPr="00F44C9A">
        <w:rPr>
          <w:sz w:val="28"/>
          <w:szCs w:val="28"/>
        </w:rPr>
        <w:t>– диагностическая специфичность, формула (5);</w:t>
      </w:r>
    </w:p>
    <w:p w:rsidR="00F44C9A" w:rsidRPr="00F44C9A" w:rsidRDefault="00F44C9A" w:rsidP="00F0107A">
      <w:pPr>
        <w:ind w:firstLine="709"/>
        <w:rPr>
          <w:sz w:val="28"/>
          <w:szCs w:val="28"/>
        </w:rPr>
      </w:pPr>
      <w:r w:rsidRPr="00F44C9A">
        <w:rPr>
          <w:sz w:val="28"/>
          <w:szCs w:val="28"/>
        </w:rPr>
        <w:t>– положительная прогностическая ценность, формула (6);</w:t>
      </w:r>
    </w:p>
    <w:p w:rsidR="00F44C9A" w:rsidRPr="00F44C9A" w:rsidRDefault="00F44C9A" w:rsidP="00F0107A">
      <w:pPr>
        <w:ind w:firstLine="709"/>
        <w:rPr>
          <w:sz w:val="28"/>
          <w:szCs w:val="28"/>
        </w:rPr>
      </w:pPr>
      <w:r w:rsidRPr="00F44C9A">
        <w:rPr>
          <w:sz w:val="28"/>
          <w:szCs w:val="28"/>
        </w:rPr>
        <w:t>– отрицательная прогностическая ценность, формула (7).</w:t>
      </w:r>
    </w:p>
    <w:p w:rsidR="00F44C9A" w:rsidRDefault="00F44C9A" w:rsidP="00F0107A">
      <w:pPr>
        <w:ind w:firstLine="709"/>
        <w:rPr>
          <w:sz w:val="28"/>
          <w:szCs w:val="28"/>
        </w:rPr>
      </w:pPr>
      <w:r w:rsidRPr="00F44C9A">
        <w:rPr>
          <w:sz w:val="28"/>
          <w:szCs w:val="28"/>
        </w:rPr>
        <w:t xml:space="preserve">Параметры оценивались соотношением истинно и ложноотрицательных, истинно и ложноположительных результатов (рисунок 11) [382, </w:t>
      </w:r>
      <w:r w:rsidR="007E1CC3">
        <w:rPr>
          <w:sz w:val="28"/>
          <w:szCs w:val="28"/>
        </w:rPr>
        <w:t xml:space="preserve">с. </w:t>
      </w:r>
      <w:r w:rsidR="007E1CC3" w:rsidRPr="007E1CC3">
        <w:rPr>
          <w:sz w:val="28"/>
          <w:szCs w:val="28"/>
        </w:rPr>
        <w:t>1817</w:t>
      </w:r>
      <w:r w:rsidR="007E1CC3">
        <w:rPr>
          <w:sz w:val="28"/>
          <w:szCs w:val="28"/>
        </w:rPr>
        <w:t xml:space="preserve">; </w:t>
      </w:r>
      <w:r w:rsidRPr="00F44C9A">
        <w:rPr>
          <w:sz w:val="28"/>
          <w:szCs w:val="28"/>
        </w:rPr>
        <w:t>393].</w:t>
      </w:r>
    </w:p>
    <w:p w:rsidR="00F44C9A" w:rsidRDefault="00F44C9A" w:rsidP="00F44C9A">
      <w:pPr>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6662"/>
        <w:gridCol w:w="1411"/>
      </w:tblGrid>
      <w:tr w:rsidR="00F44C9A" w:rsidRPr="00F44C9A" w:rsidTr="00193E25">
        <w:tc>
          <w:tcPr>
            <w:tcW w:w="1555" w:type="dxa"/>
          </w:tcPr>
          <w:p w:rsidR="00F44C9A" w:rsidRPr="00F44C9A" w:rsidRDefault="00F44C9A" w:rsidP="00F44C9A">
            <w:pPr>
              <w:rPr>
                <w:sz w:val="28"/>
                <w:szCs w:val="28"/>
              </w:rPr>
            </w:pPr>
          </w:p>
        </w:tc>
        <w:tc>
          <w:tcPr>
            <w:tcW w:w="6662" w:type="dxa"/>
          </w:tcPr>
          <w:p w:rsidR="00F44C9A" w:rsidRPr="00F44C9A" w:rsidRDefault="00F44C9A" w:rsidP="00F44C9A">
            <w:pPr>
              <w:rPr>
                <w:sz w:val="28"/>
                <w:szCs w:val="28"/>
              </w:rPr>
            </w:pPr>
            <w:r w:rsidRPr="00F44C9A">
              <w:rPr>
                <w:sz w:val="28"/>
                <w:szCs w:val="28"/>
              </w:rPr>
              <w:t>Sensitivity = [a/(a+c)]×100</w:t>
            </w:r>
          </w:p>
        </w:tc>
        <w:tc>
          <w:tcPr>
            <w:tcW w:w="1411" w:type="dxa"/>
            <w:vAlign w:val="center"/>
          </w:tcPr>
          <w:p w:rsidR="00F44C9A" w:rsidRPr="00F44C9A" w:rsidRDefault="00F44C9A" w:rsidP="00F44C9A">
            <w:pPr>
              <w:jc w:val="right"/>
              <w:rPr>
                <w:sz w:val="28"/>
                <w:szCs w:val="28"/>
              </w:rPr>
            </w:pPr>
            <w:r w:rsidRPr="00F44C9A">
              <w:rPr>
                <w:sz w:val="28"/>
                <w:szCs w:val="28"/>
              </w:rPr>
              <w:t>(4)</w:t>
            </w:r>
          </w:p>
          <w:p w:rsidR="00F44C9A" w:rsidRPr="00F44C9A" w:rsidRDefault="00F44C9A" w:rsidP="00F44C9A">
            <w:pPr>
              <w:jc w:val="right"/>
              <w:rPr>
                <w:sz w:val="28"/>
                <w:szCs w:val="28"/>
              </w:rPr>
            </w:pPr>
          </w:p>
        </w:tc>
      </w:tr>
      <w:tr w:rsidR="00F44C9A" w:rsidRPr="00F44C9A" w:rsidTr="00193E25">
        <w:tc>
          <w:tcPr>
            <w:tcW w:w="1555" w:type="dxa"/>
          </w:tcPr>
          <w:p w:rsidR="00F44C9A" w:rsidRPr="00F44C9A" w:rsidRDefault="00F44C9A" w:rsidP="00F44C9A">
            <w:pPr>
              <w:rPr>
                <w:sz w:val="28"/>
                <w:szCs w:val="28"/>
              </w:rPr>
            </w:pPr>
          </w:p>
        </w:tc>
        <w:tc>
          <w:tcPr>
            <w:tcW w:w="6662" w:type="dxa"/>
          </w:tcPr>
          <w:p w:rsidR="00F44C9A" w:rsidRPr="00F44C9A" w:rsidRDefault="00F44C9A" w:rsidP="00F44C9A">
            <w:pPr>
              <w:rPr>
                <w:sz w:val="28"/>
                <w:szCs w:val="28"/>
              </w:rPr>
            </w:pPr>
            <w:r w:rsidRPr="00F44C9A">
              <w:rPr>
                <w:sz w:val="28"/>
                <w:szCs w:val="28"/>
              </w:rPr>
              <w:t>Specificity = [d/(b+d)]×100</w:t>
            </w:r>
          </w:p>
        </w:tc>
        <w:tc>
          <w:tcPr>
            <w:tcW w:w="1411" w:type="dxa"/>
            <w:vAlign w:val="center"/>
          </w:tcPr>
          <w:p w:rsidR="00F44C9A" w:rsidRPr="00F44C9A" w:rsidRDefault="00F44C9A" w:rsidP="00F44C9A">
            <w:pPr>
              <w:jc w:val="right"/>
              <w:rPr>
                <w:sz w:val="28"/>
                <w:szCs w:val="28"/>
              </w:rPr>
            </w:pPr>
            <w:r w:rsidRPr="00F44C9A">
              <w:rPr>
                <w:sz w:val="28"/>
                <w:szCs w:val="28"/>
              </w:rPr>
              <w:t>(5)</w:t>
            </w:r>
          </w:p>
          <w:p w:rsidR="00F44C9A" w:rsidRPr="00F44C9A" w:rsidRDefault="00F44C9A" w:rsidP="00F44C9A">
            <w:pPr>
              <w:jc w:val="right"/>
              <w:rPr>
                <w:sz w:val="28"/>
                <w:szCs w:val="28"/>
              </w:rPr>
            </w:pPr>
          </w:p>
        </w:tc>
      </w:tr>
      <w:tr w:rsidR="00F44C9A" w:rsidRPr="00F44C9A" w:rsidTr="00193E25">
        <w:tc>
          <w:tcPr>
            <w:tcW w:w="1555" w:type="dxa"/>
          </w:tcPr>
          <w:p w:rsidR="00F44C9A" w:rsidRPr="00F44C9A" w:rsidRDefault="00F44C9A" w:rsidP="00F44C9A">
            <w:pPr>
              <w:rPr>
                <w:sz w:val="28"/>
                <w:szCs w:val="28"/>
              </w:rPr>
            </w:pPr>
          </w:p>
        </w:tc>
        <w:tc>
          <w:tcPr>
            <w:tcW w:w="6662" w:type="dxa"/>
          </w:tcPr>
          <w:p w:rsidR="00F44C9A" w:rsidRPr="00193E25" w:rsidRDefault="00F44C9A" w:rsidP="00F44C9A">
            <w:pPr>
              <w:rPr>
                <w:sz w:val="28"/>
                <w:szCs w:val="28"/>
                <w:lang w:val="en-US"/>
              </w:rPr>
            </w:pPr>
            <w:r w:rsidRPr="00193E25">
              <w:rPr>
                <w:sz w:val="28"/>
                <w:szCs w:val="28"/>
                <w:lang w:val="en-US"/>
              </w:rPr>
              <w:t>Positive predictive value (PPV) = [a/(a+b)]×100</w:t>
            </w:r>
          </w:p>
        </w:tc>
        <w:tc>
          <w:tcPr>
            <w:tcW w:w="1411" w:type="dxa"/>
            <w:vAlign w:val="center"/>
          </w:tcPr>
          <w:p w:rsidR="00F44C9A" w:rsidRPr="00F44C9A" w:rsidRDefault="00F44C9A" w:rsidP="00F44C9A">
            <w:pPr>
              <w:jc w:val="right"/>
              <w:rPr>
                <w:sz w:val="28"/>
                <w:szCs w:val="28"/>
              </w:rPr>
            </w:pPr>
            <w:r w:rsidRPr="00F44C9A">
              <w:rPr>
                <w:sz w:val="28"/>
                <w:szCs w:val="28"/>
              </w:rPr>
              <w:t>(6)</w:t>
            </w:r>
          </w:p>
          <w:p w:rsidR="00F44C9A" w:rsidRPr="00F44C9A" w:rsidRDefault="00F44C9A" w:rsidP="00F44C9A">
            <w:pPr>
              <w:jc w:val="right"/>
              <w:rPr>
                <w:sz w:val="28"/>
                <w:szCs w:val="28"/>
              </w:rPr>
            </w:pPr>
          </w:p>
        </w:tc>
      </w:tr>
      <w:tr w:rsidR="00F44C9A" w:rsidRPr="00F44C9A" w:rsidTr="00193E25">
        <w:tc>
          <w:tcPr>
            <w:tcW w:w="1555" w:type="dxa"/>
          </w:tcPr>
          <w:p w:rsidR="00F44C9A" w:rsidRPr="00F44C9A" w:rsidRDefault="00F44C9A" w:rsidP="00F44C9A">
            <w:pPr>
              <w:rPr>
                <w:sz w:val="28"/>
                <w:szCs w:val="28"/>
              </w:rPr>
            </w:pPr>
          </w:p>
        </w:tc>
        <w:tc>
          <w:tcPr>
            <w:tcW w:w="6662" w:type="dxa"/>
          </w:tcPr>
          <w:p w:rsidR="00F44C9A" w:rsidRPr="00193E25" w:rsidRDefault="00F44C9A" w:rsidP="00F44C9A">
            <w:pPr>
              <w:rPr>
                <w:sz w:val="28"/>
                <w:szCs w:val="28"/>
                <w:lang w:val="en-US"/>
              </w:rPr>
            </w:pPr>
            <w:r w:rsidRPr="00193E25">
              <w:rPr>
                <w:sz w:val="28"/>
                <w:szCs w:val="28"/>
                <w:lang w:val="en-US"/>
              </w:rPr>
              <w:t>Negative predictive value (NPV) = [d/(c+d)]×100</w:t>
            </w:r>
          </w:p>
        </w:tc>
        <w:tc>
          <w:tcPr>
            <w:tcW w:w="1411" w:type="dxa"/>
            <w:vAlign w:val="center"/>
          </w:tcPr>
          <w:p w:rsidR="00F44C9A" w:rsidRPr="00F44C9A" w:rsidRDefault="00F44C9A" w:rsidP="00F44C9A">
            <w:pPr>
              <w:jc w:val="right"/>
              <w:rPr>
                <w:sz w:val="28"/>
                <w:szCs w:val="28"/>
              </w:rPr>
            </w:pPr>
            <w:r w:rsidRPr="00F44C9A">
              <w:rPr>
                <w:sz w:val="28"/>
                <w:szCs w:val="28"/>
              </w:rPr>
              <w:t>(7)</w:t>
            </w:r>
          </w:p>
        </w:tc>
      </w:tr>
    </w:tbl>
    <w:p w:rsidR="00F44C9A" w:rsidRDefault="00F44C9A" w:rsidP="00F44C9A">
      <w:pPr>
        <w:rPr>
          <w:sz w:val="28"/>
          <w:szCs w:val="28"/>
        </w:rPr>
      </w:pPr>
    </w:p>
    <w:p w:rsidR="00F44C9A" w:rsidRPr="00F44C9A" w:rsidRDefault="00F44C9A" w:rsidP="00F0107A">
      <w:pPr>
        <w:ind w:firstLine="709"/>
        <w:rPr>
          <w:sz w:val="28"/>
          <w:szCs w:val="28"/>
        </w:rPr>
      </w:pPr>
      <w:r w:rsidRPr="00F44C9A">
        <w:rPr>
          <w:sz w:val="28"/>
          <w:szCs w:val="28"/>
        </w:rPr>
        <w:t>где:</w:t>
      </w:r>
    </w:p>
    <w:p w:rsidR="00F44C9A" w:rsidRPr="00F44C9A" w:rsidRDefault="00F44C9A" w:rsidP="00F0107A">
      <w:pPr>
        <w:ind w:firstLine="709"/>
        <w:rPr>
          <w:sz w:val="28"/>
          <w:szCs w:val="28"/>
        </w:rPr>
      </w:pPr>
      <w:r w:rsidRPr="00F44C9A">
        <w:rPr>
          <w:sz w:val="28"/>
          <w:szCs w:val="28"/>
        </w:rPr>
        <w:t>a – истинно положительные результаты;</w:t>
      </w:r>
    </w:p>
    <w:p w:rsidR="00F44C9A" w:rsidRPr="00F44C9A" w:rsidRDefault="00F44C9A" w:rsidP="00F0107A">
      <w:pPr>
        <w:ind w:firstLine="709"/>
        <w:rPr>
          <w:sz w:val="28"/>
          <w:szCs w:val="28"/>
        </w:rPr>
      </w:pPr>
      <w:r w:rsidRPr="00F44C9A">
        <w:rPr>
          <w:sz w:val="28"/>
          <w:szCs w:val="28"/>
        </w:rPr>
        <w:t>b – ложноположительные результаты;</w:t>
      </w:r>
    </w:p>
    <w:p w:rsidR="00F44C9A" w:rsidRPr="00F44C9A" w:rsidRDefault="00F44C9A" w:rsidP="00F0107A">
      <w:pPr>
        <w:ind w:firstLine="709"/>
        <w:rPr>
          <w:sz w:val="28"/>
          <w:szCs w:val="28"/>
        </w:rPr>
      </w:pPr>
      <w:r w:rsidRPr="00F44C9A">
        <w:rPr>
          <w:sz w:val="28"/>
          <w:szCs w:val="28"/>
        </w:rPr>
        <w:t>c – ложноотрицательные результаты;</w:t>
      </w:r>
    </w:p>
    <w:p w:rsidR="00F44C9A" w:rsidRPr="00F44C9A" w:rsidRDefault="00F44C9A" w:rsidP="00F0107A">
      <w:pPr>
        <w:ind w:firstLine="709"/>
        <w:rPr>
          <w:sz w:val="28"/>
          <w:szCs w:val="28"/>
        </w:rPr>
      </w:pPr>
      <w:r w:rsidRPr="00F44C9A">
        <w:rPr>
          <w:sz w:val="28"/>
          <w:szCs w:val="28"/>
        </w:rPr>
        <w:t>d – истинно отрицательные результаты.</w:t>
      </w:r>
    </w:p>
    <w:p w:rsidR="00F44C9A" w:rsidRDefault="00F44C9A" w:rsidP="00F44C9A">
      <w:pPr>
        <w:rPr>
          <w:sz w:val="28"/>
          <w:szCs w:val="28"/>
        </w:rPr>
      </w:pPr>
    </w:p>
    <w:p w:rsidR="00F44C9A" w:rsidRPr="00F44C9A" w:rsidRDefault="003071C0" w:rsidP="00F0107A">
      <w:pPr>
        <w:jc w:val="center"/>
        <w:rPr>
          <w:sz w:val="28"/>
          <w:szCs w:val="28"/>
        </w:rPr>
      </w:pPr>
      <w:r w:rsidRPr="003071C0">
        <w:rPr>
          <w:noProof/>
          <w:sz w:val="28"/>
          <w:szCs w:val="28"/>
          <w:lang w:eastAsia="ru-RU"/>
        </w:rPr>
        <w:drawing>
          <wp:inline distT="0" distB="0" distL="0" distR="0" wp14:anchorId="779D4C47" wp14:editId="688436C7">
            <wp:extent cx="3985260" cy="186940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4000804" cy="1876699"/>
                    </a:xfrm>
                    <a:prstGeom prst="rect">
                      <a:avLst/>
                    </a:prstGeom>
                  </pic:spPr>
                </pic:pic>
              </a:graphicData>
            </a:graphic>
          </wp:inline>
        </w:drawing>
      </w:r>
    </w:p>
    <w:p w:rsidR="00F44C9A" w:rsidRDefault="00F44C9A" w:rsidP="00F0107A">
      <w:pPr>
        <w:jc w:val="center"/>
        <w:rPr>
          <w:sz w:val="28"/>
          <w:szCs w:val="28"/>
        </w:rPr>
      </w:pPr>
      <w:r w:rsidRPr="00F44C9A">
        <w:rPr>
          <w:sz w:val="28"/>
          <w:szCs w:val="28"/>
        </w:rPr>
        <w:t>Рисунок 11 – Диагностические характеристики методов</w:t>
      </w:r>
    </w:p>
    <w:p w:rsidR="00F44C9A" w:rsidRPr="00F44C9A" w:rsidRDefault="00F44C9A" w:rsidP="00F44C9A">
      <w:pPr>
        <w:rPr>
          <w:sz w:val="28"/>
          <w:szCs w:val="28"/>
        </w:rPr>
      </w:pPr>
    </w:p>
    <w:p w:rsidR="00F44C9A" w:rsidRDefault="00F44C9A" w:rsidP="00F0107A">
      <w:pPr>
        <w:ind w:firstLine="709"/>
        <w:rPr>
          <w:sz w:val="28"/>
          <w:szCs w:val="28"/>
        </w:rPr>
      </w:pPr>
      <w:r w:rsidRPr="00F44C9A">
        <w:rPr>
          <w:sz w:val="28"/>
          <w:szCs w:val="28"/>
        </w:rPr>
        <w:t>В качестве статистической меры, для измерения степени согласованности между двумя независимыми методами в измерениях, проведенных на одних и тех же объектах, использовали коэффициент Каппа (Cohen's Kappa) [382,</w:t>
      </w:r>
      <w:r w:rsidR="007E1CC3">
        <w:rPr>
          <w:sz w:val="28"/>
          <w:szCs w:val="28"/>
        </w:rPr>
        <w:t xml:space="preserve"> с. </w:t>
      </w:r>
      <w:r w:rsidR="007E1CC3" w:rsidRPr="007E1CC3">
        <w:rPr>
          <w:sz w:val="28"/>
          <w:szCs w:val="28"/>
        </w:rPr>
        <w:t>1817</w:t>
      </w:r>
      <w:r w:rsidR="007E1CC3">
        <w:rPr>
          <w:sz w:val="28"/>
          <w:szCs w:val="28"/>
        </w:rPr>
        <w:t>; 394</w:t>
      </w:r>
      <w:r w:rsidRPr="00F44C9A">
        <w:rPr>
          <w:sz w:val="28"/>
          <w:szCs w:val="28"/>
        </w:rPr>
        <w:t>]. Микробиологический и ДД метод использовался как эталонный для определения положительных и отрицательных результатов. Формула для вычисления коэффициента Каппа (8).</w:t>
      </w:r>
    </w:p>
    <w:p w:rsidR="00F44C9A" w:rsidRDefault="00F44C9A" w:rsidP="00F44C9A">
      <w:pPr>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F44C9A" w:rsidRPr="00F44C9A" w:rsidTr="00193E25">
        <w:tc>
          <w:tcPr>
            <w:tcW w:w="3209" w:type="dxa"/>
          </w:tcPr>
          <w:p w:rsidR="00F44C9A" w:rsidRPr="00F44C9A" w:rsidRDefault="00F44C9A" w:rsidP="00F44C9A">
            <w:pPr>
              <w:rPr>
                <w:rFonts w:cs="Times New Roman"/>
                <w:sz w:val="28"/>
                <w:szCs w:val="28"/>
              </w:rPr>
            </w:pPr>
          </w:p>
        </w:tc>
        <w:tc>
          <w:tcPr>
            <w:tcW w:w="3209" w:type="dxa"/>
            <w:vAlign w:val="center"/>
          </w:tcPr>
          <w:p w:rsidR="00F44C9A" w:rsidRPr="00615F1A" w:rsidRDefault="00615F1A" w:rsidP="00F44C9A">
            <w:pPr>
              <w:rPr>
                <w:rFonts w:cs="Times New Roman"/>
                <w:sz w:val="28"/>
                <w:szCs w:val="28"/>
              </w:rPr>
            </w:pPr>
            <m:oMathPara>
              <m:oMath>
                <m:r>
                  <m:rPr>
                    <m:nor/>
                  </m:rPr>
                  <w:rPr>
                    <w:rFonts w:cs="Times New Roman"/>
                    <w:sz w:val="28"/>
                    <w:szCs w:val="28"/>
                  </w:rPr>
                  <m:t>k=</m:t>
                </m:r>
                <m:f>
                  <m:fPr>
                    <m:ctrlPr>
                      <w:rPr>
                        <w:rFonts w:ascii="Cambria Math" w:hAnsi="Cambria Math" w:cs="Times New Roman"/>
                        <w:sz w:val="28"/>
                        <w:szCs w:val="28"/>
                      </w:rPr>
                    </m:ctrlPr>
                  </m:fPr>
                  <m:num>
                    <m:r>
                      <m:rPr>
                        <m:nor/>
                      </m:rPr>
                      <w:rPr>
                        <w:rFonts w:cs="Times New Roman"/>
                        <w:sz w:val="28"/>
                        <w:szCs w:val="28"/>
                      </w:rPr>
                      <m:t>Po – Pe</m:t>
                    </m:r>
                  </m:num>
                  <m:den>
                    <m:r>
                      <m:rPr>
                        <m:nor/>
                      </m:rPr>
                      <w:rPr>
                        <w:rFonts w:cs="Times New Roman"/>
                        <w:sz w:val="28"/>
                        <w:szCs w:val="28"/>
                      </w:rPr>
                      <m:t>1 – Pe</m:t>
                    </m:r>
                  </m:den>
                </m:f>
              </m:oMath>
            </m:oMathPara>
          </w:p>
        </w:tc>
        <w:tc>
          <w:tcPr>
            <w:tcW w:w="3210" w:type="dxa"/>
            <w:vAlign w:val="center"/>
          </w:tcPr>
          <w:p w:rsidR="00F44C9A" w:rsidRPr="00F44C9A" w:rsidRDefault="00F44C9A" w:rsidP="00F44C9A">
            <w:pPr>
              <w:jc w:val="right"/>
              <w:rPr>
                <w:rFonts w:cs="Times New Roman"/>
                <w:sz w:val="28"/>
                <w:szCs w:val="28"/>
              </w:rPr>
            </w:pPr>
            <w:r w:rsidRPr="00F44C9A">
              <w:rPr>
                <w:rFonts w:cs="Times New Roman"/>
                <w:sz w:val="28"/>
                <w:szCs w:val="28"/>
              </w:rPr>
              <w:t>(8)</w:t>
            </w:r>
          </w:p>
        </w:tc>
      </w:tr>
    </w:tbl>
    <w:p w:rsidR="00F44C9A" w:rsidRPr="00F44C9A" w:rsidRDefault="00F44C9A" w:rsidP="00F44C9A">
      <w:pPr>
        <w:rPr>
          <w:sz w:val="28"/>
          <w:szCs w:val="28"/>
        </w:rPr>
      </w:pPr>
    </w:p>
    <w:p w:rsidR="00F44C9A" w:rsidRPr="00F44C9A" w:rsidRDefault="00F44C9A" w:rsidP="00F0107A">
      <w:pPr>
        <w:ind w:firstLine="709"/>
        <w:rPr>
          <w:sz w:val="28"/>
          <w:szCs w:val="28"/>
        </w:rPr>
      </w:pPr>
      <w:r w:rsidRPr="00F44C9A">
        <w:rPr>
          <w:sz w:val="28"/>
          <w:szCs w:val="28"/>
        </w:rPr>
        <w:t>где:</w:t>
      </w:r>
    </w:p>
    <w:p w:rsidR="00F44C9A" w:rsidRPr="00F44C9A" w:rsidRDefault="00F44C9A" w:rsidP="00F0107A">
      <w:pPr>
        <w:ind w:firstLine="709"/>
        <w:rPr>
          <w:sz w:val="28"/>
          <w:szCs w:val="28"/>
        </w:rPr>
      </w:pPr>
      <w:r w:rsidRPr="00F44C9A">
        <w:rPr>
          <w:sz w:val="28"/>
          <w:szCs w:val="28"/>
        </w:rPr>
        <w:t>Po – наблюдаемая согласованность между наблюдателями или методами;</w:t>
      </w:r>
    </w:p>
    <w:p w:rsidR="00F44C9A" w:rsidRPr="00F44C9A" w:rsidRDefault="00F44C9A" w:rsidP="00F0107A">
      <w:pPr>
        <w:ind w:firstLine="709"/>
        <w:rPr>
          <w:sz w:val="28"/>
          <w:szCs w:val="28"/>
        </w:rPr>
      </w:pPr>
      <w:r w:rsidRPr="00F44C9A">
        <w:rPr>
          <w:sz w:val="28"/>
          <w:szCs w:val="28"/>
        </w:rPr>
        <w:t>Pe – ожидаемая согласованность, которая представляет собой вероятность случайного согласования;</w:t>
      </w:r>
    </w:p>
    <w:p w:rsidR="00F44C9A" w:rsidRDefault="00F44C9A" w:rsidP="00F0107A">
      <w:pPr>
        <w:ind w:firstLine="709"/>
        <w:rPr>
          <w:sz w:val="28"/>
          <w:szCs w:val="28"/>
        </w:rPr>
      </w:pPr>
      <w:r w:rsidRPr="00F44C9A">
        <w:rPr>
          <w:sz w:val="28"/>
          <w:szCs w:val="28"/>
        </w:rPr>
        <w:t>Po и Pe, рассчитывается по формуле (9) и (10).</w:t>
      </w:r>
    </w:p>
    <w:p w:rsidR="00F44C9A" w:rsidRDefault="00F44C9A" w:rsidP="00F44C9A">
      <w:pPr>
        <w:rPr>
          <w:sz w:val="28"/>
          <w:szCs w:val="28"/>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
        <w:gridCol w:w="7854"/>
        <w:gridCol w:w="1135"/>
      </w:tblGrid>
      <w:tr w:rsidR="00F44C9A" w:rsidRPr="00F44C9A" w:rsidTr="00193E25">
        <w:tc>
          <w:tcPr>
            <w:tcW w:w="439" w:type="pct"/>
          </w:tcPr>
          <w:p w:rsidR="00F44C9A" w:rsidRPr="00F44C9A" w:rsidRDefault="00F44C9A" w:rsidP="00F44C9A">
            <w:pPr>
              <w:rPr>
                <w:rFonts w:cs="Times New Roman"/>
                <w:sz w:val="28"/>
                <w:szCs w:val="28"/>
              </w:rPr>
            </w:pPr>
          </w:p>
        </w:tc>
        <w:tc>
          <w:tcPr>
            <w:tcW w:w="3984" w:type="pct"/>
            <w:vAlign w:val="center"/>
          </w:tcPr>
          <w:p w:rsidR="00F44C9A" w:rsidRPr="00615F1A" w:rsidRDefault="00615F1A" w:rsidP="00F44C9A">
            <w:pPr>
              <w:rPr>
                <w:rFonts w:cs="Times New Roman"/>
                <w:sz w:val="28"/>
                <w:szCs w:val="28"/>
              </w:rPr>
            </w:pPr>
            <m:oMathPara>
              <m:oMath>
                <m:r>
                  <m:rPr>
                    <m:nor/>
                  </m:rPr>
                  <w:rPr>
                    <w:rFonts w:cs="Times New Roman"/>
                    <w:sz w:val="28"/>
                    <w:szCs w:val="28"/>
                  </w:rPr>
                  <m:t>Po=</m:t>
                </m:r>
                <m:f>
                  <m:fPr>
                    <m:ctrlPr>
                      <w:rPr>
                        <w:rFonts w:ascii="Cambria Math" w:hAnsi="Cambria Math" w:cs="Times New Roman"/>
                        <w:sz w:val="28"/>
                        <w:szCs w:val="28"/>
                      </w:rPr>
                    </m:ctrlPr>
                  </m:fPr>
                  <m:num>
                    <m:r>
                      <m:rPr>
                        <m:nor/>
                      </m:rPr>
                      <w:rPr>
                        <w:rFonts w:cs="Times New Roman"/>
                        <w:sz w:val="28"/>
                        <w:szCs w:val="28"/>
                      </w:rPr>
                      <m:t>Число согласованных наблюдений</m:t>
                    </m:r>
                  </m:num>
                  <m:den>
                    <m:r>
                      <m:rPr>
                        <m:nor/>
                      </m:rPr>
                      <w:rPr>
                        <w:rFonts w:cs="Times New Roman"/>
                        <w:sz w:val="28"/>
                        <w:szCs w:val="28"/>
                      </w:rPr>
                      <m:t>Общее число наблюдений</m:t>
                    </m:r>
                  </m:den>
                </m:f>
              </m:oMath>
            </m:oMathPara>
          </w:p>
        </w:tc>
        <w:tc>
          <w:tcPr>
            <w:tcW w:w="576" w:type="pct"/>
            <w:vAlign w:val="center"/>
          </w:tcPr>
          <w:p w:rsidR="00F44C9A" w:rsidRPr="00F44C9A" w:rsidRDefault="00F44C9A" w:rsidP="00F44C9A">
            <w:pPr>
              <w:jc w:val="right"/>
              <w:rPr>
                <w:rFonts w:cs="Times New Roman"/>
                <w:sz w:val="28"/>
                <w:szCs w:val="28"/>
              </w:rPr>
            </w:pPr>
            <w:r w:rsidRPr="00F44C9A">
              <w:rPr>
                <w:rFonts w:cs="Times New Roman"/>
                <w:sz w:val="28"/>
                <w:szCs w:val="28"/>
              </w:rPr>
              <w:t>(9)</w:t>
            </w:r>
          </w:p>
        </w:tc>
      </w:tr>
    </w:tbl>
    <w:p w:rsidR="00F44C9A" w:rsidRDefault="00F44C9A" w:rsidP="00F44C9A">
      <w:pPr>
        <w:rPr>
          <w:sz w:val="28"/>
          <w:szCs w:val="28"/>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
        <w:gridCol w:w="7854"/>
        <w:gridCol w:w="1135"/>
      </w:tblGrid>
      <w:tr w:rsidR="00F44C9A" w:rsidRPr="00F44C9A" w:rsidTr="00193E25">
        <w:tc>
          <w:tcPr>
            <w:tcW w:w="439" w:type="pct"/>
          </w:tcPr>
          <w:p w:rsidR="00F44C9A" w:rsidRPr="00F44C9A" w:rsidRDefault="00F44C9A" w:rsidP="00F44C9A">
            <w:pPr>
              <w:rPr>
                <w:sz w:val="28"/>
                <w:szCs w:val="28"/>
              </w:rPr>
            </w:pPr>
          </w:p>
        </w:tc>
        <w:tc>
          <w:tcPr>
            <w:tcW w:w="3984" w:type="pct"/>
            <w:vAlign w:val="center"/>
          </w:tcPr>
          <w:p w:rsidR="00F44C9A" w:rsidRPr="00615F1A" w:rsidRDefault="00615F1A" w:rsidP="00F44C9A">
            <w:pPr>
              <w:rPr>
                <w:rFonts w:cs="Times New Roman"/>
                <w:sz w:val="28"/>
                <w:szCs w:val="28"/>
              </w:rPr>
            </w:pPr>
            <m:oMathPara>
              <m:oMath>
                <m:r>
                  <m:rPr>
                    <m:nor/>
                  </m:rPr>
                  <w:rPr>
                    <w:rFonts w:cs="Times New Roman"/>
                    <w:sz w:val="28"/>
                    <w:szCs w:val="28"/>
                  </w:rPr>
                  <m:t>Pe=</m:t>
                </m:r>
                <m:f>
                  <m:fPr>
                    <m:ctrlPr>
                      <w:rPr>
                        <w:rFonts w:ascii="Cambria Math" w:hAnsi="Cambria Math" w:cs="Times New Roman"/>
                        <w:sz w:val="28"/>
                        <w:szCs w:val="28"/>
                      </w:rPr>
                    </m:ctrlPr>
                  </m:fPr>
                  <m:num>
                    <m:r>
                      <m:rPr>
                        <m:nor/>
                      </m:rPr>
                      <w:rPr>
                        <w:rFonts w:cs="Times New Roman"/>
                        <w:sz w:val="28"/>
                        <w:szCs w:val="28"/>
                      </w:rPr>
                      <m:t>∑(Сумма по строкам×Сумма по столбцам)</m:t>
                    </m:r>
                  </m:num>
                  <m:den>
                    <m:r>
                      <m:rPr>
                        <m:nor/>
                      </m:rPr>
                      <w:rPr>
                        <w:rFonts w:cs="Times New Roman"/>
                        <w:sz w:val="28"/>
                        <w:szCs w:val="28"/>
                      </w:rPr>
                      <m:t>(</m:t>
                    </m:r>
                    <m:sSup>
                      <m:sSupPr>
                        <m:ctrlPr>
                          <w:rPr>
                            <w:rFonts w:ascii="Cambria Math" w:hAnsi="Cambria Math" w:cs="Times New Roman"/>
                            <w:sz w:val="28"/>
                            <w:szCs w:val="28"/>
                          </w:rPr>
                        </m:ctrlPr>
                      </m:sSupPr>
                      <m:e>
                        <m:r>
                          <m:rPr>
                            <m:nor/>
                          </m:rPr>
                          <w:rPr>
                            <w:rFonts w:cs="Times New Roman"/>
                            <w:sz w:val="28"/>
                            <w:szCs w:val="28"/>
                          </w:rPr>
                          <m:t>Общее число наблюдений)</m:t>
                        </m:r>
                      </m:e>
                      <m:sup>
                        <m:r>
                          <m:rPr>
                            <m:nor/>
                          </m:rPr>
                          <w:rPr>
                            <w:rFonts w:cs="Times New Roman"/>
                            <w:sz w:val="28"/>
                            <w:szCs w:val="28"/>
                          </w:rPr>
                          <m:t>2</m:t>
                        </m:r>
                      </m:sup>
                    </m:sSup>
                  </m:den>
                </m:f>
                <m:r>
                  <m:rPr>
                    <m:nor/>
                  </m:rPr>
                  <w:rPr>
                    <w:rFonts w:cs="Times New Roman"/>
                    <w:sz w:val="28"/>
                    <w:szCs w:val="28"/>
                  </w:rPr>
                  <m:t xml:space="preserve">  </m:t>
                </m:r>
              </m:oMath>
            </m:oMathPara>
          </w:p>
        </w:tc>
        <w:tc>
          <w:tcPr>
            <w:tcW w:w="576" w:type="pct"/>
            <w:vAlign w:val="center"/>
          </w:tcPr>
          <w:p w:rsidR="00F44C9A" w:rsidRPr="00F44C9A" w:rsidRDefault="00F44C9A" w:rsidP="00F44C9A">
            <w:pPr>
              <w:jc w:val="right"/>
              <w:rPr>
                <w:sz w:val="28"/>
                <w:szCs w:val="28"/>
              </w:rPr>
            </w:pPr>
            <w:r w:rsidRPr="00F44C9A">
              <w:rPr>
                <w:sz w:val="28"/>
                <w:szCs w:val="28"/>
              </w:rPr>
              <w:t>(10)</w:t>
            </w:r>
          </w:p>
        </w:tc>
      </w:tr>
    </w:tbl>
    <w:p w:rsidR="00F44C9A" w:rsidRPr="00F44C9A" w:rsidRDefault="00F44C9A" w:rsidP="00F44C9A">
      <w:pPr>
        <w:rPr>
          <w:sz w:val="28"/>
          <w:szCs w:val="28"/>
        </w:rPr>
      </w:pPr>
    </w:p>
    <w:p w:rsidR="00F44C9A" w:rsidRPr="00F44C9A" w:rsidRDefault="00F44C9A" w:rsidP="00F0107A">
      <w:pPr>
        <w:ind w:firstLine="709"/>
        <w:rPr>
          <w:sz w:val="28"/>
          <w:szCs w:val="28"/>
        </w:rPr>
      </w:pPr>
      <w:r w:rsidRPr="00F44C9A">
        <w:rPr>
          <w:sz w:val="28"/>
          <w:szCs w:val="28"/>
        </w:rPr>
        <w:t>Интерпретация результатов:</w:t>
      </w:r>
    </w:p>
    <w:p w:rsidR="00F44C9A" w:rsidRPr="00F44C9A" w:rsidRDefault="00F44C9A" w:rsidP="00F0107A">
      <w:pPr>
        <w:ind w:firstLine="709"/>
        <w:rPr>
          <w:sz w:val="28"/>
          <w:szCs w:val="28"/>
        </w:rPr>
      </w:pPr>
      <w:r w:rsidRPr="00F44C9A">
        <w:rPr>
          <w:sz w:val="28"/>
          <w:szCs w:val="28"/>
        </w:rPr>
        <w:t>0.81–1.00 – почти идеальное согласование;</w:t>
      </w:r>
    </w:p>
    <w:p w:rsidR="00F44C9A" w:rsidRPr="00F44C9A" w:rsidRDefault="00F44C9A" w:rsidP="00F0107A">
      <w:pPr>
        <w:ind w:firstLine="709"/>
        <w:rPr>
          <w:sz w:val="28"/>
          <w:szCs w:val="28"/>
        </w:rPr>
      </w:pPr>
      <w:r w:rsidRPr="00F44C9A">
        <w:rPr>
          <w:sz w:val="28"/>
          <w:szCs w:val="28"/>
        </w:rPr>
        <w:t>0.61–0.80 – отличное согласование;</w:t>
      </w:r>
    </w:p>
    <w:p w:rsidR="00F44C9A" w:rsidRPr="00F44C9A" w:rsidRDefault="00F44C9A" w:rsidP="00F0107A">
      <w:pPr>
        <w:ind w:firstLine="709"/>
        <w:rPr>
          <w:sz w:val="28"/>
          <w:szCs w:val="28"/>
        </w:rPr>
      </w:pPr>
      <w:r w:rsidRPr="00F44C9A">
        <w:rPr>
          <w:sz w:val="28"/>
          <w:szCs w:val="28"/>
        </w:rPr>
        <w:t>0.41–0.60 – умеренное согласование;</w:t>
      </w:r>
    </w:p>
    <w:p w:rsidR="00F44C9A" w:rsidRPr="00F44C9A" w:rsidRDefault="00F44C9A" w:rsidP="00F0107A">
      <w:pPr>
        <w:ind w:firstLine="709"/>
        <w:rPr>
          <w:sz w:val="28"/>
          <w:szCs w:val="28"/>
        </w:rPr>
      </w:pPr>
      <w:r w:rsidRPr="00F44C9A">
        <w:rPr>
          <w:sz w:val="28"/>
          <w:szCs w:val="28"/>
        </w:rPr>
        <w:t>0.21–0.40 – слабое согласование;</w:t>
      </w:r>
    </w:p>
    <w:p w:rsidR="00F44C9A" w:rsidRDefault="00F44C9A" w:rsidP="00F0107A">
      <w:pPr>
        <w:ind w:firstLine="709"/>
        <w:rPr>
          <w:sz w:val="28"/>
          <w:szCs w:val="28"/>
        </w:rPr>
      </w:pPr>
      <w:r w:rsidRPr="00F44C9A">
        <w:rPr>
          <w:sz w:val="28"/>
          <w:szCs w:val="28"/>
        </w:rPr>
        <w:t>0.00–0.20 – случайное согласование.</w:t>
      </w:r>
    </w:p>
    <w:p w:rsidR="00615F1A" w:rsidRDefault="00615F1A" w:rsidP="00F44C9A">
      <w:pPr>
        <w:rPr>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1C14C2" w:rsidRDefault="001C14C2" w:rsidP="00F0107A">
      <w:pPr>
        <w:ind w:firstLine="709"/>
        <w:rPr>
          <w:b/>
          <w:sz w:val="28"/>
          <w:szCs w:val="28"/>
        </w:rPr>
      </w:pPr>
    </w:p>
    <w:p w:rsidR="00615F1A" w:rsidRDefault="00615F1A" w:rsidP="00F0107A">
      <w:pPr>
        <w:ind w:firstLine="709"/>
        <w:rPr>
          <w:b/>
          <w:sz w:val="28"/>
          <w:szCs w:val="28"/>
        </w:rPr>
      </w:pPr>
      <w:r w:rsidRPr="00615F1A">
        <w:rPr>
          <w:b/>
          <w:sz w:val="28"/>
          <w:szCs w:val="28"/>
        </w:rPr>
        <w:t>3 РЕЗУЛЬТАТЫ ИССЛЕДОВАНИЙ</w:t>
      </w:r>
    </w:p>
    <w:p w:rsidR="000D6CCE" w:rsidRPr="00615F1A" w:rsidRDefault="000D6CCE" w:rsidP="00F0107A">
      <w:pPr>
        <w:ind w:firstLine="709"/>
        <w:rPr>
          <w:b/>
          <w:sz w:val="28"/>
          <w:szCs w:val="28"/>
        </w:rPr>
      </w:pPr>
    </w:p>
    <w:p w:rsidR="00615F1A" w:rsidRPr="00615F1A" w:rsidRDefault="00615F1A" w:rsidP="00F0107A">
      <w:pPr>
        <w:ind w:firstLine="709"/>
        <w:rPr>
          <w:b/>
          <w:sz w:val="28"/>
          <w:szCs w:val="28"/>
        </w:rPr>
      </w:pPr>
      <w:r w:rsidRPr="00615F1A">
        <w:rPr>
          <w:b/>
          <w:sz w:val="28"/>
          <w:szCs w:val="28"/>
        </w:rPr>
        <w:t xml:space="preserve">3.1 Выделение и идентификация штаммов </w:t>
      </w:r>
      <w:r w:rsidR="007A7888" w:rsidRPr="007A7888">
        <w:rPr>
          <w:b/>
          <w:i/>
          <w:sz w:val="28"/>
          <w:szCs w:val="28"/>
        </w:rPr>
        <w:t>S. aureus</w:t>
      </w:r>
      <w:r w:rsidRPr="00615F1A">
        <w:rPr>
          <w:b/>
          <w:sz w:val="28"/>
          <w:szCs w:val="28"/>
        </w:rPr>
        <w:t xml:space="preserve"> из пищевых продуктов животного происхождения, изучение антибиотикорезистентности</w:t>
      </w:r>
    </w:p>
    <w:p w:rsidR="00FE1507" w:rsidRDefault="00FE1507" w:rsidP="00F0107A">
      <w:pPr>
        <w:ind w:firstLine="709"/>
        <w:rPr>
          <w:b/>
          <w:sz w:val="28"/>
          <w:szCs w:val="28"/>
        </w:rPr>
      </w:pPr>
    </w:p>
    <w:p w:rsidR="00615F1A" w:rsidRPr="00FE1507" w:rsidRDefault="00615F1A" w:rsidP="00F0107A">
      <w:pPr>
        <w:ind w:firstLine="709"/>
        <w:rPr>
          <w:sz w:val="28"/>
          <w:szCs w:val="28"/>
        </w:rPr>
      </w:pPr>
      <w:r w:rsidRPr="00FE1507">
        <w:rPr>
          <w:sz w:val="28"/>
          <w:szCs w:val="28"/>
        </w:rPr>
        <w:t xml:space="preserve">3.1.1 Выделение и идентификация штаммов </w:t>
      </w:r>
      <w:r w:rsidR="007A7888" w:rsidRPr="007A7888">
        <w:rPr>
          <w:i/>
          <w:sz w:val="28"/>
          <w:szCs w:val="28"/>
        </w:rPr>
        <w:t>S. aureus</w:t>
      </w:r>
      <w:r w:rsidRPr="00FE1507">
        <w:rPr>
          <w:sz w:val="28"/>
          <w:szCs w:val="28"/>
        </w:rPr>
        <w:t xml:space="preserve"> из пищевых продуктов животного происхождения</w:t>
      </w:r>
    </w:p>
    <w:p w:rsidR="00615F1A" w:rsidRPr="00615F1A" w:rsidRDefault="00615F1A" w:rsidP="00F0107A">
      <w:pPr>
        <w:ind w:firstLine="709"/>
        <w:rPr>
          <w:sz w:val="28"/>
          <w:szCs w:val="28"/>
        </w:rPr>
      </w:pPr>
      <w:r w:rsidRPr="00615F1A">
        <w:rPr>
          <w:sz w:val="28"/>
          <w:szCs w:val="28"/>
        </w:rPr>
        <w:t>В период проведения диссертационных исследований, осуществлен отбор 1680 проб продуктов животного происхождения в точках розничной торговли и различных хозяйствах Костанайской области, в том числе 1585 проб молочной продукции, 95 проб других продуктов животного происхождения (таблица 1, 2).</w:t>
      </w:r>
    </w:p>
    <w:p w:rsidR="00615F1A" w:rsidRPr="00615F1A" w:rsidRDefault="00615F1A" w:rsidP="00F0107A">
      <w:pPr>
        <w:ind w:firstLine="709"/>
        <w:rPr>
          <w:sz w:val="28"/>
          <w:szCs w:val="28"/>
        </w:rPr>
      </w:pPr>
      <w:r w:rsidRPr="00615F1A">
        <w:rPr>
          <w:sz w:val="28"/>
          <w:szCs w:val="28"/>
        </w:rPr>
        <w:t>Отбор образцов молочной продукции для анализа в точках розничной торговли предполагал случайный выбор.</w:t>
      </w:r>
    </w:p>
    <w:p w:rsidR="00615F1A" w:rsidRPr="00615F1A" w:rsidRDefault="00615F1A" w:rsidP="00615F1A">
      <w:pPr>
        <w:rPr>
          <w:sz w:val="28"/>
          <w:szCs w:val="28"/>
        </w:rPr>
      </w:pPr>
    </w:p>
    <w:p w:rsidR="00615F1A" w:rsidRDefault="00615F1A" w:rsidP="00FB54EC">
      <w:pPr>
        <w:jc w:val="left"/>
        <w:rPr>
          <w:sz w:val="28"/>
          <w:szCs w:val="28"/>
        </w:rPr>
      </w:pPr>
      <w:r w:rsidRPr="00615F1A">
        <w:rPr>
          <w:sz w:val="28"/>
          <w:szCs w:val="28"/>
        </w:rPr>
        <w:t xml:space="preserve">Таблица 1 – Количество выделенных штаммов </w:t>
      </w:r>
      <w:r w:rsidR="007A7888" w:rsidRPr="007A7888">
        <w:rPr>
          <w:i/>
          <w:sz w:val="28"/>
          <w:szCs w:val="28"/>
        </w:rPr>
        <w:t>S. aureus</w:t>
      </w:r>
      <w:r w:rsidRPr="00615F1A">
        <w:rPr>
          <w:sz w:val="28"/>
          <w:szCs w:val="28"/>
        </w:rPr>
        <w:t xml:space="preserve"> в разрезе хозяйств за 2021-2023 гг.</w:t>
      </w:r>
    </w:p>
    <w:tbl>
      <w:tblPr>
        <w:tblW w:w="0" w:type="auto"/>
        <w:tblLook w:val="04A0" w:firstRow="1" w:lastRow="0" w:firstColumn="1" w:lastColumn="0" w:noHBand="0" w:noVBand="1"/>
      </w:tblPr>
      <w:tblGrid>
        <w:gridCol w:w="619"/>
        <w:gridCol w:w="1748"/>
        <w:gridCol w:w="717"/>
        <w:gridCol w:w="658"/>
        <w:gridCol w:w="566"/>
        <w:gridCol w:w="612"/>
        <w:gridCol w:w="658"/>
        <w:gridCol w:w="566"/>
        <w:gridCol w:w="612"/>
        <w:gridCol w:w="658"/>
        <w:gridCol w:w="566"/>
        <w:gridCol w:w="650"/>
        <w:gridCol w:w="658"/>
        <w:gridCol w:w="566"/>
      </w:tblGrid>
      <w:tr w:rsidR="009B02A7" w:rsidRPr="009B02A7" w:rsidTr="00BA01CD">
        <w:trPr>
          <w:trHeight w:val="312"/>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B02A7" w:rsidRPr="009B02A7" w:rsidRDefault="009B02A7" w:rsidP="009B02A7">
            <w:pPr>
              <w:rPr>
                <w:rFonts w:cs="Times New Roman"/>
                <w:sz w:val="20"/>
                <w:szCs w:val="20"/>
              </w:rPr>
            </w:pPr>
            <w:r w:rsidRPr="009B02A7">
              <w:rPr>
                <w:rFonts w:cs="Times New Roman"/>
                <w:sz w:val="20"/>
                <w:szCs w:val="20"/>
              </w:rPr>
              <w:t>№ п/п</w:t>
            </w:r>
          </w:p>
        </w:tc>
        <w:tc>
          <w:tcPr>
            <w:tcW w:w="17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B02A7" w:rsidRPr="009B02A7" w:rsidRDefault="009B02A7" w:rsidP="009B02A7">
            <w:pPr>
              <w:rPr>
                <w:rFonts w:cs="Times New Roman"/>
                <w:sz w:val="20"/>
                <w:szCs w:val="20"/>
              </w:rPr>
            </w:pPr>
            <w:r w:rsidRPr="009B02A7">
              <w:rPr>
                <w:rFonts w:cs="Times New Roman"/>
                <w:sz w:val="20"/>
                <w:szCs w:val="20"/>
              </w:rPr>
              <w:t>Наименование хозяйств</w:t>
            </w:r>
          </w:p>
        </w:tc>
        <w:tc>
          <w:tcPr>
            <w:tcW w:w="1916" w:type="dxa"/>
            <w:gridSpan w:val="3"/>
            <w:tcBorders>
              <w:top w:val="single" w:sz="4" w:space="0" w:color="auto"/>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2021г.</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2022г.</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2023г.</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Всего</w:t>
            </w:r>
          </w:p>
        </w:tc>
      </w:tr>
      <w:tr w:rsidR="009B02A7" w:rsidRPr="009B02A7" w:rsidTr="009B02A7">
        <w:trPr>
          <w:trHeight w:val="312"/>
        </w:trPr>
        <w:tc>
          <w:tcPr>
            <w:tcW w:w="0" w:type="auto"/>
            <w:vMerge/>
            <w:tcBorders>
              <w:top w:val="single" w:sz="4" w:space="0" w:color="auto"/>
              <w:left w:val="single" w:sz="4" w:space="0" w:color="auto"/>
              <w:bottom w:val="single" w:sz="4" w:space="0" w:color="auto"/>
              <w:right w:val="single" w:sz="4" w:space="0" w:color="auto"/>
            </w:tcBorders>
            <w:vAlign w:val="center"/>
            <w:hideMark/>
          </w:tcPr>
          <w:p w:rsidR="009B02A7" w:rsidRPr="009B02A7" w:rsidRDefault="009B02A7" w:rsidP="009B02A7">
            <w:pPr>
              <w:rPr>
                <w:rFonts w:cs="Times New Roman"/>
                <w:sz w:val="20"/>
                <w:szCs w:val="20"/>
              </w:rPr>
            </w:pPr>
          </w:p>
        </w:tc>
        <w:tc>
          <w:tcPr>
            <w:tcW w:w="1748" w:type="dxa"/>
            <w:vMerge/>
            <w:tcBorders>
              <w:top w:val="single" w:sz="4" w:space="0" w:color="auto"/>
              <w:left w:val="single" w:sz="4" w:space="0" w:color="auto"/>
              <w:bottom w:val="single" w:sz="4" w:space="0" w:color="auto"/>
              <w:right w:val="single" w:sz="4" w:space="0" w:color="auto"/>
            </w:tcBorders>
            <w:vAlign w:val="center"/>
            <w:hideMark/>
          </w:tcPr>
          <w:p w:rsidR="009B02A7" w:rsidRPr="009B02A7" w:rsidRDefault="009B02A7" w:rsidP="009B02A7">
            <w:pPr>
              <w:rPr>
                <w:rFonts w:cs="Times New Roman"/>
                <w:sz w:val="20"/>
                <w:szCs w:val="20"/>
              </w:rPr>
            </w:pPr>
          </w:p>
        </w:tc>
        <w:tc>
          <w:tcPr>
            <w:tcW w:w="717" w:type="dxa"/>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исс-но</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выд-но</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исс-но</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выд-но</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исс-но</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выд-но</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исс-но</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выд-но</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1</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 xml:space="preserve"> Викторовское»</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79</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7,6</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153</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119</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0,8</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351</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2,0</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2</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«им.К.Маркса»</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6,7</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60</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3,3</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3</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«Олжа Аккудук»</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57</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7,0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195</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252</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6,3</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4</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«Milk Farm KZT»</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65</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9,2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227</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4,0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16,7</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298</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5,4</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5</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«Беркут»</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14,3</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lastRenderedPageBreak/>
              <w:t>6</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 xml:space="preserve"> «Бек+»</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52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3,8</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3,8</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7</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«Заря»</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68</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10,3</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50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48</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166</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5,4</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8</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 xml:space="preserve"> «Баталинское»</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47,4</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19</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47,4</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9</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 xml:space="preserve"> «Сарыагаш»</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13,3</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39</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5,1</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10</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 xml:space="preserve"> «Тойсай»</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55</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9,1</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91</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160</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4,4</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11</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«Березка»</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51</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3,9</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51</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3,9</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12</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«Турар»</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37,5</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35</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8,6</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13</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«Алтынсарино»</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29</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10,3</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10,3</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14</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«Надеждинка»</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6,7</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6,7</w:t>
            </w:r>
          </w:p>
        </w:tc>
      </w:tr>
      <w:tr w:rsidR="00BA01CD" w:rsidRPr="009B02A7" w:rsidTr="009F1B2C">
        <w:trPr>
          <w:trHeight w:val="31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9B02A7" w:rsidRDefault="00BA01CD" w:rsidP="00BA01CD">
            <w:pPr>
              <w:rPr>
                <w:rFonts w:cs="Times New Roman"/>
                <w:sz w:val="20"/>
                <w:szCs w:val="20"/>
              </w:rPr>
            </w:pPr>
            <w:r w:rsidRPr="009B02A7">
              <w:rPr>
                <w:rFonts w:cs="Times New Roman"/>
                <w:sz w:val="20"/>
                <w:szCs w:val="20"/>
              </w:rPr>
              <w:t>15</w:t>
            </w:r>
          </w:p>
        </w:tc>
        <w:tc>
          <w:tcPr>
            <w:tcW w:w="1748" w:type="dxa"/>
            <w:tcBorders>
              <w:top w:val="nil"/>
              <w:left w:val="nil"/>
              <w:bottom w:val="single" w:sz="4" w:space="0" w:color="auto"/>
              <w:right w:val="single" w:sz="4" w:space="0" w:color="auto"/>
            </w:tcBorders>
            <w:shd w:val="clear" w:color="auto" w:fill="auto"/>
            <w:hideMark/>
          </w:tcPr>
          <w:p w:rsidR="00BA01CD" w:rsidRPr="00BA01CD" w:rsidRDefault="00BA01CD" w:rsidP="0082480D">
            <w:pPr>
              <w:jc w:val="left"/>
              <w:rPr>
                <w:sz w:val="20"/>
              </w:rPr>
            </w:pPr>
            <w:r w:rsidRPr="00BA01CD">
              <w:rPr>
                <w:sz w:val="20"/>
              </w:rPr>
              <w:t xml:space="preserve"> С/Х ОС "Заречное»</w:t>
            </w:r>
          </w:p>
        </w:tc>
        <w:tc>
          <w:tcPr>
            <w:tcW w:w="717" w:type="dxa"/>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37</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BA01CD" w:rsidRPr="009B02A7" w:rsidRDefault="00BA01CD" w:rsidP="0082480D">
            <w:pPr>
              <w:jc w:val="center"/>
              <w:rPr>
                <w:rFonts w:cs="Times New Roman"/>
                <w:sz w:val="20"/>
                <w:szCs w:val="20"/>
              </w:rPr>
            </w:pPr>
            <w:r w:rsidRPr="009B02A7">
              <w:rPr>
                <w:rFonts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9B02A7" w:rsidRDefault="00BA01CD" w:rsidP="0082480D">
            <w:pPr>
              <w:jc w:val="center"/>
              <w:rPr>
                <w:rFonts w:cs="Times New Roman"/>
                <w:sz w:val="20"/>
                <w:szCs w:val="20"/>
              </w:rPr>
            </w:pPr>
            <w:r w:rsidRPr="009B02A7">
              <w:rPr>
                <w:rFonts w:cs="Times New Roman"/>
                <w:sz w:val="20"/>
                <w:szCs w:val="20"/>
              </w:rPr>
              <w:t>0,0</w:t>
            </w:r>
          </w:p>
        </w:tc>
      </w:tr>
      <w:tr w:rsidR="009B02A7" w:rsidRPr="009B02A7" w:rsidTr="00BA01CD">
        <w:trPr>
          <w:trHeight w:val="312"/>
        </w:trPr>
        <w:tc>
          <w:tcPr>
            <w:tcW w:w="23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02A7" w:rsidRPr="009B02A7" w:rsidRDefault="009B02A7" w:rsidP="009B02A7">
            <w:pPr>
              <w:rPr>
                <w:rFonts w:cs="Times New Roman"/>
                <w:sz w:val="20"/>
                <w:szCs w:val="20"/>
              </w:rPr>
            </w:pPr>
            <w:r w:rsidRPr="009B02A7">
              <w:rPr>
                <w:rFonts w:cs="Times New Roman"/>
                <w:sz w:val="20"/>
                <w:szCs w:val="20"/>
              </w:rPr>
              <w:t>Всего</w:t>
            </w:r>
          </w:p>
        </w:tc>
        <w:tc>
          <w:tcPr>
            <w:tcW w:w="717" w:type="dxa"/>
            <w:tcBorders>
              <w:top w:val="nil"/>
              <w:left w:val="nil"/>
              <w:bottom w:val="single" w:sz="4" w:space="0" w:color="auto"/>
              <w:right w:val="single" w:sz="4" w:space="0" w:color="auto"/>
            </w:tcBorders>
            <w:shd w:val="clear" w:color="auto" w:fill="auto"/>
            <w:noWrap/>
            <w:vAlign w:val="center"/>
            <w:hideMark/>
          </w:tcPr>
          <w:p w:rsidR="009B02A7" w:rsidRPr="009B02A7" w:rsidRDefault="009B02A7" w:rsidP="0082480D">
            <w:pPr>
              <w:jc w:val="center"/>
              <w:rPr>
                <w:rFonts w:cs="Times New Roman"/>
                <w:sz w:val="20"/>
                <w:szCs w:val="20"/>
              </w:rPr>
            </w:pPr>
            <w:r w:rsidRPr="009B02A7">
              <w:rPr>
                <w:rFonts w:cs="Times New Roman"/>
                <w:sz w:val="20"/>
                <w:szCs w:val="20"/>
              </w:rPr>
              <w:t>554</w:t>
            </w:r>
          </w:p>
        </w:tc>
        <w:tc>
          <w:tcPr>
            <w:tcW w:w="0" w:type="auto"/>
            <w:tcBorders>
              <w:top w:val="nil"/>
              <w:left w:val="nil"/>
              <w:bottom w:val="single" w:sz="4" w:space="0" w:color="auto"/>
              <w:right w:val="single" w:sz="4" w:space="0" w:color="auto"/>
            </w:tcBorders>
            <w:shd w:val="clear" w:color="auto" w:fill="auto"/>
            <w:noWrap/>
            <w:vAlign w:val="center"/>
            <w:hideMark/>
          </w:tcPr>
          <w:p w:rsidR="009B02A7" w:rsidRPr="009B02A7" w:rsidRDefault="009B02A7" w:rsidP="0082480D">
            <w:pPr>
              <w:jc w:val="center"/>
              <w:rPr>
                <w:rFonts w:cs="Times New Roman"/>
                <w:sz w:val="20"/>
                <w:szCs w:val="20"/>
              </w:rPr>
            </w:pPr>
            <w:r w:rsidRPr="009B02A7">
              <w:rPr>
                <w:rFonts w:cs="Times New Roman"/>
                <w:sz w:val="20"/>
                <w:szCs w:val="20"/>
              </w:rPr>
              <w:t>47</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8,5</w:t>
            </w:r>
          </w:p>
        </w:tc>
        <w:tc>
          <w:tcPr>
            <w:tcW w:w="0" w:type="auto"/>
            <w:tcBorders>
              <w:top w:val="nil"/>
              <w:left w:val="nil"/>
              <w:bottom w:val="single" w:sz="4" w:space="0" w:color="auto"/>
              <w:right w:val="single" w:sz="4" w:space="0" w:color="auto"/>
            </w:tcBorders>
            <w:shd w:val="clear" w:color="auto" w:fill="auto"/>
            <w:noWrap/>
            <w:vAlign w:val="center"/>
            <w:hideMark/>
          </w:tcPr>
          <w:p w:rsidR="009B02A7" w:rsidRPr="009B02A7" w:rsidRDefault="009B02A7" w:rsidP="0082480D">
            <w:pPr>
              <w:jc w:val="center"/>
              <w:rPr>
                <w:rFonts w:cs="Times New Roman"/>
                <w:sz w:val="20"/>
                <w:szCs w:val="20"/>
              </w:rPr>
            </w:pPr>
            <w:r w:rsidRPr="009B02A7">
              <w:rPr>
                <w:rFonts w:cs="Times New Roman"/>
                <w:sz w:val="20"/>
                <w:szCs w:val="20"/>
              </w:rPr>
              <w:t>740</w:t>
            </w:r>
          </w:p>
        </w:tc>
        <w:tc>
          <w:tcPr>
            <w:tcW w:w="0" w:type="auto"/>
            <w:tcBorders>
              <w:top w:val="nil"/>
              <w:left w:val="nil"/>
              <w:bottom w:val="single" w:sz="4" w:space="0" w:color="auto"/>
              <w:right w:val="single" w:sz="4" w:space="0" w:color="auto"/>
            </w:tcBorders>
            <w:shd w:val="clear" w:color="auto" w:fill="auto"/>
            <w:noWrap/>
            <w:vAlign w:val="center"/>
            <w:hideMark/>
          </w:tcPr>
          <w:p w:rsidR="009B02A7" w:rsidRPr="009B02A7" w:rsidRDefault="009B02A7" w:rsidP="0082480D">
            <w:pPr>
              <w:jc w:val="center"/>
              <w:rPr>
                <w:rFonts w:cs="Times New Roman"/>
                <w:sz w:val="20"/>
                <w:szCs w:val="20"/>
              </w:rPr>
            </w:pPr>
            <w:r w:rsidRPr="009B02A7">
              <w:rPr>
                <w:rFonts w:cs="Times New Roman"/>
                <w:sz w:val="20"/>
                <w:szCs w:val="20"/>
              </w:rPr>
              <w:t>30</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hideMark/>
          </w:tcPr>
          <w:p w:rsidR="009B02A7" w:rsidRPr="009B02A7" w:rsidRDefault="009B02A7" w:rsidP="0082480D">
            <w:pPr>
              <w:jc w:val="center"/>
              <w:rPr>
                <w:rFonts w:cs="Times New Roman"/>
                <w:sz w:val="20"/>
                <w:szCs w:val="20"/>
              </w:rPr>
            </w:pPr>
            <w:r w:rsidRPr="009B02A7">
              <w:rPr>
                <w:rFonts w:cs="Times New Roman"/>
                <w:sz w:val="20"/>
                <w:szCs w:val="20"/>
              </w:rPr>
              <w:t>291</w:t>
            </w:r>
          </w:p>
        </w:tc>
        <w:tc>
          <w:tcPr>
            <w:tcW w:w="0" w:type="auto"/>
            <w:tcBorders>
              <w:top w:val="nil"/>
              <w:left w:val="nil"/>
              <w:bottom w:val="single" w:sz="4" w:space="0" w:color="auto"/>
              <w:right w:val="single" w:sz="4" w:space="0" w:color="auto"/>
            </w:tcBorders>
            <w:shd w:val="clear" w:color="auto" w:fill="auto"/>
            <w:noWrap/>
            <w:vAlign w:val="center"/>
            <w:hideMark/>
          </w:tcPr>
          <w:p w:rsidR="009B02A7" w:rsidRPr="009B02A7" w:rsidRDefault="009B02A7" w:rsidP="0082480D">
            <w:pPr>
              <w:jc w:val="center"/>
              <w:rPr>
                <w:rFonts w:cs="Times New Roman"/>
                <w:sz w:val="20"/>
                <w:szCs w:val="20"/>
              </w:rPr>
            </w:pPr>
            <w:r w:rsidRPr="009B02A7">
              <w:rPr>
                <w:rFonts w:cs="Times New Roman"/>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rsidR="009B02A7" w:rsidRPr="009B02A7" w:rsidRDefault="009B02A7" w:rsidP="0082480D">
            <w:pPr>
              <w:jc w:val="center"/>
              <w:rPr>
                <w:rFonts w:cs="Times New Roman"/>
                <w:sz w:val="20"/>
                <w:szCs w:val="20"/>
              </w:rPr>
            </w:pPr>
            <w:r w:rsidRPr="009B02A7">
              <w:rPr>
                <w:rFonts w:cs="Times New Roman"/>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rsidR="009B02A7" w:rsidRPr="009B02A7" w:rsidRDefault="009B02A7" w:rsidP="0082480D">
            <w:pPr>
              <w:jc w:val="center"/>
              <w:rPr>
                <w:rFonts w:cs="Times New Roman"/>
                <w:sz w:val="20"/>
                <w:szCs w:val="20"/>
              </w:rPr>
            </w:pPr>
            <w:r w:rsidRPr="009B02A7">
              <w:rPr>
                <w:rFonts w:cs="Times New Roman"/>
                <w:sz w:val="20"/>
                <w:szCs w:val="20"/>
              </w:rPr>
              <w:t>1585</w:t>
            </w:r>
          </w:p>
        </w:tc>
        <w:tc>
          <w:tcPr>
            <w:tcW w:w="0" w:type="auto"/>
            <w:tcBorders>
              <w:top w:val="nil"/>
              <w:left w:val="nil"/>
              <w:bottom w:val="single" w:sz="4" w:space="0" w:color="auto"/>
              <w:right w:val="single" w:sz="4" w:space="0" w:color="auto"/>
            </w:tcBorders>
            <w:shd w:val="clear" w:color="auto" w:fill="auto"/>
            <w:noWrap/>
            <w:vAlign w:val="center"/>
            <w:hideMark/>
          </w:tcPr>
          <w:p w:rsidR="009B02A7" w:rsidRPr="009B02A7" w:rsidRDefault="009B02A7" w:rsidP="0082480D">
            <w:pPr>
              <w:jc w:val="center"/>
              <w:rPr>
                <w:rFonts w:cs="Times New Roman"/>
                <w:sz w:val="20"/>
                <w:szCs w:val="20"/>
              </w:rPr>
            </w:pPr>
            <w:r w:rsidRPr="009B02A7">
              <w:rPr>
                <w:rFonts w:cs="Times New Roman"/>
                <w:sz w:val="20"/>
                <w:szCs w:val="20"/>
              </w:rPr>
              <w:t>82</w:t>
            </w:r>
          </w:p>
        </w:tc>
        <w:tc>
          <w:tcPr>
            <w:tcW w:w="0" w:type="auto"/>
            <w:tcBorders>
              <w:top w:val="nil"/>
              <w:left w:val="nil"/>
              <w:bottom w:val="single" w:sz="4" w:space="0" w:color="auto"/>
              <w:right w:val="single" w:sz="4" w:space="0" w:color="auto"/>
            </w:tcBorders>
            <w:shd w:val="clear" w:color="auto" w:fill="auto"/>
            <w:noWrap/>
            <w:vAlign w:val="center"/>
            <w:hideMark/>
          </w:tcPr>
          <w:p w:rsidR="009B02A7" w:rsidRPr="009B02A7" w:rsidRDefault="009B02A7" w:rsidP="0082480D">
            <w:pPr>
              <w:jc w:val="center"/>
              <w:rPr>
                <w:rFonts w:cs="Times New Roman"/>
                <w:sz w:val="20"/>
                <w:szCs w:val="20"/>
              </w:rPr>
            </w:pPr>
            <w:r w:rsidRPr="009B02A7">
              <w:rPr>
                <w:rFonts w:cs="Times New Roman"/>
                <w:sz w:val="20"/>
                <w:szCs w:val="20"/>
              </w:rPr>
              <w:t>5,2</w:t>
            </w:r>
          </w:p>
        </w:tc>
      </w:tr>
    </w:tbl>
    <w:p w:rsidR="00615F1A" w:rsidRDefault="00615F1A" w:rsidP="00615F1A">
      <w:pPr>
        <w:rPr>
          <w:sz w:val="28"/>
          <w:szCs w:val="28"/>
        </w:rPr>
      </w:pPr>
    </w:p>
    <w:p w:rsidR="00615F1A" w:rsidRPr="00615F1A" w:rsidRDefault="00615F1A" w:rsidP="009B02A7">
      <w:pPr>
        <w:ind w:firstLine="709"/>
        <w:rPr>
          <w:sz w:val="28"/>
          <w:szCs w:val="28"/>
        </w:rPr>
      </w:pPr>
      <w:r w:rsidRPr="00615F1A">
        <w:rPr>
          <w:sz w:val="28"/>
          <w:szCs w:val="28"/>
        </w:rPr>
        <w:t xml:space="preserve">Как видно из таблицы, в период с 2021 г. по 2023 г. было исследовано 1585 образцов молока, из которых выделено 82 (5,1%) штамма </w:t>
      </w:r>
      <w:r w:rsidR="007A7888" w:rsidRPr="007A7888">
        <w:rPr>
          <w:i/>
          <w:sz w:val="28"/>
          <w:szCs w:val="28"/>
        </w:rPr>
        <w:t>S. aureus</w:t>
      </w:r>
      <w:r w:rsidRPr="00615F1A">
        <w:rPr>
          <w:sz w:val="28"/>
          <w:szCs w:val="28"/>
        </w:rPr>
        <w:t xml:space="preserve">. Наибольшее количество образцов было исследовано в 2022 году – 740 (46,7%), при этом выделено 30 (4,0%) штаммов, тогда как в 2021 г. при исследовании 554 (34,9%) образцов, выделено 47 (8,4%) штаммов </w:t>
      </w:r>
      <w:r w:rsidR="007A7888" w:rsidRPr="007A7888">
        <w:rPr>
          <w:i/>
          <w:sz w:val="28"/>
          <w:szCs w:val="28"/>
        </w:rPr>
        <w:t>S. aureus</w:t>
      </w:r>
      <w:r w:rsidRPr="00615F1A">
        <w:rPr>
          <w:sz w:val="28"/>
          <w:szCs w:val="28"/>
        </w:rPr>
        <w:t xml:space="preserve">. Наименьшее количество образцов в количестве 291 (18,4%), исследовано в 2023 г., выделено 5 (1,7%) штаммов </w:t>
      </w:r>
      <w:r w:rsidR="007A7888" w:rsidRPr="007A7888">
        <w:rPr>
          <w:i/>
          <w:sz w:val="28"/>
          <w:szCs w:val="28"/>
        </w:rPr>
        <w:t>S. aureus</w:t>
      </w:r>
      <w:r w:rsidRPr="00615F1A">
        <w:rPr>
          <w:sz w:val="28"/>
          <w:szCs w:val="28"/>
        </w:rPr>
        <w:t>.</w:t>
      </w:r>
    </w:p>
    <w:p w:rsidR="00615F1A" w:rsidRPr="00615F1A" w:rsidRDefault="00615F1A" w:rsidP="009B02A7">
      <w:pPr>
        <w:ind w:firstLine="709"/>
        <w:rPr>
          <w:sz w:val="28"/>
          <w:szCs w:val="28"/>
        </w:rPr>
      </w:pPr>
      <w:r w:rsidRPr="00615F1A">
        <w:rPr>
          <w:sz w:val="28"/>
          <w:szCs w:val="28"/>
        </w:rPr>
        <w:t xml:space="preserve">Наибольшее количество образцов (298) исследовано в ТОО «Milk Farm KZT», при этом выделено 16 (5,3%) изолятов. В ТОО «Олжа Аккудук», так же было выделено 16 (6,3%) штаммов </w:t>
      </w:r>
      <w:r w:rsidR="007A7888" w:rsidRPr="007A7888">
        <w:rPr>
          <w:i/>
          <w:sz w:val="28"/>
          <w:szCs w:val="28"/>
        </w:rPr>
        <w:t>S. aureus</w:t>
      </w:r>
      <w:r w:rsidRPr="00615F1A">
        <w:rPr>
          <w:sz w:val="28"/>
          <w:szCs w:val="28"/>
        </w:rPr>
        <w:t>, при этом исследовано меньшее количество образцов – 252.</w:t>
      </w:r>
    </w:p>
    <w:p w:rsidR="00615F1A" w:rsidRDefault="00615F1A" w:rsidP="009B02A7">
      <w:pPr>
        <w:ind w:firstLine="709"/>
        <w:rPr>
          <w:sz w:val="28"/>
          <w:szCs w:val="28"/>
        </w:rPr>
      </w:pPr>
      <w:r w:rsidRPr="00615F1A">
        <w:rPr>
          <w:sz w:val="28"/>
          <w:szCs w:val="28"/>
        </w:rPr>
        <w:t>В ТОО «Викторовское» за три года исследован 351 образец, при этом выделено 7 (1,9%) штаммов. В АО «Заря» исследовано 166 образцов, выделено 9 (5,4%) штаммов. В ТОО в 2021 году «Баталинское» исследовано 19 образцов, при этом выделено 9 штаммов, что является самым высоким показателем в процентном соотношении - 47,3%; в последующие годы исследования молока из данного хозяйства не проводились. В ТОО «Беркут» и ТОО «Бек+», выделено минимальное количество штаммов – 3 и 2 соответственно.</w:t>
      </w:r>
    </w:p>
    <w:p w:rsidR="00615F1A" w:rsidRDefault="00615F1A" w:rsidP="009B02A7">
      <w:pPr>
        <w:ind w:firstLine="709"/>
        <w:rPr>
          <w:sz w:val="28"/>
          <w:szCs w:val="28"/>
        </w:rPr>
      </w:pPr>
    </w:p>
    <w:p w:rsidR="00615F1A" w:rsidRPr="00615F1A" w:rsidRDefault="00F74AAB" w:rsidP="009B02A7">
      <w:pPr>
        <w:jc w:val="center"/>
        <w:rPr>
          <w:sz w:val="28"/>
          <w:szCs w:val="28"/>
        </w:rPr>
      </w:pPr>
      <w:r w:rsidRPr="00F74AAB">
        <w:rPr>
          <w:noProof/>
          <w:sz w:val="28"/>
          <w:szCs w:val="28"/>
          <w:lang w:eastAsia="ru-RU"/>
        </w:rPr>
        <w:drawing>
          <wp:inline distT="0" distB="0" distL="0" distR="0" wp14:anchorId="33365B37" wp14:editId="47562E89">
            <wp:extent cx="4002405" cy="200355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4094677" cy="2049746"/>
                    </a:xfrm>
                    <a:prstGeom prst="rect">
                      <a:avLst/>
                    </a:prstGeom>
                  </pic:spPr>
                </pic:pic>
              </a:graphicData>
            </a:graphic>
          </wp:inline>
        </w:drawing>
      </w:r>
    </w:p>
    <w:p w:rsidR="00615F1A" w:rsidRDefault="00615F1A" w:rsidP="009B02A7">
      <w:pPr>
        <w:jc w:val="center"/>
        <w:rPr>
          <w:sz w:val="28"/>
          <w:szCs w:val="28"/>
        </w:rPr>
      </w:pPr>
      <w:r w:rsidRPr="00615F1A">
        <w:rPr>
          <w:sz w:val="28"/>
          <w:szCs w:val="28"/>
        </w:rPr>
        <w:t xml:space="preserve">Рисунок 12 – Количество исследованных и выделенных штаммов </w:t>
      </w:r>
      <w:r w:rsidR="007A7888" w:rsidRPr="007A7888">
        <w:rPr>
          <w:i/>
          <w:sz w:val="28"/>
          <w:szCs w:val="28"/>
        </w:rPr>
        <w:t>S. aureus</w:t>
      </w:r>
      <w:r w:rsidRPr="00615F1A">
        <w:rPr>
          <w:sz w:val="28"/>
          <w:szCs w:val="28"/>
        </w:rPr>
        <w:t xml:space="preserve"> в разрезе хозяйств за 2021-2023 гг.</w:t>
      </w:r>
    </w:p>
    <w:p w:rsidR="00615F1A" w:rsidRPr="00615F1A" w:rsidRDefault="00615F1A" w:rsidP="00615F1A">
      <w:pPr>
        <w:rPr>
          <w:sz w:val="28"/>
          <w:szCs w:val="28"/>
        </w:rPr>
      </w:pPr>
    </w:p>
    <w:p w:rsidR="00615F1A" w:rsidRPr="00615F1A" w:rsidRDefault="00615F1A" w:rsidP="009B02A7">
      <w:pPr>
        <w:ind w:firstLine="709"/>
        <w:rPr>
          <w:sz w:val="28"/>
          <w:szCs w:val="28"/>
        </w:rPr>
      </w:pPr>
      <w:r w:rsidRPr="00615F1A">
        <w:rPr>
          <w:sz w:val="28"/>
          <w:szCs w:val="28"/>
        </w:rPr>
        <w:t xml:space="preserve">Всего в 2021 году исследовано 554 образца, выделено 47 штаммов </w:t>
      </w:r>
      <w:r w:rsidR="007A7888" w:rsidRPr="007A7888">
        <w:rPr>
          <w:i/>
          <w:sz w:val="28"/>
          <w:szCs w:val="28"/>
        </w:rPr>
        <w:t>S. aureus</w:t>
      </w:r>
      <w:r w:rsidRPr="00615F1A">
        <w:rPr>
          <w:sz w:val="28"/>
          <w:szCs w:val="28"/>
        </w:rPr>
        <w:t xml:space="preserve">. Наибольшее количество штаммов </w:t>
      </w:r>
      <w:r w:rsidR="007A7888" w:rsidRPr="007A7888">
        <w:rPr>
          <w:i/>
          <w:sz w:val="28"/>
          <w:szCs w:val="28"/>
        </w:rPr>
        <w:t>S. aureus</w:t>
      </w:r>
      <w:r w:rsidRPr="00615F1A">
        <w:rPr>
          <w:sz w:val="28"/>
          <w:szCs w:val="28"/>
        </w:rPr>
        <w:t xml:space="preserve"> выделено в АО «Заря» и ТОО «Баталинское», 7 и 9 соответственно. В 2022 году исследовано 740 образцов, выделено 30 штаммов. Наибольшее количество штаммов </w:t>
      </w:r>
      <w:r w:rsidR="007A7888" w:rsidRPr="007A7888">
        <w:rPr>
          <w:i/>
          <w:sz w:val="28"/>
          <w:szCs w:val="28"/>
        </w:rPr>
        <w:t>S. aureus</w:t>
      </w:r>
      <w:r w:rsidRPr="00615F1A">
        <w:rPr>
          <w:sz w:val="28"/>
          <w:szCs w:val="28"/>
        </w:rPr>
        <w:t xml:space="preserve"> (12) выделено в ТОО «Олжа Аккудук». В некоторых хозяйствах, например, ТОО «Бек+» и ТОО «Баталинское» исследования не проводились. В 2023 году исследован 291 образец, выделено 5 штаммов, из которых наибольшее количество (2) в ТОО «Тойсай».</w:t>
      </w:r>
    </w:p>
    <w:p w:rsidR="00615F1A" w:rsidRPr="00615F1A" w:rsidRDefault="00615F1A" w:rsidP="009B02A7">
      <w:pPr>
        <w:ind w:firstLine="709"/>
        <w:rPr>
          <w:sz w:val="28"/>
          <w:szCs w:val="28"/>
        </w:rPr>
      </w:pPr>
      <w:r w:rsidRPr="00615F1A">
        <w:rPr>
          <w:sz w:val="28"/>
          <w:szCs w:val="28"/>
        </w:rPr>
        <w:t>Несмотря на незначительное количество исследуемых образцов в ТОО «Баталинское», был зафиксирован самый высокий процент выделенных штаммов. В ТОО «Олжа Аккудук» отмечался самый максимальный показатель за 2022 год в сравнении с другими хозяйствами.</w:t>
      </w:r>
    </w:p>
    <w:p w:rsidR="00615F1A" w:rsidRPr="00615F1A" w:rsidRDefault="00615F1A" w:rsidP="009B02A7">
      <w:pPr>
        <w:ind w:firstLine="709"/>
        <w:rPr>
          <w:sz w:val="28"/>
          <w:szCs w:val="28"/>
        </w:rPr>
      </w:pPr>
      <w:r w:rsidRPr="00615F1A">
        <w:rPr>
          <w:sz w:val="28"/>
          <w:szCs w:val="28"/>
        </w:rPr>
        <w:t xml:space="preserve">Так же можно отметить, что наибольшая </w:t>
      </w:r>
      <w:r w:rsidR="00BA01CD" w:rsidRPr="00BA01CD">
        <w:rPr>
          <w:sz w:val="28"/>
          <w:szCs w:val="28"/>
        </w:rPr>
        <w:t xml:space="preserve">распространенность </w:t>
      </w:r>
      <w:r w:rsidR="007A7888" w:rsidRPr="007A7888">
        <w:rPr>
          <w:i/>
          <w:sz w:val="28"/>
          <w:szCs w:val="28"/>
        </w:rPr>
        <w:t>S. aureus</w:t>
      </w:r>
      <w:r w:rsidRPr="00615F1A">
        <w:rPr>
          <w:sz w:val="28"/>
          <w:szCs w:val="28"/>
        </w:rPr>
        <w:t xml:space="preserve"> наблюдалась в 2021 году, где было выделено чуть меньше половины всех в</w:t>
      </w:r>
      <w:r>
        <w:rPr>
          <w:sz w:val="28"/>
          <w:szCs w:val="28"/>
        </w:rPr>
        <w:t>ыделенных штаммов за три года.</w:t>
      </w:r>
    </w:p>
    <w:p w:rsidR="00615F1A" w:rsidRPr="00615F1A" w:rsidRDefault="00615F1A" w:rsidP="009B02A7">
      <w:pPr>
        <w:ind w:firstLine="709"/>
        <w:rPr>
          <w:sz w:val="28"/>
          <w:szCs w:val="28"/>
        </w:rPr>
      </w:pPr>
      <w:r w:rsidRPr="00615F1A">
        <w:rPr>
          <w:sz w:val="28"/>
          <w:szCs w:val="28"/>
        </w:rPr>
        <w:t>В 2022 году увеличилось количество исследуемых образцов, количество выделенных штаммов уменьшилось. В 2023 году, количество исследуемых образцов и выделенных штаммов значительно снизилось.</w:t>
      </w:r>
    </w:p>
    <w:p w:rsidR="00615F1A" w:rsidRPr="00615F1A" w:rsidRDefault="00615F1A" w:rsidP="009B02A7">
      <w:pPr>
        <w:ind w:firstLine="709"/>
        <w:rPr>
          <w:sz w:val="28"/>
          <w:szCs w:val="28"/>
        </w:rPr>
      </w:pPr>
      <w:r w:rsidRPr="00615F1A">
        <w:rPr>
          <w:sz w:val="28"/>
          <w:szCs w:val="28"/>
        </w:rPr>
        <w:t xml:space="preserve">Таким образом, в некоторых молочных хозяйствах (ТОО «Баталинское», ТОО «Олжа Аккудук»), проблема персистенции </w:t>
      </w:r>
      <w:r w:rsidR="007A7888" w:rsidRPr="007A7888">
        <w:rPr>
          <w:i/>
          <w:sz w:val="28"/>
          <w:szCs w:val="28"/>
        </w:rPr>
        <w:t>S. aureus</w:t>
      </w:r>
      <w:r w:rsidRPr="00615F1A">
        <w:rPr>
          <w:sz w:val="28"/>
          <w:szCs w:val="28"/>
        </w:rPr>
        <w:t xml:space="preserve">, как возбудителя мастита коров остается актуальной. Также можно наблюдать общую тенденцию к снижению количества выделяемых штаммов </w:t>
      </w:r>
      <w:r w:rsidR="007A7888" w:rsidRPr="007A7888">
        <w:rPr>
          <w:i/>
          <w:sz w:val="28"/>
          <w:szCs w:val="28"/>
        </w:rPr>
        <w:t>S. aureus</w:t>
      </w:r>
      <w:r w:rsidRPr="00615F1A">
        <w:rPr>
          <w:sz w:val="28"/>
          <w:szCs w:val="28"/>
        </w:rPr>
        <w:t xml:space="preserve"> от 2021 к 2023 году.</w:t>
      </w:r>
    </w:p>
    <w:p w:rsidR="00615F1A" w:rsidRPr="00615F1A" w:rsidRDefault="00615F1A" w:rsidP="00615F1A">
      <w:pPr>
        <w:rPr>
          <w:sz w:val="28"/>
          <w:szCs w:val="28"/>
        </w:rPr>
      </w:pPr>
      <w:r w:rsidRPr="00615F1A">
        <w:rPr>
          <w:sz w:val="28"/>
          <w:szCs w:val="28"/>
        </w:rPr>
        <w:t xml:space="preserve"> </w:t>
      </w:r>
    </w:p>
    <w:p w:rsidR="00615F1A" w:rsidRDefault="00615F1A" w:rsidP="0077064C">
      <w:pPr>
        <w:jc w:val="left"/>
        <w:rPr>
          <w:sz w:val="28"/>
          <w:szCs w:val="28"/>
        </w:rPr>
      </w:pPr>
      <w:r w:rsidRPr="00615F1A">
        <w:rPr>
          <w:sz w:val="28"/>
          <w:szCs w:val="28"/>
        </w:rPr>
        <w:t xml:space="preserve">Таблица 2 – Количество выделенных штаммов </w:t>
      </w:r>
      <w:r w:rsidR="007A7888" w:rsidRPr="007A7888">
        <w:rPr>
          <w:i/>
          <w:sz w:val="28"/>
          <w:szCs w:val="28"/>
        </w:rPr>
        <w:t>S. aureus</w:t>
      </w:r>
      <w:r w:rsidRPr="00615F1A">
        <w:rPr>
          <w:sz w:val="28"/>
          <w:szCs w:val="28"/>
        </w:rPr>
        <w:t xml:space="preserve"> из различной продукции животного происхождения за 2021-2023 гг.</w:t>
      </w:r>
    </w:p>
    <w:tbl>
      <w:tblPr>
        <w:tblW w:w="0" w:type="auto"/>
        <w:tblInd w:w="-5" w:type="dxa"/>
        <w:tblLook w:val="04A0" w:firstRow="1" w:lastRow="0" w:firstColumn="1" w:lastColumn="0" w:noHBand="0" w:noVBand="1"/>
      </w:tblPr>
      <w:tblGrid>
        <w:gridCol w:w="534"/>
        <w:gridCol w:w="1856"/>
        <w:gridCol w:w="621"/>
        <w:gridCol w:w="672"/>
        <w:gridCol w:w="601"/>
        <w:gridCol w:w="622"/>
        <w:gridCol w:w="672"/>
        <w:gridCol w:w="491"/>
        <w:gridCol w:w="622"/>
        <w:gridCol w:w="672"/>
        <w:gridCol w:w="601"/>
        <w:gridCol w:w="622"/>
        <w:gridCol w:w="672"/>
        <w:gridCol w:w="601"/>
      </w:tblGrid>
      <w:tr w:rsidR="008B2D50" w:rsidRPr="0077064C" w:rsidTr="008B2D50">
        <w:trPr>
          <w:trHeight w:val="312"/>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01CD" w:rsidRPr="0077064C" w:rsidRDefault="00BA01CD" w:rsidP="00BA01CD">
            <w:pPr>
              <w:spacing w:after="0"/>
              <w:rPr>
                <w:rFonts w:eastAsia="Times New Roman" w:cs="Times New Roman"/>
                <w:color w:val="000000"/>
                <w:sz w:val="22"/>
                <w:lang w:eastAsia="ru-RU"/>
              </w:rPr>
            </w:pPr>
            <w:r w:rsidRPr="0077064C">
              <w:rPr>
                <w:rFonts w:eastAsia="Times New Roman" w:cs="Times New Roman"/>
                <w:color w:val="000000"/>
                <w:sz w:val="22"/>
                <w:lang w:eastAsia="ru-RU"/>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01CD" w:rsidRPr="0077064C" w:rsidRDefault="00BA01CD" w:rsidP="00BA01CD">
            <w:pPr>
              <w:spacing w:after="0"/>
              <w:rPr>
                <w:rFonts w:eastAsia="Times New Roman" w:cs="Times New Roman"/>
                <w:color w:val="000000"/>
                <w:sz w:val="22"/>
                <w:lang w:eastAsia="ru-RU"/>
              </w:rPr>
            </w:pPr>
            <w:r w:rsidRPr="0077064C">
              <w:rPr>
                <w:rFonts w:eastAsia="Times New Roman" w:cs="Times New Roman"/>
                <w:color w:val="000000"/>
                <w:sz w:val="22"/>
                <w:lang w:eastAsia="ru-RU"/>
              </w:rPr>
              <w:t>Вид продукции</w:t>
            </w:r>
          </w:p>
        </w:tc>
        <w:tc>
          <w:tcPr>
            <w:tcW w:w="0" w:type="auto"/>
            <w:gridSpan w:val="3"/>
            <w:tcBorders>
              <w:top w:val="single" w:sz="4" w:space="0" w:color="auto"/>
              <w:left w:val="nil"/>
              <w:bottom w:val="single" w:sz="4" w:space="0" w:color="auto"/>
              <w:right w:val="single" w:sz="4" w:space="0" w:color="auto"/>
            </w:tcBorders>
            <w:shd w:val="clear" w:color="auto" w:fill="auto"/>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2021г.</w:t>
            </w:r>
          </w:p>
        </w:tc>
        <w:tc>
          <w:tcPr>
            <w:tcW w:w="0" w:type="auto"/>
            <w:gridSpan w:val="3"/>
            <w:tcBorders>
              <w:top w:val="single" w:sz="4" w:space="0" w:color="auto"/>
              <w:left w:val="nil"/>
              <w:bottom w:val="single" w:sz="4" w:space="0" w:color="auto"/>
              <w:right w:val="single" w:sz="4" w:space="0" w:color="auto"/>
            </w:tcBorders>
            <w:shd w:val="clear" w:color="auto" w:fill="auto"/>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2022г.</w:t>
            </w:r>
          </w:p>
        </w:tc>
        <w:tc>
          <w:tcPr>
            <w:tcW w:w="0" w:type="auto"/>
            <w:gridSpan w:val="3"/>
            <w:tcBorders>
              <w:top w:val="single" w:sz="4" w:space="0" w:color="auto"/>
              <w:left w:val="nil"/>
              <w:bottom w:val="single" w:sz="4" w:space="0" w:color="auto"/>
              <w:right w:val="single" w:sz="4" w:space="0" w:color="auto"/>
            </w:tcBorders>
            <w:shd w:val="clear" w:color="auto" w:fill="auto"/>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2023г.</w:t>
            </w:r>
          </w:p>
        </w:tc>
        <w:tc>
          <w:tcPr>
            <w:tcW w:w="0" w:type="auto"/>
            <w:gridSpan w:val="3"/>
            <w:tcBorders>
              <w:top w:val="single" w:sz="4" w:space="0" w:color="auto"/>
              <w:left w:val="nil"/>
              <w:bottom w:val="single" w:sz="4" w:space="0" w:color="auto"/>
              <w:right w:val="single" w:sz="4" w:space="0" w:color="auto"/>
            </w:tcBorders>
            <w:shd w:val="clear" w:color="auto" w:fill="auto"/>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Всего</w:t>
            </w:r>
          </w:p>
        </w:tc>
      </w:tr>
      <w:tr w:rsidR="008B2D50" w:rsidRPr="0077064C" w:rsidTr="008B2D50">
        <w:trPr>
          <w:trHeight w:val="312"/>
        </w:trPr>
        <w:tc>
          <w:tcPr>
            <w:tcW w:w="0" w:type="auto"/>
            <w:vMerge/>
            <w:tcBorders>
              <w:top w:val="single" w:sz="4" w:space="0" w:color="auto"/>
              <w:left w:val="single" w:sz="4" w:space="0" w:color="auto"/>
              <w:bottom w:val="single" w:sz="4" w:space="0" w:color="auto"/>
              <w:right w:val="single" w:sz="4" w:space="0" w:color="auto"/>
            </w:tcBorders>
            <w:vAlign w:val="center"/>
            <w:hideMark/>
          </w:tcPr>
          <w:p w:rsidR="00BA01CD" w:rsidRPr="0077064C" w:rsidRDefault="00BA01CD" w:rsidP="00BA01CD">
            <w:pPr>
              <w:spacing w:after="0"/>
              <w:jc w:val="left"/>
              <w:rPr>
                <w:rFonts w:eastAsia="Times New Roman" w:cs="Times New Roman"/>
                <w:color w:val="000000"/>
                <w:sz w:val="22"/>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A01CD" w:rsidRPr="0077064C" w:rsidRDefault="00BA01CD" w:rsidP="00BA01CD">
            <w:pPr>
              <w:spacing w:after="0"/>
              <w:jc w:val="left"/>
              <w:rPr>
                <w:rFonts w:eastAsia="Times New Roman" w:cs="Times New Roman"/>
                <w:color w:val="000000"/>
                <w:sz w:val="22"/>
                <w:lang w:eastAsia="ru-RU"/>
              </w:rPr>
            </w:pP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исс-но</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выд-но</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исс-но</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выд-но</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исс-но</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выд-но</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исс-но</w:t>
            </w:r>
          </w:p>
        </w:tc>
        <w:tc>
          <w:tcPr>
            <w:tcW w:w="0" w:type="auto"/>
            <w:tcBorders>
              <w:top w:val="nil"/>
              <w:left w:val="nil"/>
              <w:bottom w:val="single" w:sz="4" w:space="0" w:color="auto"/>
              <w:right w:val="single" w:sz="4" w:space="0" w:color="auto"/>
            </w:tcBorders>
            <w:shd w:val="clear" w:color="auto" w:fill="auto"/>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выд-но</w:t>
            </w:r>
          </w:p>
        </w:tc>
        <w:tc>
          <w:tcPr>
            <w:tcW w:w="0" w:type="auto"/>
            <w:tcBorders>
              <w:top w:val="nil"/>
              <w:left w:val="nil"/>
              <w:bottom w:val="single" w:sz="4" w:space="0" w:color="auto"/>
              <w:right w:val="single" w:sz="4" w:space="0" w:color="auto"/>
            </w:tcBorders>
            <w:shd w:val="clear" w:color="auto" w:fill="auto"/>
            <w:noWrap/>
            <w:vAlign w:val="bottom"/>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w:t>
            </w:r>
          </w:p>
        </w:tc>
      </w:tr>
      <w:tr w:rsidR="008B2D50" w:rsidRPr="0077064C" w:rsidTr="008B2D50">
        <w:trPr>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77064C" w:rsidRDefault="00BA01CD" w:rsidP="00BA01CD">
            <w:pPr>
              <w:spacing w:after="0"/>
              <w:rPr>
                <w:rFonts w:eastAsia="Times New Roman" w:cs="Times New Roman"/>
                <w:color w:val="000000"/>
                <w:sz w:val="22"/>
                <w:lang w:eastAsia="ru-RU"/>
              </w:rPr>
            </w:pPr>
            <w:r w:rsidRPr="0077064C">
              <w:rPr>
                <w:rFonts w:eastAsia="Times New Roman" w:cs="Times New Roman"/>
                <w:color w:val="000000"/>
                <w:sz w:val="22"/>
                <w:lang w:eastAsia="ru-RU"/>
              </w:rPr>
              <w:t>1</w:t>
            </w:r>
          </w:p>
        </w:tc>
        <w:tc>
          <w:tcPr>
            <w:tcW w:w="0" w:type="auto"/>
            <w:tcBorders>
              <w:top w:val="nil"/>
              <w:left w:val="nil"/>
              <w:bottom w:val="single" w:sz="4" w:space="0" w:color="auto"/>
              <w:right w:val="single" w:sz="4" w:space="0" w:color="auto"/>
            </w:tcBorders>
            <w:shd w:val="clear" w:color="auto" w:fill="auto"/>
            <w:hideMark/>
          </w:tcPr>
          <w:p w:rsidR="00BA01CD" w:rsidRPr="0077064C" w:rsidRDefault="00BA01CD" w:rsidP="00BA01CD">
            <w:pPr>
              <w:spacing w:after="0"/>
              <w:jc w:val="left"/>
              <w:rPr>
                <w:rFonts w:eastAsia="Times New Roman" w:cs="Times New Roman"/>
                <w:color w:val="000000"/>
                <w:sz w:val="22"/>
                <w:lang w:eastAsia="ru-RU"/>
              </w:rPr>
            </w:pPr>
            <w:r w:rsidRPr="0077064C">
              <w:rPr>
                <w:rFonts w:eastAsia="Times New Roman" w:cs="Times New Roman"/>
                <w:color w:val="000000"/>
                <w:sz w:val="22"/>
                <w:lang w:eastAsia="ru-RU"/>
              </w:rPr>
              <w:t>Продукты животного происхождения</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12</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8,3  </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12</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0,0  </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0,0  </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27</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3,7  </w:t>
            </w:r>
          </w:p>
        </w:tc>
      </w:tr>
      <w:tr w:rsidR="008B2D50" w:rsidRPr="0077064C" w:rsidTr="008B2D50">
        <w:trPr>
          <w:trHeight w:val="624"/>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77064C" w:rsidRDefault="00BA01CD" w:rsidP="00BA01CD">
            <w:pPr>
              <w:spacing w:after="0"/>
              <w:rPr>
                <w:rFonts w:eastAsia="Times New Roman" w:cs="Times New Roman"/>
                <w:color w:val="000000"/>
                <w:sz w:val="22"/>
                <w:lang w:eastAsia="ru-RU"/>
              </w:rPr>
            </w:pPr>
            <w:r w:rsidRPr="0077064C">
              <w:rPr>
                <w:rFonts w:eastAsia="Times New Roman" w:cs="Times New Roman"/>
                <w:color w:val="000000"/>
                <w:sz w:val="22"/>
                <w:lang w:eastAsia="ru-RU"/>
              </w:rPr>
              <w:t>2</w:t>
            </w:r>
          </w:p>
        </w:tc>
        <w:tc>
          <w:tcPr>
            <w:tcW w:w="0" w:type="auto"/>
            <w:tcBorders>
              <w:top w:val="nil"/>
              <w:left w:val="nil"/>
              <w:bottom w:val="single" w:sz="4" w:space="0" w:color="auto"/>
              <w:right w:val="single" w:sz="4" w:space="0" w:color="auto"/>
            </w:tcBorders>
            <w:shd w:val="clear" w:color="auto" w:fill="auto"/>
            <w:hideMark/>
          </w:tcPr>
          <w:p w:rsidR="00BA01CD" w:rsidRPr="0077064C" w:rsidRDefault="00BA01CD" w:rsidP="00BA01CD">
            <w:pPr>
              <w:spacing w:after="0"/>
              <w:jc w:val="left"/>
              <w:rPr>
                <w:rFonts w:eastAsia="Times New Roman" w:cs="Times New Roman"/>
                <w:color w:val="000000"/>
                <w:sz w:val="22"/>
                <w:lang w:eastAsia="ru-RU"/>
              </w:rPr>
            </w:pPr>
            <w:r w:rsidRPr="0077064C">
              <w:rPr>
                <w:rFonts w:eastAsia="Times New Roman" w:cs="Times New Roman"/>
                <w:color w:val="000000"/>
                <w:sz w:val="22"/>
                <w:lang w:eastAsia="ru-RU"/>
              </w:rPr>
              <w:t>Продукция птицеводства</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15</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2</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13,3  </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17</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5,9  </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5</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20,0  </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37</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4</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10,8  </w:t>
            </w:r>
          </w:p>
        </w:tc>
      </w:tr>
      <w:tr w:rsidR="008B2D50" w:rsidRPr="0077064C" w:rsidTr="008B2D50">
        <w:trPr>
          <w:trHeight w:val="7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01CD" w:rsidRPr="0077064C" w:rsidRDefault="00BA01CD" w:rsidP="00BA01CD">
            <w:pPr>
              <w:spacing w:after="0"/>
              <w:rPr>
                <w:rFonts w:eastAsia="Times New Roman" w:cs="Times New Roman"/>
                <w:color w:val="000000"/>
                <w:sz w:val="22"/>
                <w:lang w:eastAsia="ru-RU"/>
              </w:rPr>
            </w:pPr>
            <w:r w:rsidRPr="0077064C">
              <w:rPr>
                <w:rFonts w:eastAsia="Times New Roman" w:cs="Times New Roman"/>
                <w:color w:val="000000"/>
                <w:sz w:val="22"/>
                <w:lang w:eastAsia="ru-RU"/>
              </w:rPr>
              <w:t>3</w:t>
            </w:r>
          </w:p>
        </w:tc>
        <w:tc>
          <w:tcPr>
            <w:tcW w:w="0" w:type="auto"/>
            <w:tcBorders>
              <w:top w:val="nil"/>
              <w:left w:val="nil"/>
              <w:bottom w:val="single" w:sz="4" w:space="0" w:color="auto"/>
              <w:right w:val="single" w:sz="4" w:space="0" w:color="auto"/>
            </w:tcBorders>
            <w:shd w:val="clear" w:color="auto" w:fill="auto"/>
            <w:hideMark/>
          </w:tcPr>
          <w:p w:rsidR="00BA01CD" w:rsidRPr="0077064C" w:rsidRDefault="00BA01CD" w:rsidP="00BA01CD">
            <w:pPr>
              <w:spacing w:after="0"/>
              <w:jc w:val="left"/>
              <w:rPr>
                <w:rFonts w:eastAsia="Times New Roman" w:cs="Times New Roman"/>
                <w:color w:val="000000"/>
                <w:sz w:val="22"/>
                <w:lang w:eastAsia="ru-RU"/>
              </w:rPr>
            </w:pPr>
            <w:r w:rsidRPr="0077064C">
              <w:rPr>
                <w:rFonts w:eastAsia="Times New Roman" w:cs="Times New Roman"/>
                <w:color w:val="000000"/>
                <w:sz w:val="22"/>
                <w:lang w:eastAsia="ru-RU"/>
              </w:rPr>
              <w:t>Продукция готовая к употреблению</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23</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0,0  </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0,0  </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0</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0,0  </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31</w:t>
            </w:r>
          </w:p>
        </w:tc>
        <w:tc>
          <w:tcPr>
            <w:tcW w:w="0" w:type="auto"/>
            <w:tcBorders>
              <w:top w:val="nil"/>
              <w:left w:val="nil"/>
              <w:bottom w:val="single" w:sz="4" w:space="0" w:color="auto"/>
              <w:right w:val="single" w:sz="4" w:space="0" w:color="auto"/>
            </w:tcBorders>
            <w:shd w:val="clear" w:color="auto" w:fill="auto"/>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0</w:t>
            </w:r>
          </w:p>
        </w:tc>
        <w:tc>
          <w:tcPr>
            <w:tcW w:w="0" w:type="auto"/>
            <w:tcBorders>
              <w:top w:val="nil"/>
              <w:left w:val="nil"/>
              <w:bottom w:val="single" w:sz="4" w:space="0" w:color="auto"/>
              <w:right w:val="single" w:sz="4" w:space="0" w:color="auto"/>
            </w:tcBorders>
            <w:shd w:val="clear" w:color="auto" w:fill="auto"/>
            <w:noWrap/>
            <w:vAlign w:val="center"/>
            <w:hideMark/>
          </w:tcPr>
          <w:p w:rsidR="00BA01CD" w:rsidRPr="0077064C" w:rsidRDefault="00BA01CD"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0,0  </w:t>
            </w:r>
          </w:p>
        </w:tc>
      </w:tr>
      <w:tr w:rsidR="008B2D50" w:rsidRPr="0077064C" w:rsidTr="009F1B2C">
        <w:trPr>
          <w:trHeight w:val="312"/>
        </w:trPr>
        <w:tc>
          <w:tcPr>
            <w:tcW w:w="0" w:type="auto"/>
            <w:gridSpan w:val="2"/>
            <w:tcBorders>
              <w:top w:val="nil"/>
              <w:left w:val="single" w:sz="4" w:space="0" w:color="auto"/>
              <w:bottom w:val="single" w:sz="4" w:space="0" w:color="auto"/>
              <w:right w:val="single" w:sz="4" w:space="0" w:color="auto"/>
            </w:tcBorders>
            <w:shd w:val="clear" w:color="auto" w:fill="auto"/>
            <w:vAlign w:val="center"/>
            <w:hideMark/>
          </w:tcPr>
          <w:p w:rsidR="008B2D50" w:rsidRPr="0077064C" w:rsidRDefault="008B2D50" w:rsidP="00BA01CD">
            <w:pPr>
              <w:spacing w:after="0"/>
              <w:rPr>
                <w:rFonts w:eastAsia="Times New Roman" w:cs="Times New Roman"/>
                <w:color w:val="000000"/>
                <w:sz w:val="22"/>
                <w:lang w:eastAsia="ru-RU"/>
              </w:rPr>
            </w:pPr>
            <w:r w:rsidRPr="0077064C">
              <w:rPr>
                <w:rFonts w:eastAsia="Times New Roman" w:cs="Times New Roman"/>
                <w:color w:val="000000"/>
                <w:sz w:val="22"/>
                <w:lang w:eastAsia="ru-RU"/>
              </w:rPr>
              <w:t>Всего</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50</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3</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6,0  </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34</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2,9  </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11</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9,1  </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95</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5</w:t>
            </w:r>
          </w:p>
        </w:tc>
        <w:tc>
          <w:tcPr>
            <w:tcW w:w="0" w:type="auto"/>
            <w:tcBorders>
              <w:top w:val="nil"/>
              <w:left w:val="nil"/>
              <w:bottom w:val="single" w:sz="4" w:space="0" w:color="auto"/>
              <w:right w:val="single" w:sz="4" w:space="0" w:color="auto"/>
            </w:tcBorders>
            <w:shd w:val="clear" w:color="auto" w:fill="auto"/>
            <w:noWrap/>
            <w:vAlign w:val="center"/>
            <w:hideMark/>
          </w:tcPr>
          <w:p w:rsidR="008B2D50" w:rsidRPr="0077064C" w:rsidRDefault="008B2D50" w:rsidP="00BA01CD">
            <w:pPr>
              <w:spacing w:after="0"/>
              <w:jc w:val="center"/>
              <w:rPr>
                <w:rFonts w:eastAsia="Times New Roman" w:cs="Times New Roman"/>
                <w:color w:val="000000"/>
                <w:sz w:val="22"/>
                <w:lang w:eastAsia="ru-RU"/>
              </w:rPr>
            </w:pPr>
            <w:r w:rsidRPr="0077064C">
              <w:rPr>
                <w:rFonts w:eastAsia="Times New Roman" w:cs="Times New Roman"/>
                <w:color w:val="000000"/>
                <w:sz w:val="22"/>
                <w:lang w:eastAsia="ru-RU"/>
              </w:rPr>
              <w:t xml:space="preserve">5,3  </w:t>
            </w:r>
          </w:p>
        </w:tc>
      </w:tr>
    </w:tbl>
    <w:p w:rsidR="00615F1A" w:rsidRPr="007602C2" w:rsidRDefault="00615F1A" w:rsidP="007602C2">
      <w:pPr>
        <w:rPr>
          <w:sz w:val="28"/>
          <w:szCs w:val="28"/>
        </w:rPr>
      </w:pPr>
    </w:p>
    <w:p w:rsidR="007602C2" w:rsidRDefault="007602C2" w:rsidP="009B02A7">
      <w:pPr>
        <w:ind w:firstLine="709"/>
        <w:rPr>
          <w:sz w:val="28"/>
          <w:szCs w:val="28"/>
        </w:rPr>
      </w:pPr>
      <w:r w:rsidRPr="007602C2">
        <w:rPr>
          <w:sz w:val="28"/>
          <w:szCs w:val="28"/>
        </w:rPr>
        <w:t xml:space="preserve">Наибольшее количество исследованных продуктов за три года было в птицеводческой продукции, где выделено больше всего штаммов </w:t>
      </w:r>
      <w:r w:rsidR="007A7888" w:rsidRPr="007A7888">
        <w:rPr>
          <w:i/>
          <w:sz w:val="28"/>
          <w:szCs w:val="28"/>
        </w:rPr>
        <w:t>S. aureus</w:t>
      </w:r>
      <w:r w:rsidRPr="007602C2">
        <w:rPr>
          <w:sz w:val="28"/>
          <w:szCs w:val="28"/>
        </w:rPr>
        <w:t xml:space="preserve"> – 4. </w:t>
      </w:r>
      <w:r w:rsidR="008B2D50" w:rsidRPr="008B2D50">
        <w:rPr>
          <w:sz w:val="28"/>
          <w:szCs w:val="28"/>
        </w:rPr>
        <w:t xml:space="preserve">Других продуктов </w:t>
      </w:r>
      <w:r w:rsidRPr="007602C2">
        <w:rPr>
          <w:sz w:val="28"/>
          <w:szCs w:val="28"/>
        </w:rPr>
        <w:t xml:space="preserve">животного происхождения за 3 года исследовано в количестве 27 образцов, выделен 1 штамм </w:t>
      </w:r>
      <w:r w:rsidR="007A7888" w:rsidRPr="007A7888">
        <w:rPr>
          <w:i/>
          <w:sz w:val="28"/>
          <w:szCs w:val="28"/>
        </w:rPr>
        <w:t>S. aureus</w:t>
      </w:r>
      <w:r w:rsidRPr="007602C2">
        <w:rPr>
          <w:sz w:val="28"/>
          <w:szCs w:val="28"/>
        </w:rPr>
        <w:t xml:space="preserve">. В готовой к употреблению продукции не обнаружено ни одного штамма </w:t>
      </w:r>
      <w:r w:rsidR="007A7888" w:rsidRPr="007A7888">
        <w:rPr>
          <w:i/>
          <w:sz w:val="28"/>
          <w:szCs w:val="28"/>
        </w:rPr>
        <w:t>S. aureus</w:t>
      </w:r>
      <w:r w:rsidRPr="007602C2">
        <w:rPr>
          <w:sz w:val="28"/>
          <w:szCs w:val="28"/>
        </w:rPr>
        <w:t xml:space="preserve">, при этом исследован 31 </w:t>
      </w:r>
      <w:r w:rsidRPr="007602C2">
        <w:rPr>
          <w:sz w:val="28"/>
          <w:szCs w:val="28"/>
        </w:rPr>
        <w:lastRenderedPageBreak/>
        <w:t xml:space="preserve">образец. В общем исследовано 95 единиц продуктов животного происхождения, выделено 5 штаммов </w:t>
      </w:r>
      <w:r w:rsidR="007A7888" w:rsidRPr="007A7888">
        <w:rPr>
          <w:i/>
          <w:sz w:val="28"/>
          <w:szCs w:val="28"/>
        </w:rPr>
        <w:t>S. aureus</w:t>
      </w:r>
      <w:r w:rsidRPr="007602C2">
        <w:rPr>
          <w:sz w:val="28"/>
          <w:szCs w:val="28"/>
        </w:rPr>
        <w:t>.</w:t>
      </w:r>
    </w:p>
    <w:p w:rsidR="009B02A7" w:rsidRPr="00193E25" w:rsidRDefault="009B02A7" w:rsidP="009B02A7">
      <w:pPr>
        <w:ind w:firstLine="709"/>
        <w:rPr>
          <w:sz w:val="28"/>
          <w:szCs w:val="28"/>
        </w:rPr>
      </w:pPr>
      <w:r w:rsidRPr="00193E25">
        <w:rPr>
          <w:sz w:val="28"/>
          <w:szCs w:val="28"/>
        </w:rPr>
        <w:t xml:space="preserve">По результатам проведенных микробиологических исследований выделено и идентифицировано 87 изолятов </w:t>
      </w:r>
      <w:r w:rsidR="007A7888" w:rsidRPr="007A7888">
        <w:rPr>
          <w:i/>
          <w:sz w:val="28"/>
          <w:szCs w:val="28"/>
        </w:rPr>
        <w:t>S. aureus</w:t>
      </w:r>
      <w:r w:rsidRPr="00193E25">
        <w:rPr>
          <w:sz w:val="28"/>
          <w:szCs w:val="28"/>
        </w:rPr>
        <w:t>.</w:t>
      </w:r>
    </w:p>
    <w:p w:rsidR="009B02A7" w:rsidRPr="00193E25" w:rsidRDefault="009B02A7" w:rsidP="009B02A7">
      <w:pPr>
        <w:ind w:firstLine="709"/>
        <w:rPr>
          <w:sz w:val="28"/>
          <w:szCs w:val="28"/>
        </w:rPr>
      </w:pPr>
      <w:r w:rsidRPr="00193E25">
        <w:rPr>
          <w:sz w:val="28"/>
          <w:szCs w:val="28"/>
        </w:rPr>
        <w:t xml:space="preserve">Полученные результаты микробиологических исследований, показывающие присутствие бактерий </w:t>
      </w:r>
      <w:r w:rsidR="007A7888" w:rsidRPr="007A7888">
        <w:rPr>
          <w:i/>
          <w:sz w:val="28"/>
          <w:szCs w:val="28"/>
        </w:rPr>
        <w:t>S. aureus</w:t>
      </w:r>
      <w:r w:rsidRPr="00193E25">
        <w:rPr>
          <w:sz w:val="28"/>
          <w:szCs w:val="28"/>
        </w:rPr>
        <w:t xml:space="preserve"> в пробах молока коров и молочных продуктов на территории Костанайской области, могут играть важную роль для понимания состояния здоровья животных и качества производимой продукции.</w:t>
      </w:r>
    </w:p>
    <w:p w:rsidR="007602C2" w:rsidRDefault="007602C2" w:rsidP="007602C2">
      <w:pPr>
        <w:rPr>
          <w:sz w:val="28"/>
          <w:szCs w:val="28"/>
        </w:rPr>
      </w:pPr>
    </w:p>
    <w:p w:rsidR="007602C2" w:rsidRDefault="005221BC" w:rsidP="009B02A7">
      <w:pPr>
        <w:jc w:val="center"/>
        <w:rPr>
          <w:sz w:val="28"/>
          <w:szCs w:val="28"/>
        </w:rPr>
      </w:pPr>
      <w:r w:rsidRPr="005221BC">
        <w:rPr>
          <w:noProof/>
          <w:sz w:val="28"/>
          <w:szCs w:val="28"/>
          <w:lang w:eastAsia="ru-RU"/>
        </w:rPr>
        <w:drawing>
          <wp:inline distT="0" distB="0" distL="0" distR="0" wp14:anchorId="50442AA4" wp14:editId="6224AC7E">
            <wp:extent cx="3977640" cy="2372167"/>
            <wp:effectExtent l="0" t="0" r="381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4199696" cy="2504596"/>
                    </a:xfrm>
                    <a:prstGeom prst="rect">
                      <a:avLst/>
                    </a:prstGeom>
                  </pic:spPr>
                </pic:pic>
              </a:graphicData>
            </a:graphic>
          </wp:inline>
        </w:drawing>
      </w:r>
    </w:p>
    <w:p w:rsidR="00193E25" w:rsidRPr="00193E25" w:rsidRDefault="00193E25" w:rsidP="009B02A7">
      <w:pPr>
        <w:jc w:val="center"/>
        <w:rPr>
          <w:sz w:val="28"/>
          <w:szCs w:val="28"/>
        </w:rPr>
      </w:pPr>
      <w:r w:rsidRPr="00193E25">
        <w:rPr>
          <w:sz w:val="28"/>
          <w:szCs w:val="28"/>
        </w:rPr>
        <w:t xml:space="preserve">Рисунок 13 – Количество выделенных штаммов </w:t>
      </w:r>
      <w:r w:rsidR="007A7888" w:rsidRPr="007A7888">
        <w:rPr>
          <w:i/>
          <w:sz w:val="28"/>
          <w:szCs w:val="28"/>
        </w:rPr>
        <w:t>S. aureus</w:t>
      </w:r>
      <w:r w:rsidRPr="00193E25">
        <w:rPr>
          <w:sz w:val="28"/>
          <w:szCs w:val="28"/>
        </w:rPr>
        <w:t xml:space="preserve"> из различной продукции животного происхождения за 2021-2023 гг.</w:t>
      </w:r>
    </w:p>
    <w:p w:rsidR="00193E25" w:rsidRPr="00193E25" w:rsidRDefault="00193E25" w:rsidP="00193E25">
      <w:pPr>
        <w:rPr>
          <w:sz w:val="28"/>
          <w:szCs w:val="28"/>
        </w:rPr>
      </w:pPr>
    </w:p>
    <w:p w:rsidR="00193E25" w:rsidRPr="00193E25" w:rsidRDefault="00193E25" w:rsidP="009B02A7">
      <w:pPr>
        <w:ind w:firstLine="709"/>
        <w:rPr>
          <w:sz w:val="28"/>
          <w:szCs w:val="28"/>
        </w:rPr>
      </w:pPr>
      <w:r w:rsidRPr="00193E25">
        <w:rPr>
          <w:sz w:val="28"/>
          <w:szCs w:val="28"/>
        </w:rPr>
        <w:t xml:space="preserve">Характеристика изолятов </w:t>
      </w:r>
      <w:r w:rsidR="007A7888" w:rsidRPr="007A7888">
        <w:rPr>
          <w:i/>
          <w:sz w:val="28"/>
          <w:szCs w:val="28"/>
        </w:rPr>
        <w:t>S. aureus</w:t>
      </w:r>
      <w:r w:rsidRPr="00193E25">
        <w:rPr>
          <w:sz w:val="28"/>
          <w:szCs w:val="28"/>
        </w:rPr>
        <w:t xml:space="preserve"> включала следующие аспекты:</w:t>
      </w:r>
    </w:p>
    <w:p w:rsidR="00193E25" w:rsidRPr="00193E25" w:rsidRDefault="00193E25" w:rsidP="009B02A7">
      <w:pPr>
        <w:ind w:firstLine="709"/>
        <w:rPr>
          <w:sz w:val="28"/>
          <w:szCs w:val="28"/>
        </w:rPr>
      </w:pPr>
      <w:r w:rsidRPr="00193E25">
        <w:rPr>
          <w:sz w:val="28"/>
          <w:szCs w:val="28"/>
        </w:rPr>
        <w:t xml:space="preserve">По морфологическим свойствам, изоляты </w:t>
      </w:r>
      <w:r w:rsidR="007A7888" w:rsidRPr="007A7888">
        <w:rPr>
          <w:i/>
          <w:sz w:val="28"/>
          <w:szCs w:val="28"/>
        </w:rPr>
        <w:t>S. aureus</w:t>
      </w:r>
      <w:r w:rsidRPr="00193E25">
        <w:rPr>
          <w:sz w:val="28"/>
          <w:szCs w:val="28"/>
        </w:rPr>
        <w:t xml:space="preserve"> образуют скопления клеток шаровидной формы, сгруппированные в форме виноградной грозди. Являются грамположительными бактериями – сохраняют кристаллы фуксина-кристаллического в комплексе с кристаллами йодида, что делает их видимыми в фиолетовом цвете после окрашивания. Колонии </w:t>
      </w:r>
      <w:r w:rsidR="007A7888" w:rsidRPr="007A7888">
        <w:rPr>
          <w:i/>
          <w:sz w:val="28"/>
          <w:szCs w:val="28"/>
        </w:rPr>
        <w:t>S. aureus</w:t>
      </w:r>
      <w:r w:rsidRPr="00193E25">
        <w:rPr>
          <w:sz w:val="28"/>
          <w:szCs w:val="28"/>
        </w:rPr>
        <w:t xml:space="preserve"> в процессе роста в селективном солевом бульоне вызывали плотное равномерное помутнение с образованием осадка на дне пробирки. На желточно-солевом агаре </w:t>
      </w:r>
      <w:r w:rsidR="007A7888" w:rsidRPr="007A7888">
        <w:rPr>
          <w:i/>
          <w:sz w:val="28"/>
          <w:szCs w:val="28"/>
        </w:rPr>
        <w:t>S. aureus</w:t>
      </w:r>
      <w:r w:rsidRPr="00193E25">
        <w:rPr>
          <w:sz w:val="28"/>
          <w:szCs w:val="28"/>
        </w:rPr>
        <w:t xml:space="preserve"> характеризовались колониями диаметром от 2 до 4 мм, белого, кремового или золотисто-лимонного цвета, плоской формы, края ровные. Вокруг колоний наблюдалось выраженное радужное кольцо с зоной помутнения, что указывает на наличие лецитиназной активности. На среде Байрд-Паркера </w:t>
      </w:r>
      <w:r w:rsidR="007A7888" w:rsidRPr="007A7888">
        <w:rPr>
          <w:i/>
          <w:sz w:val="28"/>
          <w:szCs w:val="28"/>
        </w:rPr>
        <w:t>S. aureus</w:t>
      </w:r>
      <w:r w:rsidRPr="00193E25">
        <w:rPr>
          <w:sz w:val="28"/>
          <w:szCs w:val="28"/>
        </w:rPr>
        <w:t xml:space="preserve"> представляли собой специфичные для данного микроорганизма признаки – черные, блестящие, выпуклые колонии, диаметром от 1 до 2 мм с наличием зоны просветления вокруг колоний.</w:t>
      </w:r>
    </w:p>
    <w:p w:rsidR="00193E25" w:rsidRPr="00193E25" w:rsidRDefault="00193E25" w:rsidP="009B02A7">
      <w:pPr>
        <w:ind w:firstLine="709"/>
        <w:rPr>
          <w:sz w:val="28"/>
          <w:szCs w:val="28"/>
        </w:rPr>
      </w:pPr>
      <w:r w:rsidRPr="00193E25">
        <w:rPr>
          <w:sz w:val="28"/>
          <w:szCs w:val="28"/>
        </w:rPr>
        <w:t xml:space="preserve">Биохимические свойства. При посеве суточной агаровой культуры </w:t>
      </w:r>
      <w:r w:rsidR="007A7888" w:rsidRPr="007A7888">
        <w:rPr>
          <w:i/>
          <w:sz w:val="28"/>
          <w:szCs w:val="28"/>
        </w:rPr>
        <w:t>S. aureus</w:t>
      </w:r>
      <w:r w:rsidRPr="00193E25">
        <w:rPr>
          <w:sz w:val="28"/>
          <w:szCs w:val="28"/>
        </w:rPr>
        <w:t xml:space="preserve"> в пробирки с кроличьей плазмой, изоляты давали положительный тест на коагулазу: у большинства изолятов </w:t>
      </w:r>
      <w:r w:rsidR="007A7888" w:rsidRPr="007A7888">
        <w:rPr>
          <w:i/>
          <w:sz w:val="28"/>
          <w:szCs w:val="28"/>
        </w:rPr>
        <w:t>S. aureus</w:t>
      </w:r>
      <w:r w:rsidRPr="00193E25">
        <w:rPr>
          <w:sz w:val="28"/>
          <w:szCs w:val="28"/>
        </w:rPr>
        <w:t xml:space="preserve"> наблюдали высокую степень активности фермента коагулазы в виде облака или свертывания кроличьей </w:t>
      </w:r>
      <w:r w:rsidRPr="00193E25">
        <w:rPr>
          <w:sz w:val="28"/>
          <w:szCs w:val="28"/>
        </w:rPr>
        <w:lastRenderedPageBreak/>
        <w:t xml:space="preserve">плазмы в пробирке. В анаэробных условиях, изоляты </w:t>
      </w:r>
      <w:r w:rsidR="007A7888" w:rsidRPr="007A7888">
        <w:rPr>
          <w:i/>
          <w:sz w:val="28"/>
          <w:szCs w:val="28"/>
        </w:rPr>
        <w:t>S. aureus</w:t>
      </w:r>
      <w:r w:rsidRPr="00193E25">
        <w:rPr>
          <w:sz w:val="28"/>
          <w:szCs w:val="28"/>
        </w:rPr>
        <w:t xml:space="preserve"> ферментировали мальтозу и маннит.</w:t>
      </w:r>
    </w:p>
    <w:p w:rsidR="00193E25" w:rsidRPr="00193E25" w:rsidRDefault="00193E25" w:rsidP="009B02A7">
      <w:pPr>
        <w:ind w:firstLine="709"/>
        <w:rPr>
          <w:sz w:val="28"/>
          <w:szCs w:val="28"/>
        </w:rPr>
      </w:pPr>
      <w:r w:rsidRPr="00193E25">
        <w:rPr>
          <w:sz w:val="28"/>
          <w:szCs w:val="28"/>
        </w:rPr>
        <w:t xml:space="preserve">Для изучения вирулентных свойств, проводили посев на кровяной агар. В данном случае, происходило образование характерных зон гемолиза, что говорит о способности </w:t>
      </w:r>
      <w:r w:rsidR="007A7888" w:rsidRPr="007A7888">
        <w:rPr>
          <w:i/>
          <w:sz w:val="28"/>
          <w:szCs w:val="28"/>
        </w:rPr>
        <w:t>S. aureus</w:t>
      </w:r>
      <w:r w:rsidRPr="00193E25">
        <w:rPr>
          <w:sz w:val="28"/>
          <w:szCs w:val="28"/>
        </w:rPr>
        <w:t xml:space="preserve"> разрушать эритроциты в окружающей среде. </w:t>
      </w:r>
      <w:r w:rsidR="007A7888" w:rsidRPr="007A7888">
        <w:rPr>
          <w:i/>
          <w:sz w:val="28"/>
          <w:szCs w:val="28"/>
        </w:rPr>
        <w:t>S. aureus</w:t>
      </w:r>
      <w:r w:rsidRPr="00193E25">
        <w:rPr>
          <w:sz w:val="28"/>
          <w:szCs w:val="28"/>
        </w:rPr>
        <w:t xml:space="preserve"> обладали способностью разрушать лецитин и ДНК. На чашках Петри с агаром, содержащих лецитин, </w:t>
      </w:r>
      <w:r w:rsidR="007A7888" w:rsidRPr="007A7888">
        <w:rPr>
          <w:i/>
          <w:sz w:val="28"/>
          <w:szCs w:val="28"/>
        </w:rPr>
        <w:t>S. aureus</w:t>
      </w:r>
      <w:r w:rsidRPr="00193E25">
        <w:rPr>
          <w:sz w:val="28"/>
          <w:szCs w:val="28"/>
        </w:rPr>
        <w:t xml:space="preserve"> приводил к образованию прозрачных зон вокруг бактериальных колоний. На агаровых средах с добавлением ДНК, </w:t>
      </w:r>
      <w:r w:rsidR="007A7888" w:rsidRPr="007A7888">
        <w:rPr>
          <w:i/>
          <w:sz w:val="28"/>
          <w:szCs w:val="28"/>
        </w:rPr>
        <w:t>S. aureus</w:t>
      </w:r>
      <w:r w:rsidRPr="00193E25">
        <w:rPr>
          <w:sz w:val="28"/>
          <w:szCs w:val="28"/>
        </w:rPr>
        <w:t xml:space="preserve"> вырабатывает ДНК-азу, образуя зону просветления вокруг колоний.</w:t>
      </w:r>
    </w:p>
    <w:p w:rsidR="00193E25" w:rsidRDefault="00193E25" w:rsidP="009B02A7">
      <w:pPr>
        <w:ind w:firstLine="709"/>
        <w:rPr>
          <w:sz w:val="28"/>
          <w:szCs w:val="28"/>
        </w:rPr>
      </w:pPr>
      <w:r w:rsidRPr="00193E25">
        <w:rPr>
          <w:sz w:val="28"/>
          <w:szCs w:val="28"/>
        </w:rPr>
        <w:t>По результатам проведенных исследований, выделено 15</w:t>
      </w:r>
      <w:r w:rsidR="00C54FDC">
        <w:rPr>
          <w:sz w:val="28"/>
          <w:szCs w:val="28"/>
        </w:rPr>
        <w:t>3</w:t>
      </w:r>
      <w:r w:rsidRPr="00193E25">
        <w:rPr>
          <w:sz w:val="28"/>
          <w:szCs w:val="28"/>
        </w:rPr>
        <w:t xml:space="preserve"> штамма различных видов стафилококков из различных молочных продуктов (таблица 3, 4).</w:t>
      </w:r>
    </w:p>
    <w:p w:rsidR="0077064C" w:rsidRPr="00193E25" w:rsidRDefault="0077064C" w:rsidP="009B02A7">
      <w:pPr>
        <w:ind w:firstLine="709"/>
        <w:rPr>
          <w:sz w:val="28"/>
          <w:szCs w:val="28"/>
        </w:rPr>
      </w:pPr>
    </w:p>
    <w:p w:rsidR="00193E25" w:rsidRDefault="00193E25" w:rsidP="0077064C">
      <w:pPr>
        <w:jc w:val="left"/>
        <w:rPr>
          <w:sz w:val="28"/>
          <w:szCs w:val="28"/>
        </w:rPr>
      </w:pPr>
      <w:r w:rsidRPr="00193E25">
        <w:rPr>
          <w:sz w:val="28"/>
          <w:szCs w:val="28"/>
        </w:rPr>
        <w:t>Таблица 3 – Видовое разнообразие и биохимические характеристики стафилококков</w:t>
      </w:r>
    </w:p>
    <w:tbl>
      <w:tblPr>
        <w:tblStyle w:val="a3"/>
        <w:tblW w:w="0" w:type="auto"/>
        <w:tblLayout w:type="fixed"/>
        <w:tblLook w:val="04A0" w:firstRow="1" w:lastRow="0" w:firstColumn="1" w:lastColumn="0" w:noHBand="0" w:noVBand="1"/>
      </w:tblPr>
      <w:tblGrid>
        <w:gridCol w:w="1413"/>
        <w:gridCol w:w="994"/>
        <w:gridCol w:w="1203"/>
        <w:gridCol w:w="1204"/>
        <w:gridCol w:w="1560"/>
        <w:gridCol w:w="1134"/>
        <w:gridCol w:w="916"/>
        <w:gridCol w:w="1204"/>
      </w:tblGrid>
      <w:tr w:rsidR="00193E25" w:rsidRPr="009B02A7" w:rsidTr="00193E25">
        <w:tc>
          <w:tcPr>
            <w:tcW w:w="1413" w:type="dxa"/>
          </w:tcPr>
          <w:p w:rsidR="00193E25" w:rsidRPr="009B02A7" w:rsidRDefault="00193E25" w:rsidP="00193E25">
            <w:pPr>
              <w:jc w:val="center"/>
              <w:rPr>
                <w:rFonts w:cs="Times New Roman"/>
                <w:sz w:val="22"/>
              </w:rPr>
            </w:pPr>
            <w:r w:rsidRPr="009B02A7">
              <w:rPr>
                <w:rFonts w:cs="Times New Roman"/>
                <w:sz w:val="22"/>
              </w:rPr>
              <w:t>Вид</w:t>
            </w:r>
          </w:p>
        </w:tc>
        <w:tc>
          <w:tcPr>
            <w:tcW w:w="994" w:type="dxa"/>
          </w:tcPr>
          <w:p w:rsidR="00193E25" w:rsidRPr="009B02A7" w:rsidRDefault="00193E25" w:rsidP="00193E25">
            <w:pPr>
              <w:jc w:val="center"/>
              <w:rPr>
                <w:rFonts w:cs="Times New Roman"/>
                <w:sz w:val="22"/>
              </w:rPr>
            </w:pPr>
            <w:r w:rsidRPr="009B02A7">
              <w:rPr>
                <w:rFonts w:cs="Times New Roman"/>
                <w:sz w:val="22"/>
              </w:rPr>
              <w:t>Коагулаза (+)</w:t>
            </w:r>
          </w:p>
        </w:tc>
        <w:tc>
          <w:tcPr>
            <w:tcW w:w="1203" w:type="dxa"/>
          </w:tcPr>
          <w:p w:rsidR="00193E25" w:rsidRPr="009B02A7" w:rsidRDefault="00193E25" w:rsidP="00193E25">
            <w:pPr>
              <w:jc w:val="center"/>
              <w:rPr>
                <w:rFonts w:cs="Times New Roman"/>
                <w:sz w:val="22"/>
              </w:rPr>
            </w:pPr>
            <w:r w:rsidRPr="009B02A7">
              <w:rPr>
                <w:rFonts w:cs="Times New Roman"/>
                <w:sz w:val="22"/>
              </w:rPr>
              <w:t>ДНКаза (+)</w:t>
            </w:r>
          </w:p>
        </w:tc>
        <w:tc>
          <w:tcPr>
            <w:tcW w:w="1204" w:type="dxa"/>
          </w:tcPr>
          <w:p w:rsidR="00193E25" w:rsidRPr="009B02A7" w:rsidRDefault="00193E25" w:rsidP="00193E25">
            <w:pPr>
              <w:jc w:val="center"/>
              <w:rPr>
                <w:rFonts w:cs="Times New Roman"/>
                <w:sz w:val="22"/>
              </w:rPr>
            </w:pPr>
            <w:r w:rsidRPr="009B02A7">
              <w:rPr>
                <w:rFonts w:cs="Times New Roman"/>
                <w:sz w:val="22"/>
              </w:rPr>
              <w:t>Ферментация маннита (+)</w:t>
            </w:r>
          </w:p>
        </w:tc>
        <w:tc>
          <w:tcPr>
            <w:tcW w:w="1560" w:type="dxa"/>
          </w:tcPr>
          <w:p w:rsidR="00193E25" w:rsidRPr="009B02A7" w:rsidRDefault="00193E25" w:rsidP="00193E25">
            <w:pPr>
              <w:jc w:val="center"/>
              <w:rPr>
                <w:rFonts w:cs="Times New Roman"/>
                <w:sz w:val="22"/>
              </w:rPr>
            </w:pPr>
            <w:r w:rsidRPr="009B02A7">
              <w:rPr>
                <w:rFonts w:cs="Times New Roman"/>
                <w:sz w:val="22"/>
              </w:rPr>
              <w:t>Гемолиз (β/γ/-)</w:t>
            </w:r>
          </w:p>
        </w:tc>
        <w:tc>
          <w:tcPr>
            <w:tcW w:w="1134" w:type="dxa"/>
          </w:tcPr>
          <w:p w:rsidR="00193E25" w:rsidRPr="009B02A7" w:rsidRDefault="00193E25" w:rsidP="00193E25">
            <w:pPr>
              <w:jc w:val="center"/>
              <w:rPr>
                <w:rFonts w:cs="Times New Roman"/>
                <w:sz w:val="22"/>
              </w:rPr>
            </w:pPr>
            <w:r w:rsidRPr="009B02A7">
              <w:rPr>
                <w:rFonts w:cs="Times New Roman"/>
                <w:sz w:val="22"/>
              </w:rPr>
              <w:t>Лецитиназа (+)</w:t>
            </w:r>
          </w:p>
        </w:tc>
        <w:tc>
          <w:tcPr>
            <w:tcW w:w="916" w:type="dxa"/>
          </w:tcPr>
          <w:p w:rsidR="00193E25" w:rsidRPr="009B02A7" w:rsidRDefault="00193E25" w:rsidP="00193E25">
            <w:pPr>
              <w:jc w:val="center"/>
              <w:rPr>
                <w:rFonts w:cs="Times New Roman"/>
                <w:sz w:val="22"/>
              </w:rPr>
            </w:pPr>
            <w:r w:rsidRPr="009B02A7">
              <w:rPr>
                <w:rFonts w:cs="Times New Roman"/>
                <w:sz w:val="22"/>
              </w:rPr>
              <w:t>Оксидаза (+)</w:t>
            </w:r>
          </w:p>
        </w:tc>
        <w:tc>
          <w:tcPr>
            <w:tcW w:w="1204" w:type="dxa"/>
          </w:tcPr>
          <w:p w:rsidR="00193E25" w:rsidRPr="009B02A7" w:rsidRDefault="00193E25" w:rsidP="00193E25">
            <w:pPr>
              <w:jc w:val="center"/>
              <w:rPr>
                <w:rFonts w:cs="Times New Roman"/>
                <w:sz w:val="22"/>
              </w:rPr>
            </w:pPr>
            <w:r w:rsidRPr="009B02A7">
              <w:rPr>
                <w:rFonts w:cs="Times New Roman"/>
                <w:sz w:val="22"/>
              </w:rPr>
              <w:t>Уреаза (+)</w:t>
            </w:r>
          </w:p>
        </w:tc>
      </w:tr>
      <w:tr w:rsidR="00193E25" w:rsidRPr="009B02A7" w:rsidTr="00193E25">
        <w:tc>
          <w:tcPr>
            <w:tcW w:w="1413" w:type="dxa"/>
          </w:tcPr>
          <w:p w:rsidR="00193E25" w:rsidRPr="009B02A7" w:rsidRDefault="007A7888" w:rsidP="00193E25">
            <w:pPr>
              <w:jc w:val="left"/>
              <w:rPr>
                <w:rFonts w:cs="Times New Roman"/>
                <w:sz w:val="22"/>
              </w:rPr>
            </w:pPr>
            <w:r w:rsidRPr="007A7888">
              <w:rPr>
                <w:rFonts w:cs="Times New Roman"/>
                <w:i/>
                <w:sz w:val="22"/>
              </w:rPr>
              <w:t>S. aureus</w:t>
            </w:r>
            <w:r w:rsidR="00193E25" w:rsidRPr="009B02A7">
              <w:rPr>
                <w:rFonts w:cs="Times New Roman"/>
                <w:sz w:val="22"/>
              </w:rPr>
              <w:t xml:space="preserve"> (n=87)</w:t>
            </w:r>
          </w:p>
        </w:tc>
        <w:tc>
          <w:tcPr>
            <w:tcW w:w="994" w:type="dxa"/>
          </w:tcPr>
          <w:p w:rsidR="00193E25" w:rsidRPr="009B02A7" w:rsidRDefault="00193E25" w:rsidP="00193E25">
            <w:pPr>
              <w:jc w:val="center"/>
              <w:rPr>
                <w:rFonts w:cs="Times New Roman"/>
                <w:sz w:val="22"/>
              </w:rPr>
            </w:pPr>
            <w:r w:rsidRPr="009B02A7">
              <w:rPr>
                <w:rFonts w:cs="Times New Roman"/>
                <w:sz w:val="22"/>
              </w:rPr>
              <w:t>87 (100%)</w:t>
            </w:r>
          </w:p>
        </w:tc>
        <w:tc>
          <w:tcPr>
            <w:tcW w:w="1203" w:type="dxa"/>
          </w:tcPr>
          <w:p w:rsidR="00193E25" w:rsidRPr="009B02A7" w:rsidRDefault="00193E25" w:rsidP="00193E25">
            <w:pPr>
              <w:jc w:val="center"/>
              <w:rPr>
                <w:rFonts w:cs="Times New Roman"/>
                <w:sz w:val="22"/>
              </w:rPr>
            </w:pPr>
            <w:r w:rsidRPr="009B02A7">
              <w:rPr>
                <w:rFonts w:cs="Times New Roman"/>
                <w:sz w:val="22"/>
              </w:rPr>
              <w:t>82 (94.2%)</w:t>
            </w:r>
          </w:p>
        </w:tc>
        <w:tc>
          <w:tcPr>
            <w:tcW w:w="1204" w:type="dxa"/>
          </w:tcPr>
          <w:p w:rsidR="00193E25" w:rsidRPr="009B02A7" w:rsidRDefault="00193E25" w:rsidP="00193E25">
            <w:pPr>
              <w:jc w:val="center"/>
              <w:rPr>
                <w:rFonts w:cs="Times New Roman"/>
                <w:sz w:val="22"/>
              </w:rPr>
            </w:pPr>
            <w:r w:rsidRPr="009B02A7">
              <w:rPr>
                <w:rFonts w:cs="Times New Roman"/>
                <w:sz w:val="22"/>
              </w:rPr>
              <w:t>85 (97.7%)</w:t>
            </w:r>
          </w:p>
        </w:tc>
        <w:tc>
          <w:tcPr>
            <w:tcW w:w="1560" w:type="dxa"/>
          </w:tcPr>
          <w:p w:rsidR="00193E25" w:rsidRPr="009B02A7" w:rsidRDefault="00193E25" w:rsidP="00193E25">
            <w:pPr>
              <w:jc w:val="center"/>
              <w:rPr>
                <w:rFonts w:cs="Times New Roman"/>
                <w:sz w:val="22"/>
              </w:rPr>
            </w:pPr>
            <w:r w:rsidRPr="009B02A7">
              <w:rPr>
                <w:rFonts w:cs="Times New Roman"/>
                <w:sz w:val="22"/>
              </w:rPr>
              <w:t>β: 87 (100%)</w:t>
            </w:r>
          </w:p>
        </w:tc>
        <w:tc>
          <w:tcPr>
            <w:tcW w:w="1134" w:type="dxa"/>
          </w:tcPr>
          <w:p w:rsidR="00193E25" w:rsidRPr="009B02A7" w:rsidRDefault="00193E25" w:rsidP="00193E25">
            <w:pPr>
              <w:jc w:val="center"/>
              <w:rPr>
                <w:rFonts w:cs="Times New Roman"/>
                <w:sz w:val="22"/>
              </w:rPr>
            </w:pPr>
            <w:r w:rsidRPr="009B02A7">
              <w:rPr>
                <w:rFonts w:cs="Times New Roman"/>
                <w:sz w:val="22"/>
              </w:rPr>
              <w:t>87 (100%)</w:t>
            </w:r>
          </w:p>
        </w:tc>
        <w:tc>
          <w:tcPr>
            <w:tcW w:w="916"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87 (100%)</w:t>
            </w:r>
          </w:p>
        </w:tc>
      </w:tr>
      <w:tr w:rsidR="00193E25" w:rsidRPr="009B02A7" w:rsidTr="00193E25">
        <w:tc>
          <w:tcPr>
            <w:tcW w:w="1413" w:type="dxa"/>
          </w:tcPr>
          <w:p w:rsidR="00193E25" w:rsidRPr="009B02A7" w:rsidRDefault="009B02A7" w:rsidP="00193E25">
            <w:pPr>
              <w:jc w:val="left"/>
              <w:rPr>
                <w:rFonts w:cs="Times New Roman"/>
                <w:sz w:val="22"/>
              </w:rPr>
            </w:pPr>
            <w:r w:rsidRPr="009B02A7">
              <w:rPr>
                <w:rFonts w:cs="Times New Roman"/>
                <w:i/>
                <w:sz w:val="22"/>
              </w:rPr>
              <w:t>S. intermedius</w:t>
            </w:r>
            <w:r w:rsidR="00193E25" w:rsidRPr="009B02A7">
              <w:rPr>
                <w:rFonts w:cs="Times New Roman"/>
                <w:sz w:val="22"/>
              </w:rPr>
              <w:t xml:space="preserve"> (n=14)</w:t>
            </w:r>
          </w:p>
        </w:tc>
        <w:tc>
          <w:tcPr>
            <w:tcW w:w="994" w:type="dxa"/>
          </w:tcPr>
          <w:p w:rsidR="00193E25" w:rsidRPr="009B02A7" w:rsidRDefault="00193E25" w:rsidP="00193E25">
            <w:pPr>
              <w:jc w:val="center"/>
              <w:rPr>
                <w:rFonts w:cs="Times New Roman"/>
                <w:sz w:val="22"/>
              </w:rPr>
            </w:pPr>
            <w:r w:rsidRPr="009B02A7">
              <w:rPr>
                <w:rFonts w:cs="Times New Roman"/>
                <w:sz w:val="22"/>
              </w:rPr>
              <w:t>14 (100%)</w:t>
            </w:r>
          </w:p>
        </w:tc>
        <w:tc>
          <w:tcPr>
            <w:tcW w:w="1203" w:type="dxa"/>
          </w:tcPr>
          <w:p w:rsidR="00193E25" w:rsidRPr="009B02A7" w:rsidRDefault="00193E25" w:rsidP="00193E25">
            <w:pPr>
              <w:jc w:val="center"/>
              <w:rPr>
                <w:rFonts w:cs="Times New Roman"/>
                <w:sz w:val="22"/>
              </w:rPr>
            </w:pPr>
            <w:r w:rsidRPr="009B02A7">
              <w:rPr>
                <w:rFonts w:cs="Times New Roman"/>
                <w:sz w:val="22"/>
              </w:rPr>
              <w:t>12 (85.7%)</w:t>
            </w:r>
          </w:p>
        </w:tc>
        <w:tc>
          <w:tcPr>
            <w:tcW w:w="1204" w:type="dxa"/>
          </w:tcPr>
          <w:p w:rsidR="00193E25" w:rsidRPr="009B02A7" w:rsidRDefault="00193E25" w:rsidP="00193E25">
            <w:pPr>
              <w:jc w:val="center"/>
              <w:rPr>
                <w:rFonts w:cs="Times New Roman"/>
                <w:sz w:val="22"/>
              </w:rPr>
            </w:pPr>
            <w:r w:rsidRPr="009B02A7">
              <w:rPr>
                <w:rFonts w:cs="Times New Roman"/>
                <w:sz w:val="22"/>
              </w:rPr>
              <w:t>14 (100%)</w:t>
            </w:r>
          </w:p>
        </w:tc>
        <w:tc>
          <w:tcPr>
            <w:tcW w:w="1560" w:type="dxa"/>
          </w:tcPr>
          <w:p w:rsidR="00193E25" w:rsidRPr="009B02A7" w:rsidRDefault="00193E25" w:rsidP="00193E25">
            <w:pPr>
              <w:jc w:val="center"/>
              <w:rPr>
                <w:rFonts w:cs="Times New Roman"/>
                <w:sz w:val="22"/>
              </w:rPr>
            </w:pPr>
            <w:r w:rsidRPr="009B02A7">
              <w:rPr>
                <w:rFonts w:cs="Times New Roman"/>
                <w:sz w:val="22"/>
              </w:rPr>
              <w:t>β: 10 (71.4%), γ: 4 (28.6%)</w:t>
            </w:r>
          </w:p>
        </w:tc>
        <w:tc>
          <w:tcPr>
            <w:tcW w:w="1134" w:type="dxa"/>
          </w:tcPr>
          <w:p w:rsidR="00193E25" w:rsidRPr="009B02A7" w:rsidRDefault="00193E25" w:rsidP="00193E25">
            <w:pPr>
              <w:jc w:val="center"/>
              <w:rPr>
                <w:rFonts w:cs="Times New Roman"/>
                <w:sz w:val="22"/>
              </w:rPr>
            </w:pPr>
            <w:r w:rsidRPr="009B02A7">
              <w:rPr>
                <w:rFonts w:cs="Times New Roman"/>
                <w:sz w:val="22"/>
              </w:rPr>
              <w:t>14 (100%)</w:t>
            </w:r>
          </w:p>
        </w:tc>
        <w:tc>
          <w:tcPr>
            <w:tcW w:w="916"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14 (100%)</w:t>
            </w:r>
          </w:p>
        </w:tc>
      </w:tr>
      <w:tr w:rsidR="00193E25" w:rsidRPr="009B02A7" w:rsidTr="00193E25">
        <w:tc>
          <w:tcPr>
            <w:tcW w:w="1413" w:type="dxa"/>
          </w:tcPr>
          <w:p w:rsidR="00193E25" w:rsidRPr="009B02A7" w:rsidRDefault="009B02A7" w:rsidP="00193E25">
            <w:pPr>
              <w:jc w:val="left"/>
              <w:rPr>
                <w:rFonts w:cs="Times New Roman"/>
                <w:sz w:val="22"/>
              </w:rPr>
            </w:pPr>
            <w:r w:rsidRPr="009B02A7">
              <w:rPr>
                <w:rFonts w:cs="Times New Roman"/>
                <w:i/>
                <w:sz w:val="22"/>
              </w:rPr>
              <w:t>S. xylosus</w:t>
            </w:r>
            <w:r w:rsidR="00193E25" w:rsidRPr="009B02A7">
              <w:rPr>
                <w:rFonts w:cs="Times New Roman"/>
                <w:sz w:val="22"/>
              </w:rPr>
              <w:t xml:space="preserve"> (n=17)</w:t>
            </w:r>
          </w:p>
        </w:tc>
        <w:tc>
          <w:tcPr>
            <w:tcW w:w="994" w:type="dxa"/>
          </w:tcPr>
          <w:p w:rsidR="00193E25" w:rsidRPr="009B02A7" w:rsidRDefault="00193E25" w:rsidP="00193E25">
            <w:pPr>
              <w:jc w:val="center"/>
              <w:rPr>
                <w:rFonts w:cs="Times New Roman"/>
                <w:sz w:val="22"/>
              </w:rPr>
            </w:pPr>
            <w:r w:rsidRPr="009B02A7">
              <w:rPr>
                <w:rFonts w:cs="Times New Roman"/>
                <w:sz w:val="22"/>
              </w:rPr>
              <w:t>0 (0%)</w:t>
            </w:r>
          </w:p>
        </w:tc>
        <w:tc>
          <w:tcPr>
            <w:tcW w:w="1203"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0 (0%)</w:t>
            </w:r>
          </w:p>
        </w:tc>
        <w:tc>
          <w:tcPr>
            <w:tcW w:w="1560" w:type="dxa"/>
          </w:tcPr>
          <w:p w:rsidR="00193E25" w:rsidRPr="009B02A7" w:rsidRDefault="00193E25" w:rsidP="00193E25">
            <w:pPr>
              <w:jc w:val="center"/>
              <w:rPr>
                <w:rFonts w:cs="Times New Roman"/>
                <w:sz w:val="22"/>
              </w:rPr>
            </w:pPr>
            <w:r w:rsidRPr="009B02A7">
              <w:rPr>
                <w:rFonts w:cs="Times New Roman"/>
                <w:sz w:val="22"/>
              </w:rPr>
              <w:t>γ: 17 (100%)</w:t>
            </w:r>
          </w:p>
        </w:tc>
        <w:tc>
          <w:tcPr>
            <w:tcW w:w="1134" w:type="dxa"/>
          </w:tcPr>
          <w:p w:rsidR="00193E25" w:rsidRPr="009B02A7" w:rsidRDefault="00193E25" w:rsidP="00193E25">
            <w:pPr>
              <w:jc w:val="center"/>
              <w:rPr>
                <w:rFonts w:cs="Times New Roman"/>
                <w:sz w:val="22"/>
              </w:rPr>
            </w:pPr>
            <w:r w:rsidRPr="009B02A7">
              <w:rPr>
                <w:rFonts w:cs="Times New Roman"/>
                <w:sz w:val="22"/>
              </w:rPr>
              <w:t>0 (0%)</w:t>
            </w:r>
          </w:p>
        </w:tc>
        <w:tc>
          <w:tcPr>
            <w:tcW w:w="916"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17 (100%)</w:t>
            </w:r>
          </w:p>
        </w:tc>
      </w:tr>
      <w:tr w:rsidR="00193E25" w:rsidRPr="009B02A7" w:rsidTr="00193E25">
        <w:tc>
          <w:tcPr>
            <w:tcW w:w="1413" w:type="dxa"/>
          </w:tcPr>
          <w:p w:rsidR="00193E25" w:rsidRPr="009B02A7" w:rsidRDefault="00193E25" w:rsidP="00193E25">
            <w:pPr>
              <w:jc w:val="left"/>
              <w:rPr>
                <w:rFonts w:cs="Times New Roman"/>
                <w:sz w:val="22"/>
              </w:rPr>
            </w:pPr>
            <w:r w:rsidRPr="009B02A7">
              <w:rPr>
                <w:rFonts w:cs="Times New Roman"/>
                <w:sz w:val="22"/>
              </w:rPr>
              <w:t>S. cohnii (n=15)</w:t>
            </w:r>
          </w:p>
        </w:tc>
        <w:tc>
          <w:tcPr>
            <w:tcW w:w="994" w:type="dxa"/>
          </w:tcPr>
          <w:p w:rsidR="00193E25" w:rsidRPr="009B02A7" w:rsidRDefault="00193E25" w:rsidP="00193E25">
            <w:pPr>
              <w:jc w:val="center"/>
              <w:rPr>
                <w:rFonts w:cs="Times New Roman"/>
                <w:sz w:val="22"/>
              </w:rPr>
            </w:pPr>
            <w:r w:rsidRPr="009B02A7">
              <w:rPr>
                <w:rFonts w:cs="Times New Roman"/>
                <w:sz w:val="22"/>
              </w:rPr>
              <w:t>0 (0%)</w:t>
            </w:r>
          </w:p>
        </w:tc>
        <w:tc>
          <w:tcPr>
            <w:tcW w:w="1203"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0 (0%)</w:t>
            </w:r>
          </w:p>
        </w:tc>
        <w:tc>
          <w:tcPr>
            <w:tcW w:w="1560" w:type="dxa"/>
          </w:tcPr>
          <w:p w:rsidR="00193E25" w:rsidRPr="009B02A7" w:rsidRDefault="00193E25" w:rsidP="00193E25">
            <w:pPr>
              <w:jc w:val="center"/>
              <w:rPr>
                <w:rFonts w:cs="Times New Roman"/>
                <w:sz w:val="22"/>
              </w:rPr>
            </w:pPr>
            <w:r w:rsidRPr="009B02A7">
              <w:rPr>
                <w:rFonts w:cs="Times New Roman"/>
                <w:sz w:val="22"/>
              </w:rPr>
              <w:t>γ: 15 (100%)</w:t>
            </w:r>
          </w:p>
        </w:tc>
        <w:tc>
          <w:tcPr>
            <w:tcW w:w="1134" w:type="dxa"/>
          </w:tcPr>
          <w:p w:rsidR="00193E25" w:rsidRPr="009B02A7" w:rsidRDefault="00193E25" w:rsidP="00193E25">
            <w:pPr>
              <w:jc w:val="center"/>
              <w:rPr>
                <w:rFonts w:cs="Times New Roman"/>
                <w:sz w:val="22"/>
              </w:rPr>
            </w:pPr>
            <w:r w:rsidRPr="009B02A7">
              <w:rPr>
                <w:rFonts w:cs="Times New Roman"/>
                <w:sz w:val="22"/>
              </w:rPr>
              <w:t>0 (0%)</w:t>
            </w:r>
          </w:p>
        </w:tc>
        <w:tc>
          <w:tcPr>
            <w:tcW w:w="916"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15 (100%)</w:t>
            </w:r>
          </w:p>
        </w:tc>
      </w:tr>
      <w:tr w:rsidR="00193E25" w:rsidRPr="009B02A7" w:rsidTr="00193E25">
        <w:tc>
          <w:tcPr>
            <w:tcW w:w="1413" w:type="dxa"/>
          </w:tcPr>
          <w:p w:rsidR="00193E25" w:rsidRPr="009B02A7" w:rsidRDefault="009B02A7" w:rsidP="00193E25">
            <w:pPr>
              <w:jc w:val="left"/>
              <w:rPr>
                <w:rFonts w:cs="Times New Roman"/>
                <w:sz w:val="22"/>
              </w:rPr>
            </w:pPr>
            <w:r w:rsidRPr="009B02A7">
              <w:rPr>
                <w:rFonts w:cs="Times New Roman"/>
                <w:i/>
                <w:sz w:val="22"/>
              </w:rPr>
              <w:t>S. saprophyticus</w:t>
            </w:r>
            <w:r w:rsidR="00193E25" w:rsidRPr="009B02A7">
              <w:rPr>
                <w:rFonts w:cs="Times New Roman"/>
                <w:sz w:val="22"/>
              </w:rPr>
              <w:t xml:space="preserve"> (n=9)</w:t>
            </w:r>
          </w:p>
        </w:tc>
        <w:tc>
          <w:tcPr>
            <w:tcW w:w="994" w:type="dxa"/>
          </w:tcPr>
          <w:p w:rsidR="00193E25" w:rsidRPr="009B02A7" w:rsidRDefault="00193E25" w:rsidP="00193E25">
            <w:pPr>
              <w:jc w:val="center"/>
              <w:rPr>
                <w:rFonts w:cs="Times New Roman"/>
                <w:sz w:val="22"/>
              </w:rPr>
            </w:pPr>
            <w:r w:rsidRPr="009B02A7">
              <w:rPr>
                <w:rFonts w:cs="Times New Roman"/>
                <w:sz w:val="22"/>
              </w:rPr>
              <w:t>0 (0%)</w:t>
            </w:r>
          </w:p>
        </w:tc>
        <w:tc>
          <w:tcPr>
            <w:tcW w:w="1203"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3 (33.3%)</w:t>
            </w:r>
          </w:p>
        </w:tc>
        <w:tc>
          <w:tcPr>
            <w:tcW w:w="1560" w:type="dxa"/>
          </w:tcPr>
          <w:p w:rsidR="00193E25" w:rsidRPr="009B02A7" w:rsidRDefault="00193E25" w:rsidP="00193E25">
            <w:pPr>
              <w:jc w:val="center"/>
              <w:rPr>
                <w:rFonts w:cs="Times New Roman"/>
                <w:sz w:val="22"/>
              </w:rPr>
            </w:pPr>
            <w:r w:rsidRPr="009B02A7">
              <w:rPr>
                <w:rFonts w:cs="Times New Roman"/>
                <w:sz w:val="22"/>
              </w:rPr>
              <w:t>γ: 9 (100%)</w:t>
            </w:r>
          </w:p>
        </w:tc>
        <w:tc>
          <w:tcPr>
            <w:tcW w:w="1134" w:type="dxa"/>
          </w:tcPr>
          <w:p w:rsidR="00193E25" w:rsidRPr="009B02A7" w:rsidRDefault="00193E25" w:rsidP="00193E25">
            <w:pPr>
              <w:jc w:val="center"/>
              <w:rPr>
                <w:rFonts w:cs="Times New Roman"/>
                <w:sz w:val="22"/>
              </w:rPr>
            </w:pPr>
            <w:r w:rsidRPr="009B02A7">
              <w:rPr>
                <w:rFonts w:cs="Times New Roman"/>
                <w:sz w:val="22"/>
              </w:rPr>
              <w:t>0 (0%)</w:t>
            </w:r>
          </w:p>
        </w:tc>
        <w:tc>
          <w:tcPr>
            <w:tcW w:w="916"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9 (100%)</w:t>
            </w:r>
          </w:p>
        </w:tc>
      </w:tr>
      <w:tr w:rsidR="00193E25" w:rsidRPr="009B02A7" w:rsidTr="00193E25">
        <w:tc>
          <w:tcPr>
            <w:tcW w:w="1413" w:type="dxa"/>
          </w:tcPr>
          <w:p w:rsidR="00193E25" w:rsidRPr="009B02A7" w:rsidRDefault="009B02A7" w:rsidP="00193E25">
            <w:pPr>
              <w:jc w:val="left"/>
              <w:rPr>
                <w:rFonts w:cs="Times New Roman"/>
                <w:sz w:val="22"/>
              </w:rPr>
            </w:pPr>
            <w:r w:rsidRPr="009B02A7">
              <w:rPr>
                <w:rFonts w:cs="Times New Roman"/>
                <w:i/>
                <w:sz w:val="22"/>
              </w:rPr>
              <w:t>S. simulans</w:t>
            </w:r>
            <w:r w:rsidR="00193E25" w:rsidRPr="009B02A7">
              <w:rPr>
                <w:rFonts w:cs="Times New Roman"/>
                <w:sz w:val="22"/>
              </w:rPr>
              <w:t xml:space="preserve"> (n=4)</w:t>
            </w:r>
          </w:p>
        </w:tc>
        <w:tc>
          <w:tcPr>
            <w:tcW w:w="994" w:type="dxa"/>
          </w:tcPr>
          <w:p w:rsidR="00193E25" w:rsidRPr="009B02A7" w:rsidRDefault="00193E25" w:rsidP="00193E25">
            <w:pPr>
              <w:jc w:val="center"/>
              <w:rPr>
                <w:rFonts w:cs="Times New Roman"/>
                <w:sz w:val="22"/>
              </w:rPr>
            </w:pPr>
            <w:r w:rsidRPr="009B02A7">
              <w:rPr>
                <w:rFonts w:cs="Times New Roman"/>
                <w:sz w:val="22"/>
              </w:rPr>
              <w:t>0 (0%)</w:t>
            </w:r>
          </w:p>
        </w:tc>
        <w:tc>
          <w:tcPr>
            <w:tcW w:w="1203"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0 (0%)</w:t>
            </w:r>
          </w:p>
        </w:tc>
        <w:tc>
          <w:tcPr>
            <w:tcW w:w="1560" w:type="dxa"/>
          </w:tcPr>
          <w:p w:rsidR="00193E25" w:rsidRPr="009B02A7" w:rsidRDefault="00193E25" w:rsidP="00193E25">
            <w:pPr>
              <w:jc w:val="center"/>
              <w:rPr>
                <w:rFonts w:cs="Times New Roman"/>
                <w:sz w:val="22"/>
              </w:rPr>
            </w:pPr>
            <w:r w:rsidRPr="009B02A7">
              <w:rPr>
                <w:rFonts w:cs="Times New Roman"/>
                <w:sz w:val="22"/>
              </w:rPr>
              <w:t>γ: 4 (100%)</w:t>
            </w:r>
          </w:p>
        </w:tc>
        <w:tc>
          <w:tcPr>
            <w:tcW w:w="1134" w:type="dxa"/>
          </w:tcPr>
          <w:p w:rsidR="00193E25" w:rsidRPr="009B02A7" w:rsidRDefault="00193E25" w:rsidP="00193E25">
            <w:pPr>
              <w:jc w:val="center"/>
              <w:rPr>
                <w:rFonts w:cs="Times New Roman"/>
                <w:sz w:val="22"/>
              </w:rPr>
            </w:pPr>
            <w:r w:rsidRPr="009B02A7">
              <w:rPr>
                <w:rFonts w:cs="Times New Roman"/>
                <w:sz w:val="22"/>
              </w:rPr>
              <w:t>0 (0%)</w:t>
            </w:r>
          </w:p>
        </w:tc>
        <w:tc>
          <w:tcPr>
            <w:tcW w:w="916"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4 (100%)</w:t>
            </w:r>
          </w:p>
        </w:tc>
      </w:tr>
      <w:tr w:rsidR="00193E25" w:rsidRPr="009B02A7" w:rsidTr="00193E25">
        <w:tc>
          <w:tcPr>
            <w:tcW w:w="1413" w:type="dxa"/>
          </w:tcPr>
          <w:p w:rsidR="00193E25" w:rsidRPr="009B02A7" w:rsidRDefault="009B02A7" w:rsidP="00193E25">
            <w:pPr>
              <w:jc w:val="left"/>
              <w:rPr>
                <w:rFonts w:cs="Times New Roman"/>
                <w:sz w:val="22"/>
              </w:rPr>
            </w:pPr>
            <w:r w:rsidRPr="009B02A7">
              <w:rPr>
                <w:rFonts w:cs="Times New Roman"/>
                <w:i/>
                <w:sz w:val="22"/>
              </w:rPr>
              <w:t>S. sciuri</w:t>
            </w:r>
            <w:r w:rsidR="00193E25" w:rsidRPr="009B02A7">
              <w:rPr>
                <w:rFonts w:cs="Times New Roman"/>
                <w:sz w:val="22"/>
              </w:rPr>
              <w:t xml:space="preserve"> (n=3)</w:t>
            </w:r>
          </w:p>
        </w:tc>
        <w:tc>
          <w:tcPr>
            <w:tcW w:w="994" w:type="dxa"/>
          </w:tcPr>
          <w:p w:rsidR="00193E25" w:rsidRPr="009B02A7" w:rsidRDefault="00193E25" w:rsidP="00193E25">
            <w:pPr>
              <w:jc w:val="center"/>
              <w:rPr>
                <w:rFonts w:cs="Times New Roman"/>
                <w:sz w:val="22"/>
              </w:rPr>
            </w:pPr>
            <w:r w:rsidRPr="009B02A7">
              <w:rPr>
                <w:rFonts w:cs="Times New Roman"/>
                <w:sz w:val="22"/>
              </w:rPr>
              <w:t>0 (0%)</w:t>
            </w:r>
          </w:p>
        </w:tc>
        <w:tc>
          <w:tcPr>
            <w:tcW w:w="1203"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0 (0%)</w:t>
            </w:r>
          </w:p>
        </w:tc>
        <w:tc>
          <w:tcPr>
            <w:tcW w:w="1560" w:type="dxa"/>
          </w:tcPr>
          <w:p w:rsidR="00193E25" w:rsidRPr="009B02A7" w:rsidRDefault="00193E25" w:rsidP="00193E25">
            <w:pPr>
              <w:jc w:val="center"/>
              <w:rPr>
                <w:rFonts w:cs="Times New Roman"/>
                <w:sz w:val="22"/>
              </w:rPr>
            </w:pPr>
            <w:r w:rsidRPr="009B02A7">
              <w:rPr>
                <w:rFonts w:cs="Times New Roman"/>
                <w:sz w:val="22"/>
              </w:rPr>
              <w:t>γ: 3 (100%)</w:t>
            </w:r>
          </w:p>
        </w:tc>
        <w:tc>
          <w:tcPr>
            <w:tcW w:w="1134" w:type="dxa"/>
          </w:tcPr>
          <w:p w:rsidR="00193E25" w:rsidRPr="009B02A7" w:rsidRDefault="00193E25" w:rsidP="00193E25">
            <w:pPr>
              <w:jc w:val="center"/>
              <w:rPr>
                <w:rFonts w:cs="Times New Roman"/>
                <w:sz w:val="22"/>
              </w:rPr>
            </w:pPr>
            <w:r w:rsidRPr="009B02A7">
              <w:rPr>
                <w:rFonts w:cs="Times New Roman"/>
                <w:sz w:val="22"/>
              </w:rPr>
              <w:t>0 (0%)</w:t>
            </w:r>
          </w:p>
        </w:tc>
        <w:tc>
          <w:tcPr>
            <w:tcW w:w="916" w:type="dxa"/>
          </w:tcPr>
          <w:p w:rsidR="00193E25" w:rsidRPr="009B02A7" w:rsidRDefault="00193E25" w:rsidP="00193E25">
            <w:pPr>
              <w:jc w:val="center"/>
              <w:rPr>
                <w:rFonts w:cs="Times New Roman"/>
                <w:sz w:val="22"/>
              </w:rPr>
            </w:pPr>
            <w:r w:rsidRPr="009B02A7">
              <w:rPr>
                <w:rFonts w:cs="Times New Roman"/>
                <w:sz w:val="22"/>
              </w:rPr>
              <w:t>3 (100%)</w:t>
            </w:r>
          </w:p>
        </w:tc>
        <w:tc>
          <w:tcPr>
            <w:tcW w:w="1204" w:type="dxa"/>
          </w:tcPr>
          <w:p w:rsidR="00193E25" w:rsidRPr="009B02A7" w:rsidRDefault="00193E25" w:rsidP="00193E25">
            <w:pPr>
              <w:jc w:val="center"/>
              <w:rPr>
                <w:rFonts w:cs="Times New Roman"/>
                <w:sz w:val="22"/>
              </w:rPr>
            </w:pPr>
            <w:r w:rsidRPr="009B02A7">
              <w:rPr>
                <w:rFonts w:cs="Times New Roman"/>
                <w:sz w:val="22"/>
              </w:rPr>
              <w:t>3 (100%)</w:t>
            </w:r>
          </w:p>
        </w:tc>
      </w:tr>
      <w:tr w:rsidR="00193E25" w:rsidRPr="009B02A7" w:rsidTr="00193E25">
        <w:tc>
          <w:tcPr>
            <w:tcW w:w="1413" w:type="dxa"/>
          </w:tcPr>
          <w:p w:rsidR="00193E25" w:rsidRPr="009B02A7" w:rsidRDefault="009B02A7" w:rsidP="00193E25">
            <w:pPr>
              <w:jc w:val="left"/>
              <w:rPr>
                <w:rFonts w:cs="Times New Roman"/>
                <w:sz w:val="22"/>
              </w:rPr>
            </w:pPr>
            <w:r w:rsidRPr="009B02A7">
              <w:rPr>
                <w:rFonts w:cs="Times New Roman"/>
                <w:i/>
                <w:sz w:val="22"/>
              </w:rPr>
              <w:t>S. epidermidis</w:t>
            </w:r>
            <w:r w:rsidR="00193E25" w:rsidRPr="009B02A7">
              <w:rPr>
                <w:rFonts w:cs="Times New Roman"/>
                <w:sz w:val="22"/>
              </w:rPr>
              <w:t xml:space="preserve"> (n=4)</w:t>
            </w:r>
          </w:p>
        </w:tc>
        <w:tc>
          <w:tcPr>
            <w:tcW w:w="994" w:type="dxa"/>
          </w:tcPr>
          <w:p w:rsidR="00193E25" w:rsidRPr="009B02A7" w:rsidRDefault="00193E25" w:rsidP="00193E25">
            <w:pPr>
              <w:jc w:val="center"/>
              <w:rPr>
                <w:rFonts w:cs="Times New Roman"/>
                <w:sz w:val="22"/>
              </w:rPr>
            </w:pPr>
            <w:r w:rsidRPr="009B02A7">
              <w:rPr>
                <w:rFonts w:cs="Times New Roman"/>
                <w:sz w:val="22"/>
              </w:rPr>
              <w:t>0 (0%)</w:t>
            </w:r>
          </w:p>
        </w:tc>
        <w:tc>
          <w:tcPr>
            <w:tcW w:w="1203"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0 (0%)</w:t>
            </w:r>
          </w:p>
        </w:tc>
        <w:tc>
          <w:tcPr>
            <w:tcW w:w="1560" w:type="dxa"/>
          </w:tcPr>
          <w:p w:rsidR="00193E25" w:rsidRPr="009B02A7" w:rsidRDefault="00193E25" w:rsidP="00193E25">
            <w:pPr>
              <w:jc w:val="center"/>
              <w:rPr>
                <w:rFonts w:cs="Times New Roman"/>
                <w:sz w:val="22"/>
              </w:rPr>
            </w:pPr>
            <w:r w:rsidRPr="009B02A7">
              <w:rPr>
                <w:rFonts w:cs="Times New Roman"/>
                <w:sz w:val="22"/>
              </w:rPr>
              <w:t>γ: 4 (100%)</w:t>
            </w:r>
          </w:p>
        </w:tc>
        <w:tc>
          <w:tcPr>
            <w:tcW w:w="1134" w:type="dxa"/>
          </w:tcPr>
          <w:p w:rsidR="00193E25" w:rsidRPr="009B02A7" w:rsidRDefault="00193E25" w:rsidP="00193E25">
            <w:pPr>
              <w:jc w:val="center"/>
              <w:rPr>
                <w:rFonts w:cs="Times New Roman"/>
                <w:sz w:val="22"/>
              </w:rPr>
            </w:pPr>
            <w:r w:rsidRPr="009B02A7">
              <w:rPr>
                <w:rFonts w:cs="Times New Roman"/>
                <w:sz w:val="22"/>
              </w:rPr>
              <w:t>0 (0%)</w:t>
            </w:r>
          </w:p>
        </w:tc>
        <w:tc>
          <w:tcPr>
            <w:tcW w:w="916" w:type="dxa"/>
          </w:tcPr>
          <w:p w:rsidR="00193E25" w:rsidRPr="009B02A7" w:rsidRDefault="00193E25" w:rsidP="00193E25">
            <w:pPr>
              <w:jc w:val="center"/>
              <w:rPr>
                <w:rFonts w:cs="Times New Roman"/>
                <w:sz w:val="22"/>
              </w:rPr>
            </w:pPr>
            <w:r w:rsidRPr="009B02A7">
              <w:rPr>
                <w:rFonts w:cs="Times New Roman"/>
                <w:sz w:val="22"/>
              </w:rPr>
              <w:t>0 (0%)</w:t>
            </w:r>
          </w:p>
        </w:tc>
        <w:tc>
          <w:tcPr>
            <w:tcW w:w="1204" w:type="dxa"/>
          </w:tcPr>
          <w:p w:rsidR="00193E25" w:rsidRPr="009B02A7" w:rsidRDefault="00193E25" w:rsidP="00193E25">
            <w:pPr>
              <w:jc w:val="center"/>
              <w:rPr>
                <w:rFonts w:cs="Times New Roman"/>
                <w:sz w:val="22"/>
              </w:rPr>
            </w:pPr>
            <w:r w:rsidRPr="009B02A7">
              <w:rPr>
                <w:rFonts w:cs="Times New Roman"/>
                <w:sz w:val="22"/>
              </w:rPr>
              <w:t>4 (100%)</w:t>
            </w:r>
          </w:p>
        </w:tc>
      </w:tr>
    </w:tbl>
    <w:p w:rsidR="00193E25" w:rsidRPr="00193E25" w:rsidRDefault="00193E25" w:rsidP="00193E25">
      <w:pPr>
        <w:rPr>
          <w:sz w:val="28"/>
          <w:szCs w:val="28"/>
        </w:rPr>
      </w:pPr>
    </w:p>
    <w:p w:rsidR="00193E25" w:rsidRPr="00193E25" w:rsidRDefault="00193E25" w:rsidP="009B02A7">
      <w:pPr>
        <w:ind w:firstLine="709"/>
        <w:rPr>
          <w:sz w:val="28"/>
          <w:szCs w:val="28"/>
        </w:rPr>
      </w:pPr>
      <w:r w:rsidRPr="00193E25">
        <w:rPr>
          <w:sz w:val="28"/>
          <w:szCs w:val="28"/>
        </w:rPr>
        <w:t xml:space="preserve">Только </w:t>
      </w:r>
      <w:r w:rsidR="007A7888" w:rsidRPr="007A7888">
        <w:rPr>
          <w:i/>
          <w:sz w:val="28"/>
          <w:szCs w:val="28"/>
        </w:rPr>
        <w:t>S. aureus</w:t>
      </w:r>
      <w:r w:rsidRPr="00193E25">
        <w:rPr>
          <w:sz w:val="28"/>
          <w:szCs w:val="28"/>
        </w:rPr>
        <w:t xml:space="preserve"> и </w:t>
      </w:r>
      <w:r w:rsidR="009B02A7" w:rsidRPr="009B02A7">
        <w:rPr>
          <w:i/>
          <w:sz w:val="28"/>
          <w:szCs w:val="28"/>
        </w:rPr>
        <w:t>S. intermedius</w:t>
      </w:r>
      <w:r w:rsidRPr="00193E25">
        <w:rPr>
          <w:sz w:val="28"/>
          <w:szCs w:val="28"/>
        </w:rPr>
        <w:t xml:space="preserve"> дали 100% положительный результат на коагулазу, остальные виды дали отрицательный результат. </w:t>
      </w:r>
      <w:r w:rsidR="007A7888" w:rsidRPr="007A7888">
        <w:rPr>
          <w:i/>
          <w:sz w:val="28"/>
          <w:szCs w:val="28"/>
        </w:rPr>
        <w:t>S. aureus</w:t>
      </w:r>
      <w:r w:rsidRPr="00193E25">
        <w:rPr>
          <w:sz w:val="28"/>
          <w:szCs w:val="28"/>
        </w:rPr>
        <w:t xml:space="preserve"> в 94.2% случаев (82 из 87) вырабатывал ДНК-азу, приводя к образованию зон помутнения вокруг колоний, показывая типичный результат для патогенных штаммов. </w:t>
      </w:r>
      <w:r w:rsidR="009B02A7" w:rsidRPr="009B02A7">
        <w:rPr>
          <w:i/>
          <w:sz w:val="28"/>
          <w:szCs w:val="28"/>
        </w:rPr>
        <w:t>S. intermedius</w:t>
      </w:r>
      <w:r w:rsidRPr="00193E25">
        <w:rPr>
          <w:sz w:val="28"/>
          <w:szCs w:val="28"/>
        </w:rPr>
        <w:t xml:space="preserve"> в 85.7% (12 из 14) вырабатывал ДНК-азу. Все изоляты </w:t>
      </w:r>
      <w:r w:rsidR="007A7888" w:rsidRPr="007A7888">
        <w:rPr>
          <w:i/>
          <w:sz w:val="28"/>
          <w:szCs w:val="28"/>
        </w:rPr>
        <w:t>S. aureus</w:t>
      </w:r>
      <w:r w:rsidRPr="00193E25">
        <w:rPr>
          <w:sz w:val="28"/>
          <w:szCs w:val="28"/>
        </w:rPr>
        <w:t xml:space="preserve"> показали полный лизис эритроцитов (β-гемолиз), </w:t>
      </w:r>
      <w:r w:rsidR="009B02A7" w:rsidRPr="009B02A7">
        <w:rPr>
          <w:i/>
          <w:sz w:val="28"/>
          <w:szCs w:val="28"/>
        </w:rPr>
        <w:t>S. intermedius</w:t>
      </w:r>
      <w:r w:rsidRPr="00193E25">
        <w:rPr>
          <w:sz w:val="28"/>
          <w:szCs w:val="28"/>
        </w:rPr>
        <w:t xml:space="preserve"> в 71.4% случаев показали полный лизис эритроцитов, 28.6% — отсутствие гемолиза (γ- гемолиз). Лецитиназную активность проявили только </w:t>
      </w:r>
      <w:r w:rsidR="007A7888" w:rsidRPr="007A7888">
        <w:rPr>
          <w:i/>
          <w:sz w:val="28"/>
          <w:szCs w:val="28"/>
        </w:rPr>
        <w:t>S. aureus</w:t>
      </w:r>
      <w:r w:rsidRPr="00193E25">
        <w:rPr>
          <w:sz w:val="28"/>
          <w:szCs w:val="28"/>
        </w:rPr>
        <w:t xml:space="preserve"> и </w:t>
      </w:r>
      <w:r w:rsidR="009B02A7" w:rsidRPr="009B02A7">
        <w:rPr>
          <w:i/>
          <w:sz w:val="28"/>
          <w:szCs w:val="28"/>
        </w:rPr>
        <w:t xml:space="preserve">S. </w:t>
      </w:r>
      <w:r w:rsidR="009B02A7" w:rsidRPr="009B02A7">
        <w:rPr>
          <w:i/>
          <w:sz w:val="28"/>
          <w:szCs w:val="28"/>
        </w:rPr>
        <w:lastRenderedPageBreak/>
        <w:t>intermedius</w:t>
      </w:r>
      <w:r w:rsidRPr="00193E25">
        <w:rPr>
          <w:sz w:val="28"/>
          <w:szCs w:val="28"/>
        </w:rPr>
        <w:t xml:space="preserve"> в 100% случаев. Оксидазная активность наблюдалась только у </w:t>
      </w:r>
      <w:r w:rsidR="009B02A7" w:rsidRPr="009B02A7">
        <w:rPr>
          <w:i/>
          <w:sz w:val="28"/>
          <w:szCs w:val="28"/>
        </w:rPr>
        <w:t>S. sciuri</w:t>
      </w:r>
      <w:r w:rsidRPr="00193E25">
        <w:rPr>
          <w:sz w:val="28"/>
          <w:szCs w:val="28"/>
        </w:rPr>
        <w:t xml:space="preserve"> в 100% случаев, что является редким исключением у стафилококков.</w:t>
      </w:r>
    </w:p>
    <w:p w:rsidR="00193E25" w:rsidRDefault="00193E25" w:rsidP="009B02A7">
      <w:pPr>
        <w:ind w:firstLine="709"/>
        <w:rPr>
          <w:sz w:val="28"/>
          <w:szCs w:val="28"/>
        </w:rPr>
      </w:pPr>
      <w:r w:rsidRPr="00193E25">
        <w:rPr>
          <w:sz w:val="28"/>
          <w:szCs w:val="28"/>
        </w:rPr>
        <w:t xml:space="preserve">По результатам проделанной работы можно сделать вывод, что только </w:t>
      </w:r>
      <w:r w:rsidR="007A7888" w:rsidRPr="007A7888">
        <w:rPr>
          <w:i/>
          <w:sz w:val="28"/>
          <w:szCs w:val="28"/>
        </w:rPr>
        <w:t>S. aureus</w:t>
      </w:r>
      <w:r w:rsidRPr="00193E25">
        <w:rPr>
          <w:sz w:val="28"/>
          <w:szCs w:val="28"/>
        </w:rPr>
        <w:t xml:space="preserve"> может демонстрировать такие патогенные свойства, как положительный тест на коагулазу, ДНК-азу и полный лизис эритроцитов на кровяном агаре.</w:t>
      </w:r>
    </w:p>
    <w:p w:rsidR="009B02A7" w:rsidRPr="00193E25" w:rsidRDefault="009B02A7" w:rsidP="009B02A7">
      <w:pPr>
        <w:ind w:firstLine="709"/>
        <w:rPr>
          <w:sz w:val="28"/>
          <w:szCs w:val="28"/>
        </w:rPr>
      </w:pPr>
      <w:r w:rsidRPr="00193E25">
        <w:rPr>
          <w:sz w:val="28"/>
          <w:szCs w:val="28"/>
        </w:rPr>
        <w:t xml:space="preserve">В общем из различной продукции животного происхождения выделено 153 вида различных стафилококков. Наибольшее количество стафилококков выделено в маститном молоке – 135 изолятов, больше всего </w:t>
      </w:r>
      <w:r w:rsidR="007A7888" w:rsidRPr="007A7888">
        <w:rPr>
          <w:i/>
          <w:sz w:val="28"/>
          <w:szCs w:val="28"/>
        </w:rPr>
        <w:t>S. aureus</w:t>
      </w:r>
      <w:r w:rsidRPr="00193E25">
        <w:rPr>
          <w:sz w:val="28"/>
          <w:szCs w:val="28"/>
        </w:rPr>
        <w:t xml:space="preserve"> – 82 изолята (94,25%). В продуктах животного происхождения выделено 7 изолятов, преимущественно </w:t>
      </w:r>
      <w:r w:rsidRPr="009B02A7">
        <w:rPr>
          <w:i/>
          <w:sz w:val="28"/>
          <w:szCs w:val="28"/>
        </w:rPr>
        <w:t>S. xylosus</w:t>
      </w:r>
      <w:r w:rsidRPr="00193E25">
        <w:rPr>
          <w:sz w:val="28"/>
          <w:szCs w:val="28"/>
        </w:rPr>
        <w:t xml:space="preserve"> и </w:t>
      </w:r>
      <w:r w:rsidR="007A7888" w:rsidRPr="007A7888">
        <w:rPr>
          <w:i/>
          <w:sz w:val="28"/>
          <w:szCs w:val="28"/>
        </w:rPr>
        <w:t>S. aureus</w:t>
      </w:r>
      <w:r w:rsidRPr="00193E25">
        <w:rPr>
          <w:sz w:val="28"/>
          <w:szCs w:val="28"/>
        </w:rPr>
        <w:t xml:space="preserve">, соответственно 2 и 1 изолята. В продукции птицеводства выделено 11 стафилококков, преимущественно </w:t>
      </w:r>
      <w:r w:rsidR="007A7888" w:rsidRPr="007A7888">
        <w:rPr>
          <w:i/>
          <w:sz w:val="28"/>
          <w:szCs w:val="28"/>
        </w:rPr>
        <w:t>S. aureus</w:t>
      </w:r>
      <w:r w:rsidRPr="00193E25">
        <w:rPr>
          <w:sz w:val="28"/>
          <w:szCs w:val="28"/>
        </w:rPr>
        <w:t xml:space="preserve"> – 4 и </w:t>
      </w:r>
      <w:r w:rsidRPr="009B02A7">
        <w:rPr>
          <w:i/>
          <w:sz w:val="28"/>
          <w:szCs w:val="28"/>
        </w:rPr>
        <w:t>S. intermedius</w:t>
      </w:r>
      <w:r w:rsidRPr="00193E25">
        <w:rPr>
          <w:sz w:val="28"/>
          <w:szCs w:val="28"/>
        </w:rPr>
        <w:t xml:space="preserve"> – 3. В продукции, готовой к употреблению выделено 8 стафилококков, в основном </w:t>
      </w:r>
      <w:r w:rsidRPr="009B02A7">
        <w:rPr>
          <w:i/>
          <w:sz w:val="28"/>
          <w:szCs w:val="28"/>
        </w:rPr>
        <w:t>S. saprophyticus</w:t>
      </w:r>
      <w:r w:rsidRPr="00193E25">
        <w:rPr>
          <w:sz w:val="28"/>
          <w:szCs w:val="28"/>
        </w:rPr>
        <w:t xml:space="preserve"> – 3 и </w:t>
      </w:r>
      <w:r w:rsidRPr="009B02A7">
        <w:rPr>
          <w:i/>
          <w:sz w:val="28"/>
          <w:szCs w:val="28"/>
        </w:rPr>
        <w:t>S. epidermidis</w:t>
      </w:r>
      <w:r w:rsidRPr="00193E25">
        <w:rPr>
          <w:sz w:val="28"/>
          <w:szCs w:val="28"/>
        </w:rPr>
        <w:t xml:space="preserve"> – 3.</w:t>
      </w:r>
    </w:p>
    <w:p w:rsidR="009B02A7" w:rsidRPr="00193E25" w:rsidRDefault="009B02A7" w:rsidP="009B02A7">
      <w:pPr>
        <w:ind w:firstLine="709"/>
        <w:rPr>
          <w:sz w:val="28"/>
          <w:szCs w:val="28"/>
        </w:rPr>
      </w:pPr>
    </w:p>
    <w:p w:rsidR="00193E25" w:rsidRDefault="00193E25" w:rsidP="0077064C">
      <w:pPr>
        <w:jc w:val="left"/>
        <w:rPr>
          <w:sz w:val="28"/>
          <w:szCs w:val="28"/>
        </w:rPr>
      </w:pPr>
      <w:r w:rsidRPr="00193E25">
        <w:rPr>
          <w:sz w:val="28"/>
          <w:szCs w:val="28"/>
        </w:rPr>
        <w:t>Таблица 4 – Видовое разнообразие стафилококков, выделенных из различной продукции животного происхождения</w:t>
      </w:r>
    </w:p>
    <w:tbl>
      <w:tblPr>
        <w:tblW w:w="5000" w:type="pct"/>
        <w:tblLook w:val="04A0" w:firstRow="1" w:lastRow="0" w:firstColumn="1" w:lastColumn="0" w:noHBand="0" w:noVBand="1"/>
      </w:tblPr>
      <w:tblGrid>
        <w:gridCol w:w="1835"/>
        <w:gridCol w:w="1208"/>
        <w:gridCol w:w="1856"/>
        <w:gridCol w:w="1715"/>
        <w:gridCol w:w="1924"/>
        <w:gridCol w:w="1316"/>
      </w:tblGrid>
      <w:tr w:rsidR="007B53BD" w:rsidRPr="007B53BD" w:rsidTr="007B53BD">
        <w:trPr>
          <w:trHeight w:val="878"/>
        </w:trPr>
        <w:tc>
          <w:tcPr>
            <w:tcW w:w="9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Виды стафилококков</w:t>
            </w:r>
          </w:p>
        </w:tc>
        <w:tc>
          <w:tcPr>
            <w:tcW w:w="613" w:type="pct"/>
            <w:tcBorders>
              <w:top w:val="single" w:sz="4" w:space="0" w:color="auto"/>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Молоко (%)</w:t>
            </w:r>
          </w:p>
        </w:tc>
        <w:tc>
          <w:tcPr>
            <w:tcW w:w="942" w:type="pct"/>
            <w:tcBorders>
              <w:top w:val="single" w:sz="4" w:space="0" w:color="auto"/>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Продукты животного происхождения (%)</w:t>
            </w:r>
          </w:p>
        </w:tc>
        <w:tc>
          <w:tcPr>
            <w:tcW w:w="870" w:type="pct"/>
            <w:tcBorders>
              <w:top w:val="single" w:sz="4" w:space="0" w:color="auto"/>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Продукция птицеводства (%)</w:t>
            </w:r>
          </w:p>
        </w:tc>
        <w:tc>
          <w:tcPr>
            <w:tcW w:w="976" w:type="pct"/>
            <w:tcBorders>
              <w:top w:val="single" w:sz="4" w:space="0" w:color="auto"/>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Продукция готовая к употреблению (%)</w:t>
            </w:r>
          </w:p>
        </w:tc>
        <w:tc>
          <w:tcPr>
            <w:tcW w:w="669" w:type="pct"/>
            <w:tcBorders>
              <w:top w:val="single" w:sz="4" w:space="0" w:color="auto"/>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Выделено всего (%)</w:t>
            </w:r>
          </w:p>
        </w:tc>
      </w:tr>
      <w:tr w:rsidR="007B53BD" w:rsidRPr="007B53BD" w:rsidTr="007B53BD">
        <w:trPr>
          <w:trHeight w:val="312"/>
        </w:trPr>
        <w:tc>
          <w:tcPr>
            <w:tcW w:w="931" w:type="pct"/>
            <w:tcBorders>
              <w:top w:val="nil"/>
              <w:left w:val="single" w:sz="4" w:space="0" w:color="auto"/>
              <w:bottom w:val="single" w:sz="4" w:space="0" w:color="auto"/>
              <w:right w:val="single" w:sz="4" w:space="0" w:color="auto"/>
            </w:tcBorders>
            <w:shd w:val="clear" w:color="auto" w:fill="auto"/>
            <w:vAlign w:val="center"/>
            <w:hideMark/>
          </w:tcPr>
          <w:p w:rsidR="007B53BD" w:rsidRPr="007B53BD" w:rsidRDefault="007A7888" w:rsidP="007B53BD">
            <w:pPr>
              <w:spacing w:after="0"/>
              <w:rPr>
                <w:rFonts w:eastAsia="Times New Roman" w:cs="Times New Roman"/>
                <w:i/>
                <w:iCs/>
                <w:color w:val="000000"/>
                <w:szCs w:val="28"/>
                <w:lang w:eastAsia="ru-RU"/>
              </w:rPr>
            </w:pPr>
            <w:r w:rsidRPr="007A7888">
              <w:rPr>
                <w:rFonts w:eastAsia="Times New Roman" w:cs="Times New Roman"/>
                <w:i/>
                <w:iCs/>
                <w:color w:val="000000"/>
                <w:szCs w:val="28"/>
                <w:lang w:eastAsia="ru-RU"/>
              </w:rPr>
              <w:t>S. aureus</w:t>
            </w:r>
          </w:p>
        </w:tc>
        <w:tc>
          <w:tcPr>
            <w:tcW w:w="613"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82</w:t>
            </w:r>
            <w:r>
              <w:rPr>
                <w:rFonts w:eastAsia="Times New Roman" w:cs="Times New Roman"/>
                <w:color w:val="000000"/>
                <w:szCs w:val="28"/>
                <w:lang w:eastAsia="ru-RU"/>
              </w:rPr>
              <w:t xml:space="preserve"> </w:t>
            </w:r>
            <w:r w:rsidRPr="007B53BD">
              <w:rPr>
                <w:rFonts w:eastAsia="Times New Roman" w:cs="Times New Roman"/>
                <w:color w:val="000000"/>
                <w:szCs w:val="28"/>
                <w:lang w:eastAsia="ru-RU"/>
              </w:rPr>
              <w:t>(60,7)</w:t>
            </w:r>
          </w:p>
        </w:tc>
        <w:tc>
          <w:tcPr>
            <w:tcW w:w="942"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 (14,3)</w:t>
            </w:r>
          </w:p>
        </w:tc>
        <w:tc>
          <w:tcPr>
            <w:tcW w:w="870"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4 (36,4)</w:t>
            </w:r>
          </w:p>
        </w:tc>
        <w:tc>
          <w:tcPr>
            <w:tcW w:w="976"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669"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87 (56,9)</w:t>
            </w:r>
          </w:p>
        </w:tc>
      </w:tr>
      <w:tr w:rsidR="007B53BD" w:rsidRPr="007B53BD" w:rsidTr="007B53BD">
        <w:trPr>
          <w:trHeight w:val="312"/>
        </w:trPr>
        <w:tc>
          <w:tcPr>
            <w:tcW w:w="931" w:type="pct"/>
            <w:tcBorders>
              <w:top w:val="nil"/>
              <w:left w:val="single" w:sz="4" w:space="0" w:color="auto"/>
              <w:bottom w:val="single" w:sz="4" w:space="0" w:color="auto"/>
              <w:right w:val="single" w:sz="4" w:space="0" w:color="auto"/>
            </w:tcBorders>
            <w:shd w:val="clear" w:color="auto" w:fill="auto"/>
            <w:vAlign w:val="center"/>
            <w:hideMark/>
          </w:tcPr>
          <w:p w:rsidR="007B53BD" w:rsidRPr="007B53BD" w:rsidRDefault="007B53BD" w:rsidP="007B53BD">
            <w:pPr>
              <w:spacing w:after="0"/>
              <w:rPr>
                <w:rFonts w:eastAsia="Times New Roman" w:cs="Times New Roman"/>
                <w:i/>
                <w:iCs/>
                <w:color w:val="000000"/>
                <w:szCs w:val="28"/>
                <w:lang w:eastAsia="ru-RU"/>
              </w:rPr>
            </w:pPr>
            <w:r w:rsidRPr="007B53BD">
              <w:rPr>
                <w:rFonts w:eastAsia="Times New Roman" w:cs="Times New Roman"/>
                <w:i/>
                <w:iCs/>
                <w:color w:val="000000"/>
                <w:szCs w:val="28"/>
                <w:lang w:eastAsia="ru-RU"/>
              </w:rPr>
              <w:t>S. intermedius</w:t>
            </w:r>
          </w:p>
        </w:tc>
        <w:tc>
          <w:tcPr>
            <w:tcW w:w="613"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10</w:t>
            </w:r>
            <w:r>
              <w:rPr>
                <w:rFonts w:eastAsia="Times New Roman" w:cs="Times New Roman"/>
                <w:color w:val="000000"/>
                <w:szCs w:val="28"/>
                <w:lang w:eastAsia="ru-RU"/>
              </w:rPr>
              <w:t xml:space="preserve"> </w:t>
            </w:r>
            <w:r w:rsidRPr="007B53BD">
              <w:rPr>
                <w:rFonts w:eastAsia="Times New Roman" w:cs="Times New Roman"/>
                <w:color w:val="000000"/>
                <w:szCs w:val="28"/>
                <w:lang w:eastAsia="ru-RU"/>
              </w:rPr>
              <w:t>(7,4)</w:t>
            </w:r>
          </w:p>
        </w:tc>
        <w:tc>
          <w:tcPr>
            <w:tcW w:w="942"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 (14,3)</w:t>
            </w:r>
          </w:p>
        </w:tc>
        <w:tc>
          <w:tcPr>
            <w:tcW w:w="870"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3 (27,3)</w:t>
            </w:r>
          </w:p>
        </w:tc>
        <w:tc>
          <w:tcPr>
            <w:tcW w:w="976"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2 (25,0)</w:t>
            </w:r>
          </w:p>
        </w:tc>
        <w:tc>
          <w:tcPr>
            <w:tcW w:w="669"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14 (9,2)</w:t>
            </w:r>
          </w:p>
        </w:tc>
      </w:tr>
      <w:tr w:rsidR="007B53BD" w:rsidRPr="007B53BD" w:rsidTr="007B53BD">
        <w:trPr>
          <w:trHeight w:val="312"/>
        </w:trPr>
        <w:tc>
          <w:tcPr>
            <w:tcW w:w="931" w:type="pct"/>
            <w:tcBorders>
              <w:top w:val="nil"/>
              <w:left w:val="single" w:sz="4" w:space="0" w:color="auto"/>
              <w:bottom w:val="single" w:sz="4" w:space="0" w:color="auto"/>
              <w:right w:val="single" w:sz="4" w:space="0" w:color="auto"/>
            </w:tcBorders>
            <w:shd w:val="clear" w:color="auto" w:fill="auto"/>
            <w:vAlign w:val="center"/>
            <w:hideMark/>
          </w:tcPr>
          <w:p w:rsidR="007B53BD" w:rsidRPr="007B53BD" w:rsidRDefault="007B53BD" w:rsidP="007B53BD">
            <w:pPr>
              <w:spacing w:after="0"/>
              <w:rPr>
                <w:rFonts w:eastAsia="Times New Roman" w:cs="Times New Roman"/>
                <w:i/>
                <w:iCs/>
                <w:color w:val="000000"/>
                <w:szCs w:val="28"/>
                <w:lang w:eastAsia="ru-RU"/>
              </w:rPr>
            </w:pPr>
            <w:r w:rsidRPr="007B53BD">
              <w:rPr>
                <w:rFonts w:eastAsia="Times New Roman" w:cs="Times New Roman"/>
                <w:i/>
                <w:iCs/>
                <w:color w:val="000000"/>
                <w:szCs w:val="28"/>
                <w:lang w:eastAsia="ru-RU"/>
              </w:rPr>
              <w:t>S. xylosus</w:t>
            </w:r>
          </w:p>
        </w:tc>
        <w:tc>
          <w:tcPr>
            <w:tcW w:w="613"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14</w:t>
            </w:r>
            <w:r>
              <w:rPr>
                <w:rFonts w:eastAsia="Times New Roman" w:cs="Times New Roman"/>
                <w:color w:val="000000"/>
                <w:szCs w:val="28"/>
                <w:lang w:eastAsia="ru-RU"/>
              </w:rPr>
              <w:t xml:space="preserve"> </w:t>
            </w:r>
            <w:r w:rsidRPr="007B53BD">
              <w:rPr>
                <w:rFonts w:eastAsia="Times New Roman" w:cs="Times New Roman"/>
                <w:color w:val="000000"/>
                <w:szCs w:val="28"/>
                <w:lang w:eastAsia="ru-RU"/>
              </w:rPr>
              <w:t>(10,4)</w:t>
            </w:r>
          </w:p>
        </w:tc>
        <w:tc>
          <w:tcPr>
            <w:tcW w:w="942"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2 (28,6)</w:t>
            </w:r>
          </w:p>
        </w:tc>
        <w:tc>
          <w:tcPr>
            <w:tcW w:w="870"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 (9,1)</w:t>
            </w:r>
          </w:p>
        </w:tc>
        <w:tc>
          <w:tcPr>
            <w:tcW w:w="976"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669"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17 (11,1)</w:t>
            </w:r>
          </w:p>
        </w:tc>
      </w:tr>
      <w:tr w:rsidR="007B53BD" w:rsidRPr="007B53BD" w:rsidTr="007B53BD">
        <w:trPr>
          <w:trHeight w:val="312"/>
        </w:trPr>
        <w:tc>
          <w:tcPr>
            <w:tcW w:w="931" w:type="pct"/>
            <w:tcBorders>
              <w:top w:val="nil"/>
              <w:left w:val="single" w:sz="4" w:space="0" w:color="auto"/>
              <w:bottom w:val="single" w:sz="4" w:space="0" w:color="auto"/>
              <w:right w:val="single" w:sz="4" w:space="0" w:color="auto"/>
            </w:tcBorders>
            <w:shd w:val="clear" w:color="auto" w:fill="auto"/>
            <w:vAlign w:val="center"/>
            <w:hideMark/>
          </w:tcPr>
          <w:p w:rsidR="007B53BD" w:rsidRPr="007B53BD" w:rsidRDefault="007B53BD" w:rsidP="007B53BD">
            <w:pPr>
              <w:spacing w:after="0"/>
              <w:rPr>
                <w:rFonts w:eastAsia="Times New Roman" w:cs="Times New Roman"/>
                <w:i/>
                <w:iCs/>
                <w:color w:val="000000"/>
                <w:szCs w:val="28"/>
                <w:lang w:eastAsia="ru-RU"/>
              </w:rPr>
            </w:pPr>
            <w:r w:rsidRPr="007B53BD">
              <w:rPr>
                <w:rFonts w:eastAsia="Times New Roman" w:cs="Times New Roman"/>
                <w:i/>
                <w:iCs/>
                <w:color w:val="000000"/>
                <w:szCs w:val="28"/>
                <w:lang w:eastAsia="ru-RU"/>
              </w:rPr>
              <w:t>S. cochnii</w:t>
            </w:r>
          </w:p>
        </w:tc>
        <w:tc>
          <w:tcPr>
            <w:tcW w:w="613"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15</w:t>
            </w:r>
            <w:r>
              <w:rPr>
                <w:rFonts w:eastAsia="Times New Roman" w:cs="Times New Roman"/>
                <w:color w:val="000000"/>
                <w:szCs w:val="28"/>
                <w:lang w:eastAsia="ru-RU"/>
              </w:rPr>
              <w:t xml:space="preserve"> </w:t>
            </w:r>
            <w:r w:rsidRPr="007B53BD">
              <w:rPr>
                <w:rFonts w:eastAsia="Times New Roman" w:cs="Times New Roman"/>
                <w:color w:val="000000"/>
                <w:szCs w:val="28"/>
                <w:lang w:eastAsia="ru-RU"/>
              </w:rPr>
              <w:t>(11,1)</w:t>
            </w:r>
          </w:p>
        </w:tc>
        <w:tc>
          <w:tcPr>
            <w:tcW w:w="942"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870"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976"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669"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15 (9,8)</w:t>
            </w:r>
          </w:p>
        </w:tc>
      </w:tr>
      <w:tr w:rsidR="007B53BD" w:rsidRPr="007B53BD" w:rsidTr="007B53BD">
        <w:trPr>
          <w:trHeight w:val="335"/>
        </w:trPr>
        <w:tc>
          <w:tcPr>
            <w:tcW w:w="931" w:type="pct"/>
            <w:tcBorders>
              <w:top w:val="nil"/>
              <w:left w:val="single" w:sz="4" w:space="0" w:color="auto"/>
              <w:bottom w:val="single" w:sz="4" w:space="0" w:color="auto"/>
              <w:right w:val="single" w:sz="4" w:space="0" w:color="auto"/>
            </w:tcBorders>
            <w:shd w:val="clear" w:color="auto" w:fill="auto"/>
            <w:vAlign w:val="center"/>
            <w:hideMark/>
          </w:tcPr>
          <w:p w:rsidR="007B53BD" w:rsidRPr="007B53BD" w:rsidRDefault="007B53BD" w:rsidP="007B53BD">
            <w:pPr>
              <w:spacing w:after="0"/>
              <w:rPr>
                <w:rFonts w:eastAsia="Times New Roman" w:cs="Times New Roman"/>
                <w:i/>
                <w:iCs/>
                <w:color w:val="000000"/>
                <w:szCs w:val="28"/>
                <w:lang w:eastAsia="ru-RU"/>
              </w:rPr>
            </w:pPr>
            <w:r w:rsidRPr="007B53BD">
              <w:rPr>
                <w:rFonts w:eastAsia="Times New Roman" w:cs="Times New Roman"/>
                <w:i/>
                <w:iCs/>
                <w:color w:val="000000"/>
                <w:szCs w:val="28"/>
                <w:lang w:eastAsia="ru-RU"/>
              </w:rPr>
              <w:t>S. saprophyticus</w:t>
            </w:r>
          </w:p>
        </w:tc>
        <w:tc>
          <w:tcPr>
            <w:tcW w:w="613"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6</w:t>
            </w:r>
            <w:r>
              <w:rPr>
                <w:rFonts w:eastAsia="Times New Roman" w:cs="Times New Roman"/>
                <w:color w:val="000000"/>
                <w:szCs w:val="28"/>
                <w:lang w:eastAsia="ru-RU"/>
              </w:rPr>
              <w:t xml:space="preserve"> </w:t>
            </w:r>
            <w:r w:rsidRPr="007B53BD">
              <w:rPr>
                <w:rFonts w:eastAsia="Times New Roman" w:cs="Times New Roman"/>
                <w:color w:val="000000"/>
                <w:szCs w:val="28"/>
                <w:lang w:eastAsia="ru-RU"/>
              </w:rPr>
              <w:t>(4,4)</w:t>
            </w:r>
          </w:p>
        </w:tc>
        <w:tc>
          <w:tcPr>
            <w:tcW w:w="942"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2 (28,6)</w:t>
            </w:r>
          </w:p>
        </w:tc>
        <w:tc>
          <w:tcPr>
            <w:tcW w:w="870"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 (9,1)</w:t>
            </w:r>
          </w:p>
        </w:tc>
        <w:tc>
          <w:tcPr>
            <w:tcW w:w="976"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3 (37,5)</w:t>
            </w:r>
          </w:p>
        </w:tc>
        <w:tc>
          <w:tcPr>
            <w:tcW w:w="669"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9 (5,9)</w:t>
            </w:r>
          </w:p>
        </w:tc>
      </w:tr>
      <w:tr w:rsidR="007B53BD" w:rsidRPr="007B53BD" w:rsidTr="007B53BD">
        <w:trPr>
          <w:trHeight w:val="312"/>
        </w:trPr>
        <w:tc>
          <w:tcPr>
            <w:tcW w:w="931" w:type="pct"/>
            <w:tcBorders>
              <w:top w:val="nil"/>
              <w:left w:val="single" w:sz="4" w:space="0" w:color="auto"/>
              <w:bottom w:val="single" w:sz="4" w:space="0" w:color="auto"/>
              <w:right w:val="single" w:sz="4" w:space="0" w:color="auto"/>
            </w:tcBorders>
            <w:shd w:val="clear" w:color="auto" w:fill="auto"/>
            <w:vAlign w:val="center"/>
            <w:hideMark/>
          </w:tcPr>
          <w:p w:rsidR="007B53BD" w:rsidRPr="007B53BD" w:rsidRDefault="007B53BD" w:rsidP="007B53BD">
            <w:pPr>
              <w:spacing w:after="0"/>
              <w:rPr>
                <w:rFonts w:eastAsia="Times New Roman" w:cs="Times New Roman"/>
                <w:i/>
                <w:iCs/>
                <w:color w:val="000000"/>
                <w:szCs w:val="28"/>
                <w:lang w:eastAsia="ru-RU"/>
              </w:rPr>
            </w:pPr>
            <w:r w:rsidRPr="007B53BD">
              <w:rPr>
                <w:rFonts w:eastAsia="Times New Roman" w:cs="Times New Roman"/>
                <w:i/>
                <w:iCs/>
                <w:color w:val="000000"/>
                <w:szCs w:val="28"/>
                <w:lang w:eastAsia="ru-RU"/>
              </w:rPr>
              <w:t>S. simulans</w:t>
            </w:r>
          </w:p>
        </w:tc>
        <w:tc>
          <w:tcPr>
            <w:tcW w:w="613"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4</w:t>
            </w:r>
            <w:r>
              <w:rPr>
                <w:rFonts w:eastAsia="Times New Roman" w:cs="Times New Roman"/>
                <w:color w:val="000000"/>
                <w:szCs w:val="28"/>
                <w:lang w:eastAsia="ru-RU"/>
              </w:rPr>
              <w:t xml:space="preserve"> </w:t>
            </w:r>
            <w:r w:rsidRPr="007B53BD">
              <w:rPr>
                <w:rFonts w:eastAsia="Times New Roman" w:cs="Times New Roman"/>
                <w:color w:val="000000"/>
                <w:szCs w:val="28"/>
                <w:lang w:eastAsia="ru-RU"/>
              </w:rPr>
              <w:t>(3,0 )</w:t>
            </w:r>
          </w:p>
        </w:tc>
        <w:tc>
          <w:tcPr>
            <w:tcW w:w="942"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870"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976"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669"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4 (2,6)</w:t>
            </w:r>
          </w:p>
        </w:tc>
      </w:tr>
      <w:tr w:rsidR="007B53BD" w:rsidRPr="007B53BD" w:rsidTr="007B53BD">
        <w:trPr>
          <w:trHeight w:val="312"/>
        </w:trPr>
        <w:tc>
          <w:tcPr>
            <w:tcW w:w="931" w:type="pct"/>
            <w:tcBorders>
              <w:top w:val="nil"/>
              <w:left w:val="single" w:sz="4" w:space="0" w:color="auto"/>
              <w:bottom w:val="single" w:sz="4" w:space="0" w:color="auto"/>
              <w:right w:val="single" w:sz="4" w:space="0" w:color="auto"/>
            </w:tcBorders>
            <w:shd w:val="clear" w:color="auto" w:fill="auto"/>
            <w:vAlign w:val="center"/>
            <w:hideMark/>
          </w:tcPr>
          <w:p w:rsidR="007B53BD" w:rsidRPr="007B53BD" w:rsidRDefault="007B53BD" w:rsidP="007B53BD">
            <w:pPr>
              <w:spacing w:after="0"/>
              <w:rPr>
                <w:rFonts w:eastAsia="Times New Roman" w:cs="Times New Roman"/>
                <w:i/>
                <w:iCs/>
                <w:color w:val="000000"/>
                <w:szCs w:val="28"/>
                <w:lang w:eastAsia="ru-RU"/>
              </w:rPr>
            </w:pPr>
            <w:r w:rsidRPr="007B53BD">
              <w:rPr>
                <w:rFonts w:eastAsia="Times New Roman" w:cs="Times New Roman"/>
                <w:i/>
                <w:iCs/>
                <w:color w:val="000000"/>
                <w:szCs w:val="28"/>
                <w:lang w:eastAsia="ru-RU"/>
              </w:rPr>
              <w:t>S. sciuri</w:t>
            </w:r>
          </w:p>
        </w:tc>
        <w:tc>
          <w:tcPr>
            <w:tcW w:w="613"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3</w:t>
            </w:r>
            <w:r>
              <w:rPr>
                <w:rFonts w:eastAsia="Times New Roman" w:cs="Times New Roman"/>
                <w:color w:val="000000"/>
                <w:szCs w:val="28"/>
                <w:lang w:eastAsia="ru-RU"/>
              </w:rPr>
              <w:t xml:space="preserve"> </w:t>
            </w:r>
            <w:r w:rsidRPr="007B53BD">
              <w:rPr>
                <w:rFonts w:eastAsia="Times New Roman" w:cs="Times New Roman"/>
                <w:color w:val="000000"/>
                <w:szCs w:val="28"/>
                <w:lang w:eastAsia="ru-RU"/>
              </w:rPr>
              <w:t>(2,2  )</w:t>
            </w:r>
          </w:p>
        </w:tc>
        <w:tc>
          <w:tcPr>
            <w:tcW w:w="942"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870"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976"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0 (0)</w:t>
            </w:r>
          </w:p>
        </w:tc>
        <w:tc>
          <w:tcPr>
            <w:tcW w:w="669"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3 (2,0)</w:t>
            </w:r>
          </w:p>
        </w:tc>
      </w:tr>
      <w:tr w:rsidR="007B53BD" w:rsidRPr="007B53BD" w:rsidTr="007B53BD">
        <w:trPr>
          <w:trHeight w:val="312"/>
        </w:trPr>
        <w:tc>
          <w:tcPr>
            <w:tcW w:w="931" w:type="pct"/>
            <w:tcBorders>
              <w:top w:val="nil"/>
              <w:left w:val="single" w:sz="4" w:space="0" w:color="auto"/>
              <w:bottom w:val="single" w:sz="4" w:space="0" w:color="auto"/>
              <w:right w:val="single" w:sz="4" w:space="0" w:color="auto"/>
            </w:tcBorders>
            <w:shd w:val="clear" w:color="auto" w:fill="auto"/>
            <w:vAlign w:val="center"/>
            <w:hideMark/>
          </w:tcPr>
          <w:p w:rsidR="007B53BD" w:rsidRPr="007B53BD" w:rsidRDefault="007B53BD" w:rsidP="007B53BD">
            <w:pPr>
              <w:spacing w:after="0"/>
              <w:rPr>
                <w:rFonts w:eastAsia="Times New Roman" w:cs="Times New Roman"/>
                <w:i/>
                <w:iCs/>
                <w:color w:val="000000"/>
                <w:szCs w:val="28"/>
                <w:lang w:eastAsia="ru-RU"/>
              </w:rPr>
            </w:pPr>
            <w:r w:rsidRPr="007B53BD">
              <w:rPr>
                <w:rFonts w:eastAsia="Times New Roman" w:cs="Times New Roman"/>
                <w:i/>
                <w:iCs/>
                <w:color w:val="000000"/>
                <w:szCs w:val="28"/>
                <w:lang w:eastAsia="ru-RU"/>
              </w:rPr>
              <w:t>S. epidermidis</w:t>
            </w:r>
          </w:p>
        </w:tc>
        <w:tc>
          <w:tcPr>
            <w:tcW w:w="613"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w:t>
            </w:r>
            <w:r>
              <w:rPr>
                <w:rFonts w:eastAsia="Times New Roman" w:cs="Times New Roman"/>
                <w:color w:val="000000"/>
                <w:szCs w:val="28"/>
                <w:lang w:eastAsia="ru-RU"/>
              </w:rPr>
              <w:t xml:space="preserve"> </w:t>
            </w:r>
            <w:r w:rsidRPr="007B53BD">
              <w:rPr>
                <w:rFonts w:eastAsia="Times New Roman" w:cs="Times New Roman"/>
                <w:color w:val="000000"/>
                <w:szCs w:val="28"/>
                <w:lang w:eastAsia="ru-RU"/>
              </w:rPr>
              <w:t>(0,7)</w:t>
            </w:r>
          </w:p>
        </w:tc>
        <w:tc>
          <w:tcPr>
            <w:tcW w:w="942"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 (14,3)</w:t>
            </w:r>
          </w:p>
        </w:tc>
        <w:tc>
          <w:tcPr>
            <w:tcW w:w="870"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2 (18,2)</w:t>
            </w:r>
          </w:p>
        </w:tc>
        <w:tc>
          <w:tcPr>
            <w:tcW w:w="976"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3 (37,5)</w:t>
            </w:r>
          </w:p>
        </w:tc>
        <w:tc>
          <w:tcPr>
            <w:tcW w:w="669"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4 (2,6)</w:t>
            </w:r>
          </w:p>
        </w:tc>
      </w:tr>
      <w:tr w:rsidR="007B53BD" w:rsidRPr="007B53BD" w:rsidTr="007B53BD">
        <w:trPr>
          <w:trHeight w:val="312"/>
        </w:trPr>
        <w:tc>
          <w:tcPr>
            <w:tcW w:w="931" w:type="pct"/>
            <w:tcBorders>
              <w:top w:val="nil"/>
              <w:left w:val="single" w:sz="4" w:space="0" w:color="auto"/>
              <w:bottom w:val="single" w:sz="4" w:space="0" w:color="auto"/>
              <w:right w:val="single" w:sz="4" w:space="0" w:color="auto"/>
            </w:tcBorders>
            <w:shd w:val="clear" w:color="auto" w:fill="auto"/>
            <w:vAlign w:val="center"/>
            <w:hideMark/>
          </w:tcPr>
          <w:p w:rsidR="007B53BD" w:rsidRPr="007B53BD" w:rsidRDefault="007B53BD" w:rsidP="007B53BD">
            <w:pPr>
              <w:spacing w:after="0"/>
              <w:rPr>
                <w:rFonts w:eastAsia="Times New Roman" w:cs="Times New Roman"/>
                <w:color w:val="000000"/>
                <w:szCs w:val="28"/>
                <w:lang w:eastAsia="ru-RU"/>
              </w:rPr>
            </w:pPr>
            <w:r w:rsidRPr="007B53BD">
              <w:rPr>
                <w:rFonts w:eastAsia="Times New Roman" w:cs="Times New Roman"/>
                <w:color w:val="000000"/>
                <w:szCs w:val="28"/>
                <w:lang w:eastAsia="ru-RU"/>
              </w:rPr>
              <w:t>Всего</w:t>
            </w:r>
          </w:p>
        </w:tc>
        <w:tc>
          <w:tcPr>
            <w:tcW w:w="613"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135</w:t>
            </w:r>
          </w:p>
        </w:tc>
        <w:tc>
          <w:tcPr>
            <w:tcW w:w="942"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7</w:t>
            </w:r>
          </w:p>
        </w:tc>
        <w:tc>
          <w:tcPr>
            <w:tcW w:w="870"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11</w:t>
            </w:r>
          </w:p>
        </w:tc>
        <w:tc>
          <w:tcPr>
            <w:tcW w:w="976"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8</w:t>
            </w:r>
          </w:p>
        </w:tc>
        <w:tc>
          <w:tcPr>
            <w:tcW w:w="669" w:type="pct"/>
            <w:tcBorders>
              <w:top w:val="nil"/>
              <w:left w:val="nil"/>
              <w:bottom w:val="single" w:sz="4" w:space="0" w:color="auto"/>
              <w:right w:val="single" w:sz="4" w:space="0" w:color="auto"/>
            </w:tcBorders>
            <w:shd w:val="clear" w:color="auto" w:fill="auto"/>
            <w:vAlign w:val="center"/>
            <w:hideMark/>
          </w:tcPr>
          <w:p w:rsidR="007B53BD" w:rsidRPr="007B53BD" w:rsidRDefault="007B53BD" w:rsidP="007B53BD">
            <w:pPr>
              <w:spacing w:after="0"/>
              <w:jc w:val="center"/>
              <w:rPr>
                <w:rFonts w:eastAsia="Times New Roman" w:cs="Times New Roman"/>
                <w:color w:val="000000"/>
                <w:szCs w:val="28"/>
                <w:lang w:eastAsia="ru-RU"/>
              </w:rPr>
            </w:pPr>
            <w:r w:rsidRPr="007B53BD">
              <w:rPr>
                <w:rFonts w:eastAsia="Times New Roman" w:cs="Times New Roman"/>
                <w:color w:val="000000"/>
                <w:szCs w:val="28"/>
                <w:lang w:eastAsia="ru-RU"/>
              </w:rPr>
              <w:t>153</w:t>
            </w:r>
          </w:p>
        </w:tc>
      </w:tr>
    </w:tbl>
    <w:p w:rsidR="00193E25" w:rsidRDefault="00193E25" w:rsidP="00193E25">
      <w:pPr>
        <w:rPr>
          <w:sz w:val="28"/>
          <w:szCs w:val="28"/>
        </w:rPr>
      </w:pPr>
    </w:p>
    <w:p w:rsidR="00193E25" w:rsidRDefault="00193E25" w:rsidP="009B02A7">
      <w:pPr>
        <w:ind w:firstLine="709"/>
        <w:rPr>
          <w:sz w:val="28"/>
          <w:szCs w:val="28"/>
        </w:rPr>
      </w:pPr>
      <w:r w:rsidRPr="00193E25">
        <w:rPr>
          <w:sz w:val="28"/>
          <w:szCs w:val="28"/>
        </w:rPr>
        <w:t>Наименьшее количество выделенных стафилококков наблюдалось в продукции готовой к употреблению – 8 из 153 изолятов (5,23%).</w:t>
      </w:r>
    </w:p>
    <w:p w:rsidR="00193E25" w:rsidRDefault="00193E25" w:rsidP="00193E25">
      <w:pPr>
        <w:rPr>
          <w:sz w:val="28"/>
          <w:szCs w:val="28"/>
        </w:rPr>
      </w:pPr>
    </w:p>
    <w:p w:rsidR="00193E25" w:rsidRDefault="005221BC" w:rsidP="009B02A7">
      <w:pPr>
        <w:jc w:val="center"/>
        <w:rPr>
          <w:sz w:val="28"/>
          <w:szCs w:val="28"/>
        </w:rPr>
      </w:pPr>
      <w:r w:rsidRPr="005221BC">
        <w:rPr>
          <w:noProof/>
          <w:sz w:val="28"/>
          <w:szCs w:val="28"/>
          <w:lang w:eastAsia="ru-RU"/>
        </w:rPr>
        <w:lastRenderedPageBreak/>
        <w:drawing>
          <wp:inline distT="0" distB="0" distL="0" distR="0" wp14:anchorId="33FA5296" wp14:editId="253F2527">
            <wp:extent cx="4007755" cy="2537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4078965" cy="2582546"/>
                    </a:xfrm>
                    <a:prstGeom prst="rect">
                      <a:avLst/>
                    </a:prstGeom>
                  </pic:spPr>
                </pic:pic>
              </a:graphicData>
            </a:graphic>
          </wp:inline>
        </w:drawing>
      </w:r>
    </w:p>
    <w:p w:rsidR="00193E25" w:rsidRPr="00193E25" w:rsidRDefault="00193E25" w:rsidP="009B02A7">
      <w:pPr>
        <w:jc w:val="center"/>
        <w:rPr>
          <w:sz w:val="28"/>
          <w:szCs w:val="28"/>
        </w:rPr>
      </w:pPr>
      <w:r w:rsidRPr="00193E25">
        <w:rPr>
          <w:sz w:val="28"/>
          <w:szCs w:val="28"/>
        </w:rPr>
        <w:t>Рисунок 14 – Видовое разнообразие стафилококков, выделенных из различной продукции животного происхождения</w:t>
      </w:r>
    </w:p>
    <w:p w:rsidR="00193E25" w:rsidRPr="00193E25" w:rsidRDefault="00193E25" w:rsidP="00193E25">
      <w:pPr>
        <w:rPr>
          <w:sz w:val="28"/>
          <w:szCs w:val="28"/>
        </w:rPr>
      </w:pPr>
    </w:p>
    <w:p w:rsidR="00193E25" w:rsidRPr="00193E25" w:rsidRDefault="00193E25" w:rsidP="009B02A7">
      <w:pPr>
        <w:ind w:firstLine="709"/>
        <w:rPr>
          <w:sz w:val="28"/>
          <w:szCs w:val="28"/>
        </w:rPr>
      </w:pPr>
      <w:r w:rsidRPr="00193E25">
        <w:rPr>
          <w:sz w:val="28"/>
          <w:szCs w:val="28"/>
        </w:rPr>
        <w:t xml:space="preserve">Полученные данные подчеркивают важность соблюдения санитарных норм и правил гигиены при производстве молочных продуктов, особенно в домашних условиях. Условно патогенные стафилококки считаются менее агрессивными по сравнению с </w:t>
      </w:r>
      <w:r w:rsidR="007A7888" w:rsidRPr="007A7888">
        <w:rPr>
          <w:i/>
          <w:sz w:val="28"/>
          <w:szCs w:val="28"/>
        </w:rPr>
        <w:t>S. aureus</w:t>
      </w:r>
      <w:r w:rsidRPr="00193E25">
        <w:rPr>
          <w:sz w:val="28"/>
          <w:szCs w:val="28"/>
        </w:rPr>
        <w:t>, но их присутствие может указывать на необходимость строгого соблюдения санитарных норм в производстве и обработке молочных продуктов. Кроме того, разнообразие видов может быть полезным для оценки состояния микрофлоры в процессе производства.</w:t>
      </w:r>
    </w:p>
    <w:p w:rsidR="00FE1507" w:rsidRDefault="00FE1507" w:rsidP="009B02A7">
      <w:pPr>
        <w:ind w:firstLine="709"/>
        <w:rPr>
          <w:b/>
          <w:sz w:val="28"/>
          <w:szCs w:val="28"/>
        </w:rPr>
      </w:pPr>
    </w:p>
    <w:p w:rsidR="00193E25" w:rsidRPr="00FE1507" w:rsidRDefault="00193E25" w:rsidP="009B02A7">
      <w:pPr>
        <w:ind w:firstLine="709"/>
        <w:rPr>
          <w:sz w:val="28"/>
          <w:szCs w:val="28"/>
        </w:rPr>
      </w:pPr>
      <w:r w:rsidRPr="00FE1507">
        <w:rPr>
          <w:sz w:val="28"/>
          <w:szCs w:val="28"/>
        </w:rPr>
        <w:t xml:space="preserve">3.1.2 Молекулярная идентификация </w:t>
      </w:r>
      <w:r w:rsidR="007A7888" w:rsidRPr="007A7888">
        <w:rPr>
          <w:i/>
          <w:sz w:val="28"/>
          <w:szCs w:val="28"/>
        </w:rPr>
        <w:t>S. aureus</w:t>
      </w:r>
      <w:r w:rsidRPr="00FE1507">
        <w:rPr>
          <w:sz w:val="28"/>
          <w:szCs w:val="28"/>
        </w:rPr>
        <w:t xml:space="preserve"> методом секвенирования генов 16S рРНК</w:t>
      </w:r>
    </w:p>
    <w:p w:rsidR="00193E25" w:rsidRPr="00193E25" w:rsidRDefault="00193E25" w:rsidP="009B02A7">
      <w:pPr>
        <w:ind w:firstLine="709"/>
        <w:rPr>
          <w:sz w:val="28"/>
          <w:szCs w:val="28"/>
        </w:rPr>
      </w:pPr>
      <w:r w:rsidRPr="00193E25">
        <w:rPr>
          <w:sz w:val="28"/>
          <w:szCs w:val="28"/>
        </w:rPr>
        <w:t xml:space="preserve">Для молекулярного подтверждения </w:t>
      </w:r>
      <w:r w:rsidR="007A7888" w:rsidRPr="007A7888">
        <w:rPr>
          <w:i/>
          <w:sz w:val="28"/>
          <w:szCs w:val="28"/>
        </w:rPr>
        <w:t>S. aureus</w:t>
      </w:r>
      <w:r w:rsidRPr="00193E25">
        <w:rPr>
          <w:sz w:val="28"/>
          <w:szCs w:val="28"/>
        </w:rPr>
        <w:t xml:space="preserve"> и определения групп близкородственных микроорганизмов, провели молекулярную идентификацию </w:t>
      </w:r>
      <w:r w:rsidR="007A7888" w:rsidRPr="007A7888">
        <w:rPr>
          <w:i/>
          <w:sz w:val="28"/>
          <w:szCs w:val="28"/>
        </w:rPr>
        <w:t>S. aureus</w:t>
      </w:r>
      <w:r w:rsidRPr="00193E25">
        <w:rPr>
          <w:sz w:val="28"/>
          <w:szCs w:val="28"/>
        </w:rPr>
        <w:t xml:space="preserve"> методом секвенирования генов 16S рРНК по Сэнгеру. В данном исследовании было проанализировано 8 изолятов </w:t>
      </w:r>
      <w:r w:rsidR="007A7888" w:rsidRPr="007A7888">
        <w:rPr>
          <w:i/>
          <w:sz w:val="28"/>
          <w:szCs w:val="28"/>
        </w:rPr>
        <w:t>S. aureus</w:t>
      </w:r>
      <w:r w:rsidRPr="00193E25">
        <w:rPr>
          <w:sz w:val="28"/>
          <w:szCs w:val="28"/>
        </w:rPr>
        <w:t>.</w:t>
      </w:r>
    </w:p>
    <w:p w:rsidR="00193E25" w:rsidRPr="00193E25" w:rsidRDefault="00193E25" w:rsidP="009B02A7">
      <w:pPr>
        <w:ind w:firstLine="709"/>
        <w:rPr>
          <w:sz w:val="28"/>
          <w:szCs w:val="28"/>
        </w:rPr>
      </w:pPr>
      <w:r w:rsidRPr="00193E25">
        <w:rPr>
          <w:sz w:val="28"/>
          <w:szCs w:val="28"/>
        </w:rPr>
        <w:t>По результатам проделанной работы, после реакции секвенирования и удаления концевых плохо прочитанных фрагментов, получены восемь частичных последовательностей генов 16S рРНК размером 655 пар нуклеотидов, а результаты молекулярно-генетического анализа позволили идентифицировать все последовательности как фрагменты гена 16SрРНК золотистого стафилококка. Результаты секвенирования были опубликованы в публичной базе данных GenBank, которая включает Европейскую нуклеотидную архиву (ENA) и базу данных DNA Data Bank of Japan (DDBJ) (таблица 5, рисунок 15-22).</w:t>
      </w:r>
    </w:p>
    <w:p w:rsidR="00193E25" w:rsidRPr="00193E25" w:rsidRDefault="00193E25" w:rsidP="00193E25">
      <w:pPr>
        <w:rPr>
          <w:sz w:val="28"/>
          <w:szCs w:val="28"/>
        </w:rPr>
      </w:pPr>
    </w:p>
    <w:p w:rsidR="00193E25" w:rsidRDefault="00193E25" w:rsidP="0077064C">
      <w:pPr>
        <w:jc w:val="left"/>
        <w:rPr>
          <w:sz w:val="28"/>
          <w:szCs w:val="28"/>
        </w:rPr>
      </w:pPr>
      <w:r w:rsidRPr="00193E25">
        <w:rPr>
          <w:sz w:val="28"/>
          <w:szCs w:val="28"/>
        </w:rPr>
        <w:t xml:space="preserve">Таблица 5 – Частичные последовательности генов 16S рРНК </w:t>
      </w:r>
      <w:r w:rsidR="007A7888" w:rsidRPr="007A7888">
        <w:rPr>
          <w:i/>
          <w:sz w:val="28"/>
          <w:szCs w:val="28"/>
        </w:rPr>
        <w:t>S. aureus</w:t>
      </w:r>
    </w:p>
    <w:tbl>
      <w:tblPr>
        <w:tblStyle w:val="11"/>
        <w:tblW w:w="5000" w:type="pct"/>
        <w:tblLook w:val="04A0" w:firstRow="1" w:lastRow="0" w:firstColumn="1" w:lastColumn="0" w:noHBand="0" w:noVBand="1"/>
      </w:tblPr>
      <w:tblGrid>
        <w:gridCol w:w="473"/>
        <w:gridCol w:w="7877"/>
        <w:gridCol w:w="1504"/>
      </w:tblGrid>
      <w:tr w:rsidR="00193E25" w:rsidRPr="009B02A7" w:rsidTr="009B02A7">
        <w:tc>
          <w:tcPr>
            <w:tcW w:w="240" w:type="pct"/>
          </w:tcPr>
          <w:p w:rsidR="00193E25" w:rsidRPr="009B02A7" w:rsidRDefault="00193E25" w:rsidP="00193E25">
            <w:pPr>
              <w:rPr>
                <w:szCs w:val="24"/>
              </w:rPr>
            </w:pPr>
            <w:r w:rsidRPr="009B02A7">
              <w:rPr>
                <w:szCs w:val="24"/>
              </w:rPr>
              <w:t>№</w:t>
            </w:r>
          </w:p>
        </w:tc>
        <w:tc>
          <w:tcPr>
            <w:tcW w:w="3997" w:type="pct"/>
          </w:tcPr>
          <w:p w:rsidR="00193E25" w:rsidRPr="009B02A7" w:rsidRDefault="00193E25" w:rsidP="00193E25">
            <w:pPr>
              <w:rPr>
                <w:szCs w:val="24"/>
              </w:rPr>
            </w:pPr>
            <w:r w:rsidRPr="009B02A7">
              <w:rPr>
                <w:szCs w:val="24"/>
              </w:rPr>
              <w:t>Наименование</w:t>
            </w:r>
          </w:p>
        </w:tc>
        <w:tc>
          <w:tcPr>
            <w:tcW w:w="763" w:type="pct"/>
          </w:tcPr>
          <w:p w:rsidR="00193E25" w:rsidRPr="009B02A7" w:rsidRDefault="00193E25" w:rsidP="00193E25">
            <w:pPr>
              <w:rPr>
                <w:szCs w:val="24"/>
              </w:rPr>
            </w:pPr>
            <w:r w:rsidRPr="009B02A7">
              <w:rPr>
                <w:szCs w:val="24"/>
              </w:rPr>
              <w:t>№ GenBank</w:t>
            </w:r>
          </w:p>
        </w:tc>
      </w:tr>
      <w:tr w:rsidR="00193E25" w:rsidRPr="009B02A7" w:rsidTr="009B02A7">
        <w:tc>
          <w:tcPr>
            <w:tcW w:w="240" w:type="pct"/>
          </w:tcPr>
          <w:p w:rsidR="00193E25" w:rsidRPr="009B02A7" w:rsidRDefault="00193E25" w:rsidP="00193E25">
            <w:pPr>
              <w:rPr>
                <w:szCs w:val="24"/>
              </w:rPr>
            </w:pPr>
            <w:r w:rsidRPr="009B02A7">
              <w:rPr>
                <w:szCs w:val="24"/>
              </w:rPr>
              <w:t>1</w:t>
            </w:r>
          </w:p>
        </w:tc>
        <w:tc>
          <w:tcPr>
            <w:tcW w:w="3997" w:type="pct"/>
          </w:tcPr>
          <w:p w:rsidR="00193E25" w:rsidRPr="009B02A7" w:rsidRDefault="00AE0408" w:rsidP="00193E25">
            <w:pPr>
              <w:rPr>
                <w:szCs w:val="24"/>
                <w:lang w:val="en-US"/>
              </w:rPr>
            </w:pPr>
            <w:r w:rsidRPr="009B02A7">
              <w:rPr>
                <w:i/>
                <w:szCs w:val="24"/>
                <w:lang w:val="en-US"/>
              </w:rPr>
              <w:t>Staphylococcus</w:t>
            </w:r>
            <w:r w:rsidR="00193E25" w:rsidRPr="009B02A7">
              <w:rPr>
                <w:szCs w:val="24"/>
                <w:lang w:val="en-US"/>
              </w:rPr>
              <w:t xml:space="preserve"> </w:t>
            </w:r>
            <w:r w:rsidRPr="009B02A7">
              <w:rPr>
                <w:i/>
                <w:szCs w:val="24"/>
                <w:lang w:val="en-US"/>
              </w:rPr>
              <w:t>aureus</w:t>
            </w:r>
            <w:r w:rsidR="00193E25" w:rsidRPr="009B02A7">
              <w:rPr>
                <w:szCs w:val="24"/>
                <w:lang w:val="en-US"/>
              </w:rPr>
              <w:t xml:space="preserve"> strain 1 16S ribosomal RNA gene, partial sequence</w:t>
            </w:r>
          </w:p>
        </w:tc>
        <w:tc>
          <w:tcPr>
            <w:tcW w:w="763" w:type="pct"/>
          </w:tcPr>
          <w:p w:rsidR="00193E25" w:rsidRPr="009B02A7" w:rsidRDefault="00193E25" w:rsidP="00193E25">
            <w:pPr>
              <w:rPr>
                <w:szCs w:val="24"/>
              </w:rPr>
            </w:pPr>
            <w:r w:rsidRPr="009B02A7">
              <w:rPr>
                <w:szCs w:val="24"/>
              </w:rPr>
              <w:t>PP845836.1</w:t>
            </w:r>
          </w:p>
        </w:tc>
      </w:tr>
      <w:tr w:rsidR="00193E25" w:rsidRPr="009B02A7" w:rsidTr="009B02A7">
        <w:tc>
          <w:tcPr>
            <w:tcW w:w="240" w:type="pct"/>
          </w:tcPr>
          <w:p w:rsidR="00193E25" w:rsidRPr="009B02A7" w:rsidRDefault="00193E25" w:rsidP="00193E25">
            <w:pPr>
              <w:rPr>
                <w:szCs w:val="24"/>
              </w:rPr>
            </w:pPr>
            <w:r w:rsidRPr="009B02A7">
              <w:rPr>
                <w:szCs w:val="24"/>
              </w:rPr>
              <w:t>2</w:t>
            </w:r>
          </w:p>
        </w:tc>
        <w:tc>
          <w:tcPr>
            <w:tcW w:w="3997" w:type="pct"/>
          </w:tcPr>
          <w:p w:rsidR="00193E25" w:rsidRPr="009B02A7" w:rsidRDefault="00AE0408" w:rsidP="00193E25">
            <w:pPr>
              <w:rPr>
                <w:szCs w:val="24"/>
                <w:lang w:val="en-US"/>
              </w:rPr>
            </w:pPr>
            <w:r w:rsidRPr="009B02A7">
              <w:rPr>
                <w:i/>
                <w:szCs w:val="24"/>
                <w:lang w:val="en-US"/>
              </w:rPr>
              <w:t>Staphylococcus</w:t>
            </w:r>
            <w:r w:rsidR="00193E25" w:rsidRPr="009B02A7">
              <w:rPr>
                <w:szCs w:val="24"/>
                <w:lang w:val="en-US"/>
              </w:rPr>
              <w:t xml:space="preserve"> </w:t>
            </w:r>
            <w:r w:rsidRPr="009B02A7">
              <w:rPr>
                <w:i/>
                <w:szCs w:val="24"/>
                <w:lang w:val="en-US"/>
              </w:rPr>
              <w:t>aureus</w:t>
            </w:r>
            <w:r w:rsidR="00193E25" w:rsidRPr="009B02A7">
              <w:rPr>
                <w:szCs w:val="24"/>
                <w:lang w:val="en-US"/>
              </w:rPr>
              <w:t xml:space="preserve"> strain 2 16S ribosomal RNA gene, partial sequence</w:t>
            </w:r>
          </w:p>
        </w:tc>
        <w:tc>
          <w:tcPr>
            <w:tcW w:w="763" w:type="pct"/>
          </w:tcPr>
          <w:p w:rsidR="00193E25" w:rsidRPr="009B02A7" w:rsidRDefault="00193E25" w:rsidP="00193E25">
            <w:pPr>
              <w:rPr>
                <w:szCs w:val="24"/>
              </w:rPr>
            </w:pPr>
            <w:r w:rsidRPr="009B02A7">
              <w:rPr>
                <w:szCs w:val="24"/>
              </w:rPr>
              <w:t>PP845837.1</w:t>
            </w:r>
          </w:p>
        </w:tc>
      </w:tr>
      <w:tr w:rsidR="00193E25" w:rsidRPr="009B02A7" w:rsidTr="009B02A7">
        <w:tc>
          <w:tcPr>
            <w:tcW w:w="240" w:type="pct"/>
          </w:tcPr>
          <w:p w:rsidR="00193E25" w:rsidRPr="009B02A7" w:rsidRDefault="00193E25" w:rsidP="00193E25">
            <w:pPr>
              <w:rPr>
                <w:szCs w:val="24"/>
              </w:rPr>
            </w:pPr>
            <w:r w:rsidRPr="009B02A7">
              <w:rPr>
                <w:szCs w:val="24"/>
              </w:rPr>
              <w:lastRenderedPageBreak/>
              <w:t>3</w:t>
            </w:r>
          </w:p>
        </w:tc>
        <w:tc>
          <w:tcPr>
            <w:tcW w:w="3997" w:type="pct"/>
          </w:tcPr>
          <w:p w:rsidR="00193E25" w:rsidRPr="009B02A7" w:rsidRDefault="00AE0408" w:rsidP="00193E25">
            <w:pPr>
              <w:rPr>
                <w:szCs w:val="24"/>
                <w:lang w:val="en-US"/>
              </w:rPr>
            </w:pPr>
            <w:r w:rsidRPr="009B02A7">
              <w:rPr>
                <w:i/>
                <w:szCs w:val="24"/>
                <w:lang w:val="en-US"/>
              </w:rPr>
              <w:t>Staphylococcus</w:t>
            </w:r>
            <w:r w:rsidR="00193E25" w:rsidRPr="009B02A7">
              <w:rPr>
                <w:szCs w:val="24"/>
                <w:lang w:val="en-US"/>
              </w:rPr>
              <w:t xml:space="preserve"> </w:t>
            </w:r>
            <w:r w:rsidRPr="009B02A7">
              <w:rPr>
                <w:i/>
                <w:szCs w:val="24"/>
                <w:lang w:val="en-US"/>
              </w:rPr>
              <w:t>aureus</w:t>
            </w:r>
            <w:r w:rsidR="00193E25" w:rsidRPr="009B02A7">
              <w:rPr>
                <w:szCs w:val="24"/>
                <w:lang w:val="en-US"/>
              </w:rPr>
              <w:t xml:space="preserve"> strain 3 16S ribosomal RNA gene, partial sequence</w:t>
            </w:r>
          </w:p>
        </w:tc>
        <w:tc>
          <w:tcPr>
            <w:tcW w:w="763" w:type="pct"/>
          </w:tcPr>
          <w:p w:rsidR="00193E25" w:rsidRPr="009B02A7" w:rsidRDefault="00193E25" w:rsidP="00193E25">
            <w:pPr>
              <w:rPr>
                <w:szCs w:val="24"/>
              </w:rPr>
            </w:pPr>
            <w:r w:rsidRPr="009B02A7">
              <w:rPr>
                <w:szCs w:val="24"/>
              </w:rPr>
              <w:t>PP845838.1</w:t>
            </w:r>
          </w:p>
        </w:tc>
      </w:tr>
      <w:tr w:rsidR="00193E25" w:rsidRPr="009B02A7" w:rsidTr="009B02A7">
        <w:tc>
          <w:tcPr>
            <w:tcW w:w="240" w:type="pct"/>
          </w:tcPr>
          <w:p w:rsidR="00193E25" w:rsidRPr="009B02A7" w:rsidRDefault="00193E25" w:rsidP="00193E25">
            <w:pPr>
              <w:rPr>
                <w:szCs w:val="24"/>
              </w:rPr>
            </w:pPr>
            <w:r w:rsidRPr="009B02A7">
              <w:rPr>
                <w:szCs w:val="24"/>
              </w:rPr>
              <w:t>4</w:t>
            </w:r>
          </w:p>
        </w:tc>
        <w:tc>
          <w:tcPr>
            <w:tcW w:w="3997" w:type="pct"/>
          </w:tcPr>
          <w:p w:rsidR="00193E25" w:rsidRPr="009B02A7" w:rsidRDefault="00AE0408" w:rsidP="00193E25">
            <w:pPr>
              <w:rPr>
                <w:szCs w:val="24"/>
                <w:lang w:val="en-US"/>
              </w:rPr>
            </w:pPr>
            <w:r w:rsidRPr="009B02A7">
              <w:rPr>
                <w:i/>
                <w:szCs w:val="24"/>
                <w:lang w:val="en-US"/>
              </w:rPr>
              <w:t>Staphylococcus</w:t>
            </w:r>
            <w:r w:rsidR="00193E25" w:rsidRPr="009B02A7">
              <w:rPr>
                <w:szCs w:val="24"/>
                <w:lang w:val="en-US"/>
              </w:rPr>
              <w:t xml:space="preserve"> </w:t>
            </w:r>
            <w:r w:rsidRPr="009B02A7">
              <w:rPr>
                <w:i/>
                <w:szCs w:val="24"/>
                <w:lang w:val="en-US"/>
              </w:rPr>
              <w:t>aureus</w:t>
            </w:r>
            <w:r w:rsidR="00193E25" w:rsidRPr="009B02A7">
              <w:rPr>
                <w:szCs w:val="24"/>
                <w:lang w:val="en-US"/>
              </w:rPr>
              <w:t xml:space="preserve"> strain 4 16S ribosomal RNA gene, partial sequence</w:t>
            </w:r>
          </w:p>
        </w:tc>
        <w:tc>
          <w:tcPr>
            <w:tcW w:w="763" w:type="pct"/>
          </w:tcPr>
          <w:p w:rsidR="00193E25" w:rsidRPr="009B02A7" w:rsidRDefault="00193E25" w:rsidP="00193E25">
            <w:pPr>
              <w:rPr>
                <w:szCs w:val="24"/>
              </w:rPr>
            </w:pPr>
            <w:r w:rsidRPr="009B02A7">
              <w:rPr>
                <w:szCs w:val="24"/>
              </w:rPr>
              <w:t>PP845839.1</w:t>
            </w:r>
          </w:p>
        </w:tc>
      </w:tr>
      <w:tr w:rsidR="00193E25" w:rsidRPr="009B02A7" w:rsidTr="009B02A7">
        <w:tc>
          <w:tcPr>
            <w:tcW w:w="240" w:type="pct"/>
          </w:tcPr>
          <w:p w:rsidR="00193E25" w:rsidRPr="009B02A7" w:rsidRDefault="00193E25" w:rsidP="00193E25">
            <w:pPr>
              <w:rPr>
                <w:szCs w:val="24"/>
              </w:rPr>
            </w:pPr>
            <w:r w:rsidRPr="009B02A7">
              <w:rPr>
                <w:szCs w:val="24"/>
              </w:rPr>
              <w:t>5</w:t>
            </w:r>
          </w:p>
        </w:tc>
        <w:tc>
          <w:tcPr>
            <w:tcW w:w="3997" w:type="pct"/>
          </w:tcPr>
          <w:p w:rsidR="00193E25" w:rsidRPr="009B02A7" w:rsidRDefault="00AE0408" w:rsidP="00193E25">
            <w:pPr>
              <w:rPr>
                <w:szCs w:val="24"/>
                <w:lang w:val="en-US"/>
              </w:rPr>
            </w:pPr>
            <w:r w:rsidRPr="009B02A7">
              <w:rPr>
                <w:i/>
                <w:szCs w:val="24"/>
                <w:lang w:val="en-US"/>
              </w:rPr>
              <w:t>Staphylococcus</w:t>
            </w:r>
            <w:r w:rsidR="00193E25" w:rsidRPr="009B02A7">
              <w:rPr>
                <w:szCs w:val="24"/>
                <w:lang w:val="en-US"/>
              </w:rPr>
              <w:t xml:space="preserve"> </w:t>
            </w:r>
            <w:r w:rsidRPr="009B02A7">
              <w:rPr>
                <w:i/>
                <w:szCs w:val="24"/>
                <w:lang w:val="en-US"/>
              </w:rPr>
              <w:t>aureus</w:t>
            </w:r>
            <w:r w:rsidR="00193E25" w:rsidRPr="009B02A7">
              <w:rPr>
                <w:szCs w:val="24"/>
                <w:lang w:val="en-US"/>
              </w:rPr>
              <w:t xml:space="preserve"> strain 5 16S ribosomal RNA gene, partial sequence</w:t>
            </w:r>
          </w:p>
        </w:tc>
        <w:tc>
          <w:tcPr>
            <w:tcW w:w="763" w:type="pct"/>
          </w:tcPr>
          <w:p w:rsidR="00193E25" w:rsidRPr="009B02A7" w:rsidRDefault="00193E25" w:rsidP="00193E25">
            <w:pPr>
              <w:rPr>
                <w:szCs w:val="24"/>
              </w:rPr>
            </w:pPr>
            <w:r w:rsidRPr="009B02A7">
              <w:rPr>
                <w:szCs w:val="24"/>
              </w:rPr>
              <w:t>PP845840.1</w:t>
            </w:r>
          </w:p>
        </w:tc>
      </w:tr>
      <w:tr w:rsidR="00193E25" w:rsidRPr="009B02A7" w:rsidTr="009B02A7">
        <w:tc>
          <w:tcPr>
            <w:tcW w:w="240" w:type="pct"/>
          </w:tcPr>
          <w:p w:rsidR="00193E25" w:rsidRPr="009B02A7" w:rsidRDefault="00193E25" w:rsidP="00193E25">
            <w:pPr>
              <w:rPr>
                <w:szCs w:val="24"/>
              </w:rPr>
            </w:pPr>
            <w:r w:rsidRPr="009B02A7">
              <w:rPr>
                <w:szCs w:val="24"/>
              </w:rPr>
              <w:t>6</w:t>
            </w:r>
          </w:p>
        </w:tc>
        <w:tc>
          <w:tcPr>
            <w:tcW w:w="3997" w:type="pct"/>
          </w:tcPr>
          <w:p w:rsidR="00193E25" w:rsidRPr="009B02A7" w:rsidRDefault="00AE0408" w:rsidP="00193E25">
            <w:pPr>
              <w:rPr>
                <w:szCs w:val="24"/>
                <w:lang w:val="en-US"/>
              </w:rPr>
            </w:pPr>
            <w:r w:rsidRPr="009B02A7">
              <w:rPr>
                <w:i/>
                <w:szCs w:val="24"/>
                <w:lang w:val="en-US"/>
              </w:rPr>
              <w:t>Staphylococcus</w:t>
            </w:r>
            <w:r w:rsidR="00193E25" w:rsidRPr="009B02A7">
              <w:rPr>
                <w:szCs w:val="24"/>
                <w:lang w:val="en-US"/>
              </w:rPr>
              <w:t xml:space="preserve"> </w:t>
            </w:r>
            <w:r w:rsidRPr="009B02A7">
              <w:rPr>
                <w:i/>
                <w:szCs w:val="24"/>
                <w:lang w:val="en-US"/>
              </w:rPr>
              <w:t>aureus</w:t>
            </w:r>
            <w:r w:rsidR="00193E25" w:rsidRPr="009B02A7">
              <w:rPr>
                <w:szCs w:val="24"/>
                <w:lang w:val="en-US"/>
              </w:rPr>
              <w:t xml:space="preserve"> strain 6 16S ribosomal RNA gene, partial sequence</w:t>
            </w:r>
          </w:p>
        </w:tc>
        <w:tc>
          <w:tcPr>
            <w:tcW w:w="763" w:type="pct"/>
          </w:tcPr>
          <w:p w:rsidR="00193E25" w:rsidRPr="009B02A7" w:rsidRDefault="00193E25" w:rsidP="00193E25">
            <w:pPr>
              <w:rPr>
                <w:szCs w:val="24"/>
              </w:rPr>
            </w:pPr>
            <w:r w:rsidRPr="009B02A7">
              <w:rPr>
                <w:szCs w:val="24"/>
              </w:rPr>
              <w:t>PP845841.1</w:t>
            </w:r>
          </w:p>
        </w:tc>
      </w:tr>
      <w:tr w:rsidR="00193E25" w:rsidRPr="009B02A7" w:rsidTr="009B02A7">
        <w:tc>
          <w:tcPr>
            <w:tcW w:w="240" w:type="pct"/>
          </w:tcPr>
          <w:p w:rsidR="00193E25" w:rsidRPr="009B02A7" w:rsidRDefault="00193E25" w:rsidP="00193E25">
            <w:pPr>
              <w:rPr>
                <w:szCs w:val="24"/>
              </w:rPr>
            </w:pPr>
            <w:r w:rsidRPr="009B02A7">
              <w:rPr>
                <w:szCs w:val="24"/>
              </w:rPr>
              <w:t>7</w:t>
            </w:r>
          </w:p>
        </w:tc>
        <w:tc>
          <w:tcPr>
            <w:tcW w:w="3997" w:type="pct"/>
          </w:tcPr>
          <w:p w:rsidR="00193E25" w:rsidRPr="009B02A7" w:rsidRDefault="00AE0408" w:rsidP="00193E25">
            <w:pPr>
              <w:rPr>
                <w:szCs w:val="24"/>
                <w:lang w:val="en-US"/>
              </w:rPr>
            </w:pPr>
            <w:r w:rsidRPr="009B02A7">
              <w:rPr>
                <w:i/>
                <w:szCs w:val="24"/>
                <w:lang w:val="en-US"/>
              </w:rPr>
              <w:t>Staphylococcus</w:t>
            </w:r>
            <w:r w:rsidR="00193E25" w:rsidRPr="009B02A7">
              <w:rPr>
                <w:szCs w:val="24"/>
                <w:lang w:val="en-US"/>
              </w:rPr>
              <w:t xml:space="preserve"> </w:t>
            </w:r>
            <w:r w:rsidRPr="009B02A7">
              <w:rPr>
                <w:i/>
                <w:szCs w:val="24"/>
                <w:lang w:val="en-US"/>
              </w:rPr>
              <w:t>aureus</w:t>
            </w:r>
            <w:r w:rsidR="00193E25" w:rsidRPr="009B02A7">
              <w:rPr>
                <w:szCs w:val="24"/>
                <w:lang w:val="en-US"/>
              </w:rPr>
              <w:t xml:space="preserve"> strain 7 16S ribosomal RNA gene, partial sequence</w:t>
            </w:r>
          </w:p>
        </w:tc>
        <w:tc>
          <w:tcPr>
            <w:tcW w:w="763" w:type="pct"/>
          </w:tcPr>
          <w:p w:rsidR="00193E25" w:rsidRPr="009B02A7" w:rsidRDefault="00193E25" w:rsidP="00193E25">
            <w:pPr>
              <w:rPr>
                <w:szCs w:val="24"/>
              </w:rPr>
            </w:pPr>
            <w:r w:rsidRPr="009B02A7">
              <w:rPr>
                <w:szCs w:val="24"/>
              </w:rPr>
              <w:t>PP845842.1</w:t>
            </w:r>
          </w:p>
        </w:tc>
      </w:tr>
      <w:tr w:rsidR="00193E25" w:rsidRPr="009B02A7" w:rsidTr="009B02A7">
        <w:tc>
          <w:tcPr>
            <w:tcW w:w="240" w:type="pct"/>
          </w:tcPr>
          <w:p w:rsidR="00193E25" w:rsidRPr="009B02A7" w:rsidRDefault="00193E25" w:rsidP="00193E25">
            <w:pPr>
              <w:rPr>
                <w:szCs w:val="24"/>
              </w:rPr>
            </w:pPr>
            <w:r w:rsidRPr="009B02A7">
              <w:rPr>
                <w:szCs w:val="24"/>
              </w:rPr>
              <w:t>8</w:t>
            </w:r>
          </w:p>
        </w:tc>
        <w:tc>
          <w:tcPr>
            <w:tcW w:w="3997" w:type="pct"/>
          </w:tcPr>
          <w:p w:rsidR="00193E25" w:rsidRPr="009B02A7" w:rsidRDefault="00AE0408" w:rsidP="00193E25">
            <w:pPr>
              <w:rPr>
                <w:szCs w:val="24"/>
                <w:lang w:val="en-US"/>
              </w:rPr>
            </w:pPr>
            <w:r w:rsidRPr="009B02A7">
              <w:rPr>
                <w:i/>
                <w:szCs w:val="24"/>
                <w:lang w:val="en-US"/>
              </w:rPr>
              <w:t>Staphylococcus</w:t>
            </w:r>
            <w:r w:rsidR="00193E25" w:rsidRPr="009B02A7">
              <w:rPr>
                <w:szCs w:val="24"/>
                <w:lang w:val="en-US"/>
              </w:rPr>
              <w:t xml:space="preserve"> </w:t>
            </w:r>
            <w:r w:rsidRPr="009B02A7">
              <w:rPr>
                <w:i/>
                <w:szCs w:val="24"/>
                <w:lang w:val="en-US"/>
              </w:rPr>
              <w:t>aureus</w:t>
            </w:r>
            <w:r w:rsidR="00193E25" w:rsidRPr="009B02A7">
              <w:rPr>
                <w:szCs w:val="24"/>
                <w:lang w:val="en-US"/>
              </w:rPr>
              <w:t xml:space="preserve"> strain 8 16S ribosomal RNA gene, partial sequence</w:t>
            </w:r>
          </w:p>
        </w:tc>
        <w:tc>
          <w:tcPr>
            <w:tcW w:w="763" w:type="pct"/>
          </w:tcPr>
          <w:p w:rsidR="00193E25" w:rsidRPr="009B02A7" w:rsidRDefault="00193E25" w:rsidP="00193E25">
            <w:pPr>
              <w:rPr>
                <w:szCs w:val="24"/>
              </w:rPr>
            </w:pPr>
            <w:r w:rsidRPr="009B02A7">
              <w:rPr>
                <w:szCs w:val="24"/>
              </w:rPr>
              <w:t>PP845843.1</w:t>
            </w:r>
          </w:p>
        </w:tc>
      </w:tr>
    </w:tbl>
    <w:p w:rsidR="00193E25" w:rsidRPr="00BA623E" w:rsidRDefault="00193E25" w:rsidP="00BA623E">
      <w:pPr>
        <w:rPr>
          <w:sz w:val="28"/>
          <w:szCs w:val="28"/>
        </w:rPr>
      </w:pPr>
    </w:p>
    <w:p w:rsidR="00BA623E" w:rsidRPr="00BA623E" w:rsidRDefault="00BA623E" w:rsidP="009B02A7">
      <w:pPr>
        <w:jc w:val="center"/>
        <w:rPr>
          <w:sz w:val="28"/>
          <w:szCs w:val="28"/>
        </w:rPr>
      </w:pPr>
      <w:r w:rsidRPr="00BA623E">
        <w:rPr>
          <w:noProof/>
          <w:sz w:val="28"/>
          <w:szCs w:val="28"/>
          <w:lang w:eastAsia="ru-RU"/>
        </w:rPr>
        <w:drawing>
          <wp:inline distT="0" distB="0" distL="0" distR="0" wp14:anchorId="028108C9" wp14:editId="2B3AC2AA">
            <wp:extent cx="3976255" cy="1554306"/>
            <wp:effectExtent l="0" t="0" r="5715" b="8255"/>
            <wp:docPr id="38" name="Рисунок 38" descr="C:\Users\User\Моноблок\Байменов\2025 год\докторантура\материалы и методы\Рисунки\Рисунок 34 – Ген 16S рибосомальной РНК штамма 1 S. aureus, частичная последователь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Моноблок\Байменов\2025 год\докторантура\материалы и методы\Рисунки\Рисунок 34 – Ген 16S рибосомальной РНК штамма 1 S. aureus, частичная последовательность.tiff"/>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166827" cy="1628800"/>
                    </a:xfrm>
                    <a:prstGeom prst="rect">
                      <a:avLst/>
                    </a:prstGeom>
                    <a:noFill/>
                    <a:ln>
                      <a:noFill/>
                    </a:ln>
                  </pic:spPr>
                </pic:pic>
              </a:graphicData>
            </a:graphic>
          </wp:inline>
        </w:drawing>
      </w:r>
    </w:p>
    <w:p w:rsidR="00BA623E" w:rsidRPr="00BA623E" w:rsidRDefault="00BA623E" w:rsidP="009B02A7">
      <w:pPr>
        <w:jc w:val="center"/>
        <w:rPr>
          <w:sz w:val="28"/>
          <w:szCs w:val="28"/>
        </w:rPr>
      </w:pPr>
      <w:r w:rsidRPr="00BA623E">
        <w:rPr>
          <w:sz w:val="28"/>
          <w:szCs w:val="28"/>
        </w:rPr>
        <w:t xml:space="preserve">Рисунок 15 – Ген 16S рибосомальной РНК штамма 1 </w:t>
      </w:r>
      <w:r w:rsidR="007A7888" w:rsidRPr="007A7888">
        <w:rPr>
          <w:i/>
          <w:sz w:val="28"/>
          <w:szCs w:val="28"/>
        </w:rPr>
        <w:t>S. aureus</w:t>
      </w:r>
      <w:r w:rsidRPr="00BA623E">
        <w:rPr>
          <w:sz w:val="28"/>
          <w:szCs w:val="28"/>
        </w:rPr>
        <w:t>, частичная последовательность</w:t>
      </w:r>
    </w:p>
    <w:p w:rsidR="00BA623E" w:rsidRPr="00BA623E" w:rsidRDefault="00BA623E" w:rsidP="00453C72">
      <w:pPr>
        <w:jc w:val="center"/>
        <w:rPr>
          <w:sz w:val="28"/>
          <w:szCs w:val="28"/>
        </w:rPr>
      </w:pPr>
    </w:p>
    <w:p w:rsidR="00BA623E" w:rsidRPr="00BA623E" w:rsidRDefault="00BA623E" w:rsidP="00453C72">
      <w:pPr>
        <w:jc w:val="center"/>
        <w:rPr>
          <w:sz w:val="28"/>
          <w:szCs w:val="28"/>
        </w:rPr>
      </w:pPr>
      <w:r w:rsidRPr="00BA623E">
        <w:rPr>
          <w:noProof/>
          <w:sz w:val="28"/>
          <w:szCs w:val="28"/>
          <w:lang w:eastAsia="ru-RU"/>
        </w:rPr>
        <w:drawing>
          <wp:inline distT="0" distB="0" distL="0" distR="0" wp14:anchorId="084ABDB8" wp14:editId="365CEAAD">
            <wp:extent cx="3997036" cy="1553808"/>
            <wp:effectExtent l="0" t="0" r="3810" b="8890"/>
            <wp:docPr id="39" name="Рисунок 39" descr="C:\Users\User\Моноблок\Байменов\2025 год\докторантура\материалы и методы\Рисунки\Рисунок 35 – Ген 16S рибосомальной РНК штамма 2 S. aureus, частичная последователь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Моноблок\Байменов\2025 год\докторантура\материалы и методы\Рисунки\Рисунок 35 – Ген 16S рибосомальной РНК штамма 2 S. aureus, частичная последовательность.tiff"/>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088495" cy="1589362"/>
                    </a:xfrm>
                    <a:prstGeom prst="rect">
                      <a:avLst/>
                    </a:prstGeom>
                    <a:noFill/>
                    <a:ln>
                      <a:noFill/>
                    </a:ln>
                  </pic:spPr>
                </pic:pic>
              </a:graphicData>
            </a:graphic>
          </wp:inline>
        </w:drawing>
      </w:r>
    </w:p>
    <w:p w:rsidR="00BA623E" w:rsidRPr="00BA623E" w:rsidRDefault="00BA623E" w:rsidP="00453C72">
      <w:pPr>
        <w:jc w:val="center"/>
        <w:rPr>
          <w:sz w:val="28"/>
          <w:szCs w:val="28"/>
        </w:rPr>
      </w:pPr>
      <w:r w:rsidRPr="00BA623E">
        <w:rPr>
          <w:sz w:val="28"/>
          <w:szCs w:val="28"/>
        </w:rPr>
        <w:t xml:space="preserve">Рисунок 16 – Ген 16S рибосомальной РНК штамма 2 </w:t>
      </w:r>
      <w:r w:rsidR="007A7888" w:rsidRPr="007A7888">
        <w:rPr>
          <w:i/>
          <w:sz w:val="28"/>
          <w:szCs w:val="28"/>
        </w:rPr>
        <w:t>S. aureus</w:t>
      </w:r>
      <w:r w:rsidRPr="00BA623E">
        <w:rPr>
          <w:sz w:val="28"/>
          <w:szCs w:val="28"/>
        </w:rPr>
        <w:t>, частичная последовательность</w:t>
      </w:r>
    </w:p>
    <w:p w:rsidR="00BA623E" w:rsidRPr="00BA623E" w:rsidRDefault="00BA623E" w:rsidP="00453C72">
      <w:pPr>
        <w:jc w:val="center"/>
        <w:rPr>
          <w:sz w:val="28"/>
          <w:szCs w:val="28"/>
        </w:rPr>
      </w:pPr>
    </w:p>
    <w:p w:rsidR="00BA623E" w:rsidRPr="00BA623E" w:rsidRDefault="00BA623E" w:rsidP="00453C72">
      <w:pPr>
        <w:jc w:val="center"/>
        <w:rPr>
          <w:sz w:val="28"/>
          <w:szCs w:val="28"/>
        </w:rPr>
      </w:pPr>
      <w:r w:rsidRPr="00BA623E">
        <w:rPr>
          <w:noProof/>
          <w:sz w:val="28"/>
          <w:szCs w:val="28"/>
          <w:lang w:eastAsia="ru-RU"/>
        </w:rPr>
        <w:drawing>
          <wp:inline distT="0" distB="0" distL="0" distR="0" wp14:anchorId="25A3B67B" wp14:editId="149C590A">
            <wp:extent cx="3983182" cy="1550500"/>
            <wp:effectExtent l="0" t="0" r="0" b="0"/>
            <wp:docPr id="42" name="Рисунок 42" descr="C:\Users\User\Моноблок\Байменов\2025 год\докторантура\материалы и методы\Рисунки\Рисунок 36 – Ген 16S рибосомальной РНК штамма 3 S. aureus, частичная последователь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Моноблок\Байменов\2025 год\докторантура\материалы и методы\Рисунки\Рисунок 36 – Ген 16S рибосомальной РНК штамма 3 S. aureus, частичная последовательность.tiff"/>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4033058" cy="1569915"/>
                    </a:xfrm>
                    <a:prstGeom prst="rect">
                      <a:avLst/>
                    </a:prstGeom>
                    <a:noFill/>
                    <a:ln>
                      <a:noFill/>
                    </a:ln>
                  </pic:spPr>
                </pic:pic>
              </a:graphicData>
            </a:graphic>
          </wp:inline>
        </w:drawing>
      </w:r>
    </w:p>
    <w:p w:rsidR="00BA623E" w:rsidRPr="00BA623E" w:rsidRDefault="00BA623E" w:rsidP="00453C72">
      <w:pPr>
        <w:jc w:val="center"/>
        <w:rPr>
          <w:sz w:val="28"/>
          <w:szCs w:val="28"/>
        </w:rPr>
      </w:pPr>
      <w:r w:rsidRPr="00BA623E">
        <w:rPr>
          <w:sz w:val="28"/>
          <w:szCs w:val="28"/>
        </w:rPr>
        <w:t xml:space="preserve">Рисунок 17 – Ген 16S рибосомальной РНК штамма 3 </w:t>
      </w:r>
      <w:r w:rsidR="007A7888" w:rsidRPr="007A7888">
        <w:rPr>
          <w:i/>
          <w:sz w:val="28"/>
          <w:szCs w:val="28"/>
        </w:rPr>
        <w:t>S. aureus</w:t>
      </w:r>
      <w:r w:rsidRPr="00BA623E">
        <w:rPr>
          <w:sz w:val="28"/>
          <w:szCs w:val="28"/>
        </w:rPr>
        <w:t>, частичная последовательность</w:t>
      </w:r>
    </w:p>
    <w:p w:rsidR="00BA623E" w:rsidRPr="00BA623E" w:rsidRDefault="00BA623E" w:rsidP="00453C72">
      <w:pPr>
        <w:jc w:val="center"/>
        <w:rPr>
          <w:sz w:val="28"/>
          <w:szCs w:val="28"/>
        </w:rPr>
      </w:pPr>
    </w:p>
    <w:p w:rsidR="00BA623E" w:rsidRPr="00BA623E" w:rsidRDefault="00BA623E" w:rsidP="00453C72">
      <w:pPr>
        <w:jc w:val="center"/>
        <w:rPr>
          <w:sz w:val="28"/>
          <w:szCs w:val="28"/>
        </w:rPr>
      </w:pPr>
      <w:r w:rsidRPr="00BA623E">
        <w:rPr>
          <w:noProof/>
          <w:sz w:val="28"/>
          <w:szCs w:val="28"/>
          <w:lang w:eastAsia="ru-RU"/>
        </w:rPr>
        <w:lastRenderedPageBreak/>
        <w:drawing>
          <wp:inline distT="0" distB="0" distL="0" distR="0" wp14:anchorId="4D108BA1" wp14:editId="0EC985C5">
            <wp:extent cx="3948546" cy="1547618"/>
            <wp:effectExtent l="0" t="0" r="0" b="0"/>
            <wp:docPr id="43" name="Рисунок 43" descr="C:\Users\User\Моноблок\Байменов\2025 год\докторантура\материалы и методы\Рисунки\Рисунок 37 – Ген 16S рибосомальной РНК штамма 4 S. aureus, частичная последователь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Моноблок\Байменов\2025 год\докторантура\материалы и методы\Рисунки\Рисунок 37 – Ген 16S рибосомальной РНК штамма 4 S. aureus, частичная последовательность.tiff"/>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977113" cy="1558815"/>
                    </a:xfrm>
                    <a:prstGeom prst="rect">
                      <a:avLst/>
                    </a:prstGeom>
                    <a:noFill/>
                    <a:ln>
                      <a:noFill/>
                    </a:ln>
                  </pic:spPr>
                </pic:pic>
              </a:graphicData>
            </a:graphic>
          </wp:inline>
        </w:drawing>
      </w:r>
    </w:p>
    <w:p w:rsidR="00BA623E" w:rsidRPr="00BA623E" w:rsidRDefault="00BA623E" w:rsidP="00453C72">
      <w:pPr>
        <w:jc w:val="center"/>
        <w:rPr>
          <w:sz w:val="28"/>
          <w:szCs w:val="28"/>
        </w:rPr>
      </w:pPr>
      <w:r w:rsidRPr="00BA623E">
        <w:rPr>
          <w:sz w:val="28"/>
          <w:szCs w:val="28"/>
        </w:rPr>
        <w:t xml:space="preserve">Рисунок 18 – Ген 16S рибосомальной РНК штамма 4 </w:t>
      </w:r>
      <w:r w:rsidR="007A7888" w:rsidRPr="007A7888">
        <w:rPr>
          <w:i/>
          <w:sz w:val="28"/>
          <w:szCs w:val="28"/>
        </w:rPr>
        <w:t>S. aureus</w:t>
      </w:r>
      <w:r w:rsidRPr="00BA623E">
        <w:rPr>
          <w:sz w:val="28"/>
          <w:szCs w:val="28"/>
        </w:rPr>
        <w:t>, частичная последовательность</w:t>
      </w:r>
    </w:p>
    <w:p w:rsidR="00BA623E" w:rsidRPr="00BA623E" w:rsidRDefault="00BA623E" w:rsidP="00453C72">
      <w:pPr>
        <w:jc w:val="center"/>
        <w:rPr>
          <w:sz w:val="28"/>
          <w:szCs w:val="28"/>
        </w:rPr>
      </w:pPr>
    </w:p>
    <w:p w:rsidR="00BA623E" w:rsidRPr="00BA623E" w:rsidRDefault="00BA623E" w:rsidP="00453C72">
      <w:pPr>
        <w:jc w:val="center"/>
        <w:rPr>
          <w:sz w:val="28"/>
          <w:szCs w:val="28"/>
        </w:rPr>
      </w:pPr>
      <w:r w:rsidRPr="00BA623E">
        <w:rPr>
          <w:noProof/>
          <w:sz w:val="28"/>
          <w:szCs w:val="28"/>
          <w:lang w:eastAsia="ru-RU"/>
        </w:rPr>
        <w:drawing>
          <wp:inline distT="0" distB="0" distL="0" distR="0" wp14:anchorId="641D87B8" wp14:editId="5BEC7DAD">
            <wp:extent cx="3962400" cy="1551896"/>
            <wp:effectExtent l="0" t="0" r="0" b="0"/>
            <wp:docPr id="44" name="Рисунок 44" descr="C:\Users\User\Моноблок\Байменов\2025 год\докторантура\материалы и методы\Рисунки\Рисунок 38 – Ген 16S рибосомальной РНК штамма 5 S. aureus, частичная последователь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Моноблок\Байменов\2025 год\докторантура\материалы и методы\Рисунки\Рисунок 38 – Ген 16S рибосомальной РНК штамма 5 S. aureus, частичная последовательность.tiff"/>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022698" cy="1575512"/>
                    </a:xfrm>
                    <a:prstGeom prst="rect">
                      <a:avLst/>
                    </a:prstGeom>
                    <a:noFill/>
                    <a:ln>
                      <a:noFill/>
                    </a:ln>
                  </pic:spPr>
                </pic:pic>
              </a:graphicData>
            </a:graphic>
          </wp:inline>
        </w:drawing>
      </w:r>
    </w:p>
    <w:p w:rsidR="00BA623E" w:rsidRPr="00BA623E" w:rsidRDefault="00BA623E" w:rsidP="00453C72">
      <w:pPr>
        <w:jc w:val="center"/>
        <w:rPr>
          <w:sz w:val="28"/>
          <w:szCs w:val="28"/>
        </w:rPr>
      </w:pPr>
      <w:r w:rsidRPr="00BA623E">
        <w:rPr>
          <w:sz w:val="28"/>
          <w:szCs w:val="28"/>
        </w:rPr>
        <w:t xml:space="preserve">Рисунок 19 – Ген 16S рибосомальной РНК штамма 5 </w:t>
      </w:r>
      <w:r w:rsidR="007A7888" w:rsidRPr="007A7888">
        <w:rPr>
          <w:i/>
          <w:sz w:val="28"/>
          <w:szCs w:val="28"/>
        </w:rPr>
        <w:t>S. aureus</w:t>
      </w:r>
      <w:r w:rsidRPr="00BA623E">
        <w:rPr>
          <w:sz w:val="28"/>
          <w:szCs w:val="28"/>
        </w:rPr>
        <w:t>, частичная последовательность</w:t>
      </w:r>
    </w:p>
    <w:p w:rsidR="00BA623E" w:rsidRPr="00BA623E" w:rsidRDefault="00BA623E" w:rsidP="00453C72">
      <w:pPr>
        <w:jc w:val="center"/>
        <w:rPr>
          <w:sz w:val="28"/>
          <w:szCs w:val="28"/>
        </w:rPr>
      </w:pPr>
    </w:p>
    <w:p w:rsidR="00BA623E" w:rsidRPr="00BA623E" w:rsidRDefault="00BA623E" w:rsidP="00453C72">
      <w:pPr>
        <w:jc w:val="center"/>
        <w:rPr>
          <w:sz w:val="28"/>
          <w:szCs w:val="28"/>
        </w:rPr>
      </w:pPr>
      <w:r w:rsidRPr="00BA623E">
        <w:rPr>
          <w:noProof/>
          <w:sz w:val="28"/>
          <w:szCs w:val="28"/>
          <w:lang w:eastAsia="ru-RU"/>
        </w:rPr>
        <w:drawing>
          <wp:inline distT="0" distB="0" distL="0" distR="0" wp14:anchorId="1A9E3BE7" wp14:editId="436CCF88">
            <wp:extent cx="3976255" cy="1545729"/>
            <wp:effectExtent l="0" t="0" r="5715" b="0"/>
            <wp:docPr id="46" name="Рисунок 46" descr="C:\Users\User\Моноблок\Байменов\2025 год\докторантура\материалы и методы\Рисунки\Рисунок 39 – Ген 16S рибосомальной РНК штамма 6 S. aureus, частичная последователь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Моноблок\Байменов\2025 год\докторантура\материалы и методы\Рисунки\Рисунок 39 – Ген 16S рибосомальной РНК штамма 6 S. aureus, частичная последовательность.tiff"/>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025648" cy="1564930"/>
                    </a:xfrm>
                    <a:prstGeom prst="rect">
                      <a:avLst/>
                    </a:prstGeom>
                    <a:noFill/>
                    <a:ln>
                      <a:noFill/>
                    </a:ln>
                  </pic:spPr>
                </pic:pic>
              </a:graphicData>
            </a:graphic>
          </wp:inline>
        </w:drawing>
      </w:r>
    </w:p>
    <w:p w:rsidR="00BA623E" w:rsidRPr="00BA623E" w:rsidRDefault="00BA623E" w:rsidP="00453C72">
      <w:pPr>
        <w:jc w:val="center"/>
        <w:rPr>
          <w:sz w:val="28"/>
          <w:szCs w:val="28"/>
        </w:rPr>
      </w:pPr>
      <w:r w:rsidRPr="00BA623E">
        <w:rPr>
          <w:sz w:val="28"/>
          <w:szCs w:val="28"/>
        </w:rPr>
        <w:t xml:space="preserve">Рисунок 20 – Ген 16S рибосомальной РНК штамма 6 </w:t>
      </w:r>
      <w:r w:rsidR="007A7888" w:rsidRPr="007A7888">
        <w:rPr>
          <w:i/>
          <w:sz w:val="28"/>
          <w:szCs w:val="28"/>
        </w:rPr>
        <w:t>S. aureus</w:t>
      </w:r>
      <w:r w:rsidRPr="00BA623E">
        <w:rPr>
          <w:sz w:val="28"/>
          <w:szCs w:val="28"/>
        </w:rPr>
        <w:t>, частичная последовательность</w:t>
      </w:r>
    </w:p>
    <w:p w:rsidR="00BA623E" w:rsidRPr="00BA623E" w:rsidRDefault="00BA623E" w:rsidP="00453C72">
      <w:pPr>
        <w:jc w:val="center"/>
        <w:rPr>
          <w:sz w:val="28"/>
          <w:szCs w:val="28"/>
        </w:rPr>
      </w:pPr>
    </w:p>
    <w:p w:rsidR="00BA623E" w:rsidRPr="00BA623E" w:rsidRDefault="00BA623E" w:rsidP="00453C72">
      <w:pPr>
        <w:jc w:val="center"/>
        <w:rPr>
          <w:sz w:val="28"/>
          <w:szCs w:val="28"/>
        </w:rPr>
      </w:pPr>
      <w:r w:rsidRPr="00BA623E">
        <w:rPr>
          <w:noProof/>
          <w:sz w:val="28"/>
          <w:szCs w:val="28"/>
          <w:lang w:eastAsia="ru-RU"/>
        </w:rPr>
        <w:drawing>
          <wp:inline distT="0" distB="0" distL="0" distR="0" wp14:anchorId="40625A3D" wp14:editId="182CBB17">
            <wp:extent cx="3955473" cy="1521744"/>
            <wp:effectExtent l="0" t="0" r="6985" b="2540"/>
            <wp:docPr id="51" name="Рисунок 51" descr="C:\Users\User\Моноблок\Байменов\2025 год\докторантура\материалы и методы\Рисунки\Рисунок 40 – Ген 16S рибосомальной РНК штамма 7 S. aureus, частичная последователь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Моноблок\Байменов\2025 год\докторантура\материалы и методы\Рисунки\Рисунок 40 – Ген 16S рибосомальной РНК штамма 7 S. aureus, частичная последовательность.tiff"/>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4003673" cy="1540287"/>
                    </a:xfrm>
                    <a:prstGeom prst="rect">
                      <a:avLst/>
                    </a:prstGeom>
                    <a:noFill/>
                    <a:ln>
                      <a:noFill/>
                    </a:ln>
                  </pic:spPr>
                </pic:pic>
              </a:graphicData>
            </a:graphic>
          </wp:inline>
        </w:drawing>
      </w:r>
    </w:p>
    <w:p w:rsidR="00BA623E" w:rsidRPr="00BA623E" w:rsidRDefault="00BA623E" w:rsidP="00453C72">
      <w:pPr>
        <w:jc w:val="center"/>
        <w:rPr>
          <w:sz w:val="28"/>
          <w:szCs w:val="28"/>
        </w:rPr>
      </w:pPr>
      <w:r w:rsidRPr="00BA623E">
        <w:rPr>
          <w:sz w:val="28"/>
          <w:szCs w:val="28"/>
        </w:rPr>
        <w:t xml:space="preserve">Рисунок 21 – Ген 16S рибосомальной РНК штамма 7 </w:t>
      </w:r>
      <w:r w:rsidR="007A7888" w:rsidRPr="007A7888">
        <w:rPr>
          <w:i/>
          <w:sz w:val="28"/>
          <w:szCs w:val="28"/>
        </w:rPr>
        <w:t>S. aureus</w:t>
      </w:r>
      <w:r w:rsidRPr="00BA623E">
        <w:rPr>
          <w:sz w:val="28"/>
          <w:szCs w:val="28"/>
        </w:rPr>
        <w:t>, частичная последовательность</w:t>
      </w:r>
    </w:p>
    <w:p w:rsidR="00BA623E" w:rsidRPr="00BA623E" w:rsidRDefault="00BA623E" w:rsidP="00453C72">
      <w:pPr>
        <w:jc w:val="center"/>
        <w:rPr>
          <w:sz w:val="28"/>
          <w:szCs w:val="28"/>
        </w:rPr>
      </w:pPr>
    </w:p>
    <w:p w:rsidR="00BA623E" w:rsidRPr="00BA623E" w:rsidRDefault="00BA623E" w:rsidP="00453C72">
      <w:pPr>
        <w:jc w:val="center"/>
        <w:rPr>
          <w:sz w:val="28"/>
          <w:szCs w:val="28"/>
        </w:rPr>
      </w:pPr>
      <w:r w:rsidRPr="00BA623E">
        <w:rPr>
          <w:noProof/>
          <w:sz w:val="28"/>
          <w:szCs w:val="28"/>
          <w:lang w:eastAsia="ru-RU"/>
        </w:rPr>
        <w:lastRenderedPageBreak/>
        <w:drawing>
          <wp:inline distT="0" distB="0" distL="0" distR="0" wp14:anchorId="07122E89" wp14:editId="5F8FF4B1">
            <wp:extent cx="3983182" cy="1555847"/>
            <wp:effectExtent l="0" t="0" r="0" b="6350"/>
            <wp:docPr id="53" name="Рисунок 53" descr="C:\Users\User\Моноблок\Байменов\2025 год\докторантура\материалы и методы\Рисунки\Рисунок 41 – Ген 16S рибосомальной РНК штамма 8 S. aureus, частичная последовательность.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Моноблок\Байменов\2025 год\докторантура\материалы и методы\Рисунки\Рисунок 41 – Ген 16S рибосомальной РНК штамма 8 S. aureus, частичная последовательность.tiff"/>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023726" cy="1571684"/>
                    </a:xfrm>
                    <a:prstGeom prst="rect">
                      <a:avLst/>
                    </a:prstGeom>
                    <a:noFill/>
                    <a:ln>
                      <a:noFill/>
                    </a:ln>
                  </pic:spPr>
                </pic:pic>
              </a:graphicData>
            </a:graphic>
          </wp:inline>
        </w:drawing>
      </w:r>
    </w:p>
    <w:p w:rsidR="00BA623E" w:rsidRPr="00BA623E" w:rsidRDefault="00BA623E" w:rsidP="00453C72">
      <w:pPr>
        <w:jc w:val="center"/>
        <w:rPr>
          <w:sz w:val="28"/>
          <w:szCs w:val="28"/>
        </w:rPr>
      </w:pPr>
      <w:r w:rsidRPr="00BA623E">
        <w:rPr>
          <w:sz w:val="28"/>
          <w:szCs w:val="28"/>
        </w:rPr>
        <w:t xml:space="preserve">Рисунок 22 – Ген 16S рибосомальной РНК штамма 8 </w:t>
      </w:r>
      <w:r w:rsidR="007A7888" w:rsidRPr="007A7888">
        <w:rPr>
          <w:i/>
          <w:sz w:val="28"/>
          <w:szCs w:val="28"/>
        </w:rPr>
        <w:t>S. aureus</w:t>
      </w:r>
      <w:r w:rsidRPr="00BA623E">
        <w:rPr>
          <w:sz w:val="28"/>
          <w:szCs w:val="28"/>
        </w:rPr>
        <w:t>, частичная последовательность</w:t>
      </w:r>
    </w:p>
    <w:p w:rsidR="00BA623E" w:rsidRPr="00BA623E" w:rsidRDefault="00BA623E" w:rsidP="00BA623E">
      <w:pPr>
        <w:rPr>
          <w:sz w:val="28"/>
          <w:szCs w:val="28"/>
        </w:rPr>
      </w:pPr>
    </w:p>
    <w:p w:rsidR="00BA623E" w:rsidRPr="00BA623E" w:rsidRDefault="00BA623E" w:rsidP="00453C72">
      <w:pPr>
        <w:ind w:firstLine="851"/>
        <w:rPr>
          <w:sz w:val="28"/>
          <w:szCs w:val="28"/>
        </w:rPr>
      </w:pPr>
      <w:r w:rsidRPr="00BA623E">
        <w:rPr>
          <w:sz w:val="28"/>
          <w:szCs w:val="28"/>
        </w:rPr>
        <w:t xml:space="preserve">Для оценки эволюционных отношений между последовательностями генов 16S рибосомальной РНК штаммов </w:t>
      </w:r>
      <w:r w:rsidR="007A7888" w:rsidRPr="007A7888">
        <w:rPr>
          <w:i/>
          <w:sz w:val="28"/>
          <w:szCs w:val="28"/>
        </w:rPr>
        <w:t>S. aureus</w:t>
      </w:r>
      <w:r w:rsidRPr="00BA623E">
        <w:rPr>
          <w:sz w:val="28"/>
          <w:szCs w:val="28"/>
        </w:rPr>
        <w:t xml:space="preserve"> и близкородственными организмами, проведен анализ в программном обеспечении MEGA11 с использованием модели максимального совокупного правдоподобия (Maximum Likelihood). В исследовании использовались данные из базы данных GenBank последовательностей генов 16S рРНК близкородственных организмов, а также восьми нуклеотидных последовательностей генов 16S рРНК размером 655 пар нуклеотидов, ранее депонированных нами в GenBank (PP845836.1, PP845837.1, PP845838.1, PP845839.1, PP845840.1, PP845841.1, PP845842.1, PP845843.1).</w:t>
      </w:r>
    </w:p>
    <w:p w:rsidR="00BA623E" w:rsidRDefault="00BA623E" w:rsidP="00453C72">
      <w:pPr>
        <w:ind w:firstLine="851"/>
        <w:rPr>
          <w:sz w:val="28"/>
          <w:szCs w:val="28"/>
        </w:rPr>
      </w:pPr>
      <w:r w:rsidRPr="00BA623E">
        <w:rPr>
          <w:sz w:val="28"/>
          <w:szCs w:val="28"/>
        </w:rPr>
        <w:t xml:space="preserve">Всего исследована 41 нуклеотидная последовательность, где для каждой пары последовательностей были удалены все неоднозначные позиции, в целях минимизации влияния неопределенных нуклеотидов на результаты исследования, а общий объем данных включил в себя 521 позицию. Далее были рассчитаны патристические расстояния между парами последовательностей, которые представлены в виде матрицы (приложение </w:t>
      </w:r>
      <w:r w:rsidR="001A43AE">
        <w:rPr>
          <w:sz w:val="28"/>
          <w:szCs w:val="28"/>
        </w:rPr>
        <w:t>Н</w:t>
      </w:r>
      <w:r w:rsidRPr="00BA623E">
        <w:rPr>
          <w:sz w:val="28"/>
          <w:szCs w:val="28"/>
        </w:rPr>
        <w:t>). На основе полученных расчетов было построено филогенетическое дерево, визуально представляющее эволюционные расстояния между изучаемыми последовательностями (рисунок 23)</w:t>
      </w:r>
    </w:p>
    <w:p w:rsidR="00BA623E" w:rsidRDefault="00BA623E" w:rsidP="00BA623E">
      <w:pPr>
        <w:rPr>
          <w:sz w:val="28"/>
          <w:szCs w:val="28"/>
        </w:rPr>
      </w:pPr>
    </w:p>
    <w:p w:rsidR="00BA623E" w:rsidRPr="00BA623E" w:rsidRDefault="00BA623E" w:rsidP="00453C72">
      <w:pPr>
        <w:jc w:val="center"/>
        <w:rPr>
          <w:sz w:val="28"/>
          <w:szCs w:val="28"/>
        </w:rPr>
      </w:pPr>
      <w:r w:rsidRPr="00BA623E">
        <w:rPr>
          <w:noProof/>
          <w:sz w:val="28"/>
          <w:szCs w:val="28"/>
          <w:lang w:eastAsia="ru-RU"/>
        </w:rPr>
        <w:lastRenderedPageBreak/>
        <w:drawing>
          <wp:inline distT="0" distB="0" distL="0" distR="0" wp14:anchorId="30AB099C" wp14:editId="2C9C8150">
            <wp:extent cx="3910446" cy="4937760"/>
            <wp:effectExtent l="0" t="0" r="0" b="0"/>
            <wp:docPr id="55" name="Рисунок 55" descr="C:\Users\User\Моноблок\Байменов\2025 год\докторантура\материалы и методы\Рисунки\Рисунок 42 – Филогенетическое дерево.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Моноблок\Байменов\2025 год\докторантура\материалы и методы\Рисунки\Рисунок 42 – Филогенетическое дерево.tiff"/>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946284" cy="4983013"/>
                    </a:xfrm>
                    <a:prstGeom prst="rect">
                      <a:avLst/>
                    </a:prstGeom>
                    <a:noFill/>
                    <a:ln>
                      <a:noFill/>
                    </a:ln>
                  </pic:spPr>
                </pic:pic>
              </a:graphicData>
            </a:graphic>
          </wp:inline>
        </w:drawing>
      </w:r>
    </w:p>
    <w:p w:rsidR="00BA623E" w:rsidRPr="00BA623E" w:rsidRDefault="00BA623E" w:rsidP="00453C72">
      <w:pPr>
        <w:jc w:val="center"/>
        <w:rPr>
          <w:sz w:val="28"/>
          <w:szCs w:val="28"/>
        </w:rPr>
      </w:pPr>
      <w:r w:rsidRPr="00BA623E">
        <w:rPr>
          <w:sz w:val="28"/>
          <w:szCs w:val="28"/>
        </w:rPr>
        <w:t>Рисунок 23 – Филогенетическое дерево</w:t>
      </w:r>
    </w:p>
    <w:p w:rsidR="00BA623E" w:rsidRPr="00BA623E" w:rsidRDefault="00BA623E" w:rsidP="00BA623E">
      <w:pPr>
        <w:rPr>
          <w:sz w:val="28"/>
          <w:szCs w:val="28"/>
        </w:rPr>
      </w:pPr>
    </w:p>
    <w:p w:rsidR="00BA623E" w:rsidRPr="00BA623E" w:rsidRDefault="00BA623E" w:rsidP="00453C72">
      <w:pPr>
        <w:ind w:firstLine="709"/>
        <w:rPr>
          <w:sz w:val="28"/>
          <w:szCs w:val="28"/>
        </w:rPr>
      </w:pPr>
      <w:r w:rsidRPr="00BA623E">
        <w:rPr>
          <w:sz w:val="28"/>
          <w:szCs w:val="28"/>
        </w:rPr>
        <w:t xml:space="preserve">На филогенетическом дереве видно, что последовательности </w:t>
      </w:r>
      <w:r w:rsidR="007A7888" w:rsidRPr="007A7888">
        <w:rPr>
          <w:i/>
          <w:sz w:val="28"/>
          <w:szCs w:val="28"/>
        </w:rPr>
        <w:t>S. aureus</w:t>
      </w:r>
      <w:r w:rsidRPr="00BA623E">
        <w:rPr>
          <w:sz w:val="28"/>
          <w:szCs w:val="28"/>
        </w:rPr>
        <w:t xml:space="preserve"> образуют плотный кластер, расположенный на относительно близком расстоянии от других видов </w:t>
      </w:r>
      <w:r w:rsidR="00AE0408" w:rsidRPr="00AE0408">
        <w:rPr>
          <w:i/>
          <w:sz w:val="28"/>
          <w:szCs w:val="28"/>
        </w:rPr>
        <w:t>Staphylococcus</w:t>
      </w:r>
      <w:r w:rsidRPr="00BA623E">
        <w:rPr>
          <w:sz w:val="28"/>
          <w:szCs w:val="28"/>
        </w:rPr>
        <w:t>, что свидетельствует о близком эволюционном родстве. Другие виды бактерий (</w:t>
      </w:r>
      <w:r w:rsidR="00453C72" w:rsidRPr="00453C72">
        <w:rPr>
          <w:i/>
          <w:sz w:val="28"/>
          <w:szCs w:val="28"/>
        </w:rPr>
        <w:t>Enterococcus faecium</w:t>
      </w:r>
      <w:r w:rsidRPr="00BA623E">
        <w:rPr>
          <w:sz w:val="28"/>
          <w:szCs w:val="28"/>
        </w:rPr>
        <w:t xml:space="preserve"> и </w:t>
      </w:r>
      <w:r w:rsidR="00453C72" w:rsidRPr="00453C72">
        <w:rPr>
          <w:i/>
          <w:sz w:val="28"/>
          <w:szCs w:val="28"/>
        </w:rPr>
        <w:t>Enterococcus faecalis</w:t>
      </w:r>
      <w:r w:rsidRPr="00BA623E">
        <w:rPr>
          <w:sz w:val="28"/>
          <w:szCs w:val="28"/>
        </w:rPr>
        <w:t>), также образуют близкие клады, показывая их эволюционное сходство.</w:t>
      </w:r>
    </w:p>
    <w:p w:rsidR="00BA623E" w:rsidRPr="00BA623E" w:rsidRDefault="00BA623E" w:rsidP="00453C72">
      <w:pPr>
        <w:ind w:firstLine="709"/>
        <w:rPr>
          <w:sz w:val="28"/>
          <w:szCs w:val="28"/>
        </w:rPr>
      </w:pPr>
      <w:r w:rsidRPr="00BA623E">
        <w:rPr>
          <w:sz w:val="28"/>
          <w:szCs w:val="28"/>
        </w:rPr>
        <w:t xml:space="preserve">Дальше от остальных групп находятся виды </w:t>
      </w:r>
      <w:r w:rsidR="00B832C8" w:rsidRPr="00B832C8">
        <w:rPr>
          <w:i/>
          <w:sz w:val="28"/>
          <w:szCs w:val="28"/>
        </w:rPr>
        <w:t>Salmonella</w:t>
      </w:r>
      <w:r w:rsidR="00453C72" w:rsidRPr="00453C72">
        <w:rPr>
          <w:i/>
          <w:sz w:val="28"/>
          <w:szCs w:val="28"/>
        </w:rPr>
        <w:t xml:space="preserve"> enterica</w:t>
      </w:r>
      <w:r w:rsidRPr="00BA623E">
        <w:rPr>
          <w:sz w:val="28"/>
          <w:szCs w:val="28"/>
        </w:rPr>
        <w:t xml:space="preserve"> и </w:t>
      </w:r>
      <w:r w:rsidR="00B832C8" w:rsidRPr="00B832C8">
        <w:rPr>
          <w:i/>
          <w:sz w:val="28"/>
          <w:szCs w:val="28"/>
        </w:rPr>
        <w:t>Citrobacter</w:t>
      </w:r>
      <w:r w:rsidRPr="00BA623E">
        <w:rPr>
          <w:sz w:val="28"/>
          <w:szCs w:val="28"/>
        </w:rPr>
        <w:t xml:space="preserve">, что указывает на их более отдаленное эволюционное происхождение от </w:t>
      </w:r>
      <w:r w:rsidR="00AE0408" w:rsidRPr="00AE0408">
        <w:rPr>
          <w:i/>
          <w:sz w:val="28"/>
          <w:szCs w:val="28"/>
        </w:rPr>
        <w:t>Staphylococcus</w:t>
      </w:r>
      <w:r w:rsidRPr="00BA623E">
        <w:rPr>
          <w:sz w:val="28"/>
          <w:szCs w:val="28"/>
        </w:rPr>
        <w:t>.</w:t>
      </w:r>
    </w:p>
    <w:p w:rsidR="00FE1507" w:rsidRDefault="00FE1507" w:rsidP="00453C72">
      <w:pPr>
        <w:ind w:firstLine="709"/>
        <w:rPr>
          <w:b/>
          <w:sz w:val="28"/>
          <w:szCs w:val="28"/>
        </w:rPr>
      </w:pPr>
    </w:p>
    <w:p w:rsidR="00BA623E" w:rsidRPr="00FE1507" w:rsidRDefault="00BA623E" w:rsidP="00453C72">
      <w:pPr>
        <w:ind w:firstLine="709"/>
        <w:rPr>
          <w:sz w:val="28"/>
          <w:szCs w:val="28"/>
        </w:rPr>
      </w:pPr>
      <w:r w:rsidRPr="00FE1507">
        <w:rPr>
          <w:sz w:val="28"/>
          <w:szCs w:val="28"/>
        </w:rPr>
        <w:t xml:space="preserve">3.1.3 Результаты определения чувствительности к антибактериальным препаратам выделенных штаммов </w:t>
      </w:r>
      <w:r w:rsidR="007A7888" w:rsidRPr="007A7888">
        <w:rPr>
          <w:i/>
          <w:sz w:val="28"/>
          <w:szCs w:val="28"/>
        </w:rPr>
        <w:t>S. aureus</w:t>
      </w:r>
      <w:r w:rsidRPr="00FE1507">
        <w:rPr>
          <w:sz w:val="28"/>
          <w:szCs w:val="28"/>
        </w:rPr>
        <w:t xml:space="preserve"> </w:t>
      </w:r>
    </w:p>
    <w:p w:rsidR="00BA623E" w:rsidRPr="00BA623E" w:rsidRDefault="00BA623E" w:rsidP="00453C72">
      <w:pPr>
        <w:ind w:firstLine="709"/>
        <w:rPr>
          <w:sz w:val="28"/>
          <w:szCs w:val="28"/>
        </w:rPr>
      </w:pPr>
      <w:r w:rsidRPr="00BA623E">
        <w:rPr>
          <w:sz w:val="28"/>
          <w:szCs w:val="28"/>
        </w:rPr>
        <w:t xml:space="preserve">Результаты тестирования на антибиотикорезистентность указывают на высокий уровень устойчивости (резистентности) штаммов </w:t>
      </w:r>
      <w:r w:rsidR="007A7888" w:rsidRPr="007A7888">
        <w:rPr>
          <w:i/>
          <w:sz w:val="28"/>
          <w:szCs w:val="28"/>
        </w:rPr>
        <w:t>S. aureus</w:t>
      </w:r>
      <w:r w:rsidRPr="00BA623E">
        <w:rPr>
          <w:sz w:val="28"/>
          <w:szCs w:val="28"/>
        </w:rPr>
        <w:t xml:space="preserve"> к различным группам антибиотиков. </w:t>
      </w:r>
    </w:p>
    <w:p w:rsidR="00BA623E" w:rsidRPr="00BA623E" w:rsidRDefault="00BA623E" w:rsidP="00453C72">
      <w:pPr>
        <w:ind w:firstLine="709"/>
        <w:rPr>
          <w:sz w:val="28"/>
          <w:szCs w:val="28"/>
        </w:rPr>
      </w:pPr>
      <w:r w:rsidRPr="00BA623E">
        <w:rPr>
          <w:sz w:val="28"/>
          <w:szCs w:val="28"/>
        </w:rPr>
        <w:t xml:space="preserve">Все 87 изолятов </w:t>
      </w:r>
      <w:r w:rsidR="007A7888" w:rsidRPr="007A7888">
        <w:rPr>
          <w:i/>
          <w:sz w:val="28"/>
          <w:szCs w:val="28"/>
        </w:rPr>
        <w:t>S. aureus</w:t>
      </w:r>
      <w:r w:rsidRPr="00BA623E">
        <w:rPr>
          <w:sz w:val="28"/>
          <w:szCs w:val="28"/>
        </w:rPr>
        <w:t xml:space="preserve"> проявили резистентность к антибактериальным препаратам из группы β-лактамов. Эта группа включает пенициллины, цефалоспорины и другие антибиотики со схожей структурой. 83 из 87 изолятов </w:t>
      </w:r>
      <w:r w:rsidR="007A7888" w:rsidRPr="007A7888">
        <w:rPr>
          <w:i/>
          <w:sz w:val="28"/>
          <w:szCs w:val="28"/>
        </w:rPr>
        <w:lastRenderedPageBreak/>
        <w:t>S. aureus</w:t>
      </w:r>
      <w:r w:rsidRPr="00BA623E">
        <w:rPr>
          <w:sz w:val="28"/>
          <w:szCs w:val="28"/>
        </w:rPr>
        <w:t xml:space="preserve"> оказались резистентными к антибиотикам из группы тетрациклинов и фторхинолонов. 53 из 87 изолятов проявили резистентность к антибиотикам группы макролидов. 24 из 87 изолятов </w:t>
      </w:r>
      <w:r w:rsidR="007A7888" w:rsidRPr="007A7888">
        <w:rPr>
          <w:i/>
          <w:sz w:val="28"/>
          <w:szCs w:val="28"/>
        </w:rPr>
        <w:t>S. aureus</w:t>
      </w:r>
      <w:r w:rsidRPr="00BA623E">
        <w:rPr>
          <w:sz w:val="28"/>
          <w:szCs w:val="28"/>
        </w:rPr>
        <w:t xml:space="preserve"> оказались резистентными к аминогликозидам, таким как гентамицин и амикацин. 19 из 87 изолятов проявили резистентность к сульфаниламидам (таблица 6).</w:t>
      </w:r>
    </w:p>
    <w:p w:rsidR="00BA623E" w:rsidRPr="00BA623E" w:rsidRDefault="00BA623E" w:rsidP="00BA623E">
      <w:pPr>
        <w:rPr>
          <w:sz w:val="28"/>
          <w:szCs w:val="28"/>
        </w:rPr>
      </w:pPr>
    </w:p>
    <w:p w:rsidR="00BA623E" w:rsidRDefault="00BA623E" w:rsidP="0077064C">
      <w:pPr>
        <w:jc w:val="left"/>
        <w:rPr>
          <w:sz w:val="28"/>
          <w:szCs w:val="28"/>
        </w:rPr>
      </w:pPr>
      <w:r w:rsidRPr="00BA623E">
        <w:rPr>
          <w:sz w:val="28"/>
          <w:szCs w:val="28"/>
        </w:rPr>
        <w:t xml:space="preserve">Таблица 6 – Результаты определения чувствительности </w:t>
      </w:r>
      <w:r w:rsidR="007A7888" w:rsidRPr="007A7888">
        <w:rPr>
          <w:i/>
          <w:sz w:val="28"/>
          <w:szCs w:val="28"/>
        </w:rPr>
        <w:t>S. aureus</w:t>
      </w:r>
      <w:r w:rsidRPr="00BA623E">
        <w:rPr>
          <w:sz w:val="28"/>
          <w:szCs w:val="28"/>
        </w:rPr>
        <w:t xml:space="preserve"> к антибактериальным препаратам</w:t>
      </w:r>
    </w:p>
    <w:tbl>
      <w:tblPr>
        <w:tblW w:w="5000" w:type="pct"/>
        <w:tblLook w:val="04A0" w:firstRow="1" w:lastRow="0" w:firstColumn="1" w:lastColumn="0" w:noHBand="0" w:noVBand="1"/>
      </w:tblPr>
      <w:tblGrid>
        <w:gridCol w:w="2293"/>
        <w:gridCol w:w="1622"/>
        <w:gridCol w:w="987"/>
        <w:gridCol w:w="2479"/>
        <w:gridCol w:w="1622"/>
        <w:gridCol w:w="851"/>
      </w:tblGrid>
      <w:tr w:rsidR="00BA623E" w:rsidRPr="00BA623E" w:rsidTr="006F2F87">
        <w:trPr>
          <w:trHeight w:val="828"/>
        </w:trPr>
        <w:tc>
          <w:tcPr>
            <w:tcW w:w="11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623E" w:rsidRPr="00BA623E" w:rsidRDefault="00BA623E" w:rsidP="00BA623E">
            <w:pPr>
              <w:jc w:val="center"/>
              <w:rPr>
                <w:rFonts w:cs="Times New Roman"/>
              </w:rPr>
            </w:pPr>
            <w:r w:rsidRPr="00BA623E">
              <w:rPr>
                <w:rFonts w:cs="Times New Roman"/>
              </w:rPr>
              <w:t>Группа антибиотиков</w:t>
            </w:r>
          </w:p>
        </w:tc>
        <w:tc>
          <w:tcPr>
            <w:tcW w:w="823" w:type="pct"/>
            <w:tcBorders>
              <w:top w:val="single" w:sz="4" w:space="0" w:color="auto"/>
              <w:left w:val="nil"/>
              <w:bottom w:val="single" w:sz="4" w:space="0" w:color="auto"/>
              <w:right w:val="single" w:sz="4" w:space="0" w:color="auto"/>
            </w:tcBorders>
            <w:shd w:val="clear" w:color="auto" w:fill="auto"/>
            <w:vAlign w:val="center"/>
            <w:hideMark/>
          </w:tcPr>
          <w:p w:rsidR="00BA623E" w:rsidRPr="00BA623E" w:rsidRDefault="00BA623E" w:rsidP="00BA623E">
            <w:pPr>
              <w:jc w:val="center"/>
              <w:rPr>
                <w:rFonts w:cs="Times New Roman"/>
              </w:rPr>
            </w:pPr>
            <w:r w:rsidRPr="00BA623E">
              <w:rPr>
                <w:rFonts w:cs="Times New Roman"/>
              </w:rPr>
              <w:t>Количество устойчивых в группе АБП</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BA623E" w:rsidRPr="00BA623E" w:rsidRDefault="00BA623E" w:rsidP="00BA623E">
            <w:pPr>
              <w:jc w:val="center"/>
              <w:rPr>
                <w:rFonts w:cs="Times New Roman"/>
              </w:rPr>
            </w:pPr>
            <w:r w:rsidRPr="00BA623E">
              <w:rPr>
                <w:rFonts w:cs="Times New Roman"/>
              </w:rPr>
              <w:t>%</w:t>
            </w:r>
          </w:p>
        </w:tc>
        <w:tc>
          <w:tcPr>
            <w:tcW w:w="1258" w:type="pct"/>
            <w:tcBorders>
              <w:top w:val="single" w:sz="4" w:space="0" w:color="auto"/>
              <w:left w:val="nil"/>
              <w:bottom w:val="single" w:sz="4" w:space="0" w:color="auto"/>
              <w:right w:val="single" w:sz="4" w:space="0" w:color="auto"/>
            </w:tcBorders>
            <w:shd w:val="clear" w:color="auto" w:fill="auto"/>
            <w:vAlign w:val="center"/>
            <w:hideMark/>
          </w:tcPr>
          <w:p w:rsidR="00BA623E" w:rsidRPr="00BA623E" w:rsidRDefault="00BA623E" w:rsidP="00BA623E">
            <w:pPr>
              <w:jc w:val="center"/>
              <w:rPr>
                <w:rFonts w:cs="Times New Roman"/>
              </w:rPr>
            </w:pPr>
            <w:r w:rsidRPr="00BA623E">
              <w:rPr>
                <w:rFonts w:cs="Times New Roman"/>
              </w:rPr>
              <w:t>Наименование антибиотика</w:t>
            </w:r>
          </w:p>
        </w:tc>
        <w:tc>
          <w:tcPr>
            <w:tcW w:w="823" w:type="pct"/>
            <w:tcBorders>
              <w:top w:val="single" w:sz="4" w:space="0" w:color="auto"/>
              <w:left w:val="nil"/>
              <w:bottom w:val="single" w:sz="4" w:space="0" w:color="auto"/>
              <w:right w:val="single" w:sz="4" w:space="0" w:color="auto"/>
            </w:tcBorders>
            <w:shd w:val="clear" w:color="auto" w:fill="auto"/>
            <w:vAlign w:val="center"/>
            <w:hideMark/>
          </w:tcPr>
          <w:p w:rsidR="00BA623E" w:rsidRPr="00BA623E" w:rsidRDefault="00BA623E" w:rsidP="00BA623E">
            <w:pPr>
              <w:jc w:val="center"/>
              <w:rPr>
                <w:rFonts w:cs="Times New Roman"/>
              </w:rPr>
            </w:pPr>
            <w:r w:rsidRPr="00BA623E">
              <w:rPr>
                <w:rFonts w:cs="Times New Roman"/>
              </w:rPr>
              <w:t>Количество устойчивых штаммов</w:t>
            </w:r>
          </w:p>
        </w:tc>
        <w:tc>
          <w:tcPr>
            <w:tcW w:w="432" w:type="pct"/>
            <w:tcBorders>
              <w:top w:val="single" w:sz="4" w:space="0" w:color="auto"/>
              <w:left w:val="nil"/>
              <w:bottom w:val="single" w:sz="4" w:space="0" w:color="auto"/>
              <w:right w:val="single" w:sz="4" w:space="0" w:color="auto"/>
            </w:tcBorders>
            <w:shd w:val="clear" w:color="auto" w:fill="auto"/>
            <w:vAlign w:val="center"/>
            <w:hideMark/>
          </w:tcPr>
          <w:p w:rsidR="00BA623E" w:rsidRPr="00BA623E" w:rsidRDefault="00BA623E" w:rsidP="00BA623E">
            <w:pPr>
              <w:jc w:val="center"/>
              <w:rPr>
                <w:rFonts w:cs="Times New Roman"/>
              </w:rPr>
            </w:pPr>
            <w:r w:rsidRPr="00BA623E">
              <w:rPr>
                <w:rFonts w:cs="Times New Roman"/>
              </w:rPr>
              <w:t>%</w:t>
            </w:r>
          </w:p>
        </w:tc>
      </w:tr>
      <w:tr w:rsidR="00BA623E" w:rsidRPr="00BA623E" w:rsidTr="006F2F87">
        <w:trPr>
          <w:trHeight w:val="276"/>
        </w:trPr>
        <w:tc>
          <w:tcPr>
            <w:tcW w:w="116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Бета-Лактамы</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87</w:t>
            </w:r>
          </w:p>
        </w:tc>
        <w:tc>
          <w:tcPr>
            <w:tcW w:w="501"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100,00</w:t>
            </w: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Ампициллин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54</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62,07</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Амоксициллин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48</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55,17</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Бензилпенициллин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46</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52,87</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Цефоперазон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48</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55,17</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Цефокситин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24</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27,59</w:t>
            </w:r>
          </w:p>
        </w:tc>
      </w:tr>
      <w:tr w:rsidR="00BA623E" w:rsidRPr="00BA623E" w:rsidTr="006F2F87">
        <w:trPr>
          <w:trHeight w:val="276"/>
        </w:trPr>
        <w:tc>
          <w:tcPr>
            <w:tcW w:w="116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Аминогликозиды</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24</w:t>
            </w:r>
          </w:p>
        </w:tc>
        <w:tc>
          <w:tcPr>
            <w:tcW w:w="501"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27,59</w:t>
            </w: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Стрептомицин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11</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12,64</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Канамицин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4</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4,60</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Неомицин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7</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8,05</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Гентамицин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3</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3,45</w:t>
            </w:r>
          </w:p>
        </w:tc>
      </w:tr>
      <w:tr w:rsidR="00BA623E" w:rsidRPr="00BA623E" w:rsidTr="006F2F87">
        <w:trPr>
          <w:trHeight w:val="276"/>
        </w:trPr>
        <w:tc>
          <w:tcPr>
            <w:tcW w:w="116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Тетрациклины</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83</w:t>
            </w:r>
          </w:p>
        </w:tc>
        <w:tc>
          <w:tcPr>
            <w:tcW w:w="501"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95,40</w:t>
            </w: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Тетрациклин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51</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58,62</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Доксициклин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50</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57,47</w:t>
            </w:r>
          </w:p>
        </w:tc>
      </w:tr>
      <w:tr w:rsidR="00BA623E" w:rsidRPr="00BA623E" w:rsidTr="006F2F87">
        <w:trPr>
          <w:trHeight w:val="276"/>
        </w:trPr>
        <w:tc>
          <w:tcPr>
            <w:tcW w:w="116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Макролиды</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53</w:t>
            </w:r>
          </w:p>
        </w:tc>
        <w:tc>
          <w:tcPr>
            <w:tcW w:w="501"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60,92</w:t>
            </w: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Эритромицин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32</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36,78</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453C72">
            <w:pPr>
              <w:jc w:val="cente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Тилозин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28</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32,18</w:t>
            </w:r>
          </w:p>
        </w:tc>
      </w:tr>
      <w:tr w:rsidR="00BA623E" w:rsidRPr="00BA623E" w:rsidTr="006F2F87">
        <w:trPr>
          <w:trHeight w:val="552"/>
        </w:trPr>
        <w:tc>
          <w:tcPr>
            <w:tcW w:w="1163" w:type="pc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Сульфаниламиды</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19</w:t>
            </w:r>
          </w:p>
        </w:tc>
        <w:tc>
          <w:tcPr>
            <w:tcW w:w="501"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21,84</w:t>
            </w: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Сульфаметоксазол/ триметоприм</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19</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21,84</w:t>
            </w:r>
          </w:p>
        </w:tc>
      </w:tr>
      <w:tr w:rsidR="00BA623E" w:rsidRPr="00BA623E" w:rsidTr="006F2F87">
        <w:trPr>
          <w:trHeight w:val="276"/>
        </w:trPr>
        <w:tc>
          <w:tcPr>
            <w:tcW w:w="116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Фторхинолоны</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83</w:t>
            </w:r>
          </w:p>
        </w:tc>
        <w:tc>
          <w:tcPr>
            <w:tcW w:w="501" w:type="pct"/>
            <w:vMerge w:val="restart"/>
            <w:tcBorders>
              <w:top w:val="nil"/>
              <w:left w:val="single" w:sz="4" w:space="0" w:color="auto"/>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95,40</w:t>
            </w: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Ципрофлоксацин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51</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58,62</w:t>
            </w:r>
          </w:p>
        </w:tc>
      </w:tr>
      <w:tr w:rsidR="00BA623E" w:rsidRPr="00BA623E" w:rsidTr="006F2F87">
        <w:trPr>
          <w:trHeight w:val="276"/>
        </w:trPr>
        <w:tc>
          <w:tcPr>
            <w:tcW w:w="116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823"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501" w:type="pct"/>
            <w:vMerge/>
            <w:tcBorders>
              <w:top w:val="nil"/>
              <w:left w:val="single" w:sz="4" w:space="0" w:color="auto"/>
              <w:bottom w:val="single" w:sz="4" w:space="0" w:color="auto"/>
              <w:right w:val="single" w:sz="4" w:space="0" w:color="auto"/>
            </w:tcBorders>
            <w:vAlign w:val="center"/>
            <w:hideMark/>
          </w:tcPr>
          <w:p w:rsidR="00BA623E" w:rsidRPr="00BA623E" w:rsidRDefault="00BA623E" w:rsidP="00BA623E">
            <w:pPr>
              <w:rPr>
                <w:rFonts w:cs="Times New Roman"/>
              </w:rPr>
            </w:pPr>
          </w:p>
        </w:tc>
        <w:tc>
          <w:tcPr>
            <w:tcW w:w="1258"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BA623E">
            <w:pPr>
              <w:rPr>
                <w:rFonts w:cs="Times New Roman"/>
              </w:rPr>
            </w:pPr>
            <w:r w:rsidRPr="00BA623E">
              <w:rPr>
                <w:rFonts w:cs="Times New Roman"/>
              </w:rPr>
              <w:t>Норфлоксацин</w:t>
            </w:r>
          </w:p>
        </w:tc>
        <w:tc>
          <w:tcPr>
            <w:tcW w:w="823"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49</w:t>
            </w:r>
          </w:p>
        </w:tc>
        <w:tc>
          <w:tcPr>
            <w:tcW w:w="432" w:type="pct"/>
            <w:tcBorders>
              <w:top w:val="nil"/>
              <w:left w:val="nil"/>
              <w:bottom w:val="single" w:sz="4" w:space="0" w:color="auto"/>
              <w:right w:val="single" w:sz="4" w:space="0" w:color="auto"/>
            </w:tcBorders>
            <w:shd w:val="clear" w:color="auto" w:fill="auto"/>
            <w:vAlign w:val="center"/>
            <w:hideMark/>
          </w:tcPr>
          <w:p w:rsidR="00BA623E" w:rsidRPr="00BA623E" w:rsidRDefault="00BA623E" w:rsidP="00453C72">
            <w:pPr>
              <w:jc w:val="center"/>
              <w:rPr>
                <w:rFonts w:cs="Times New Roman"/>
              </w:rPr>
            </w:pPr>
            <w:r w:rsidRPr="00BA623E">
              <w:rPr>
                <w:rFonts w:cs="Times New Roman"/>
              </w:rPr>
              <w:t>56,32</w:t>
            </w:r>
          </w:p>
        </w:tc>
      </w:tr>
    </w:tbl>
    <w:p w:rsidR="00BA623E" w:rsidRPr="00BA623E" w:rsidRDefault="00BA623E" w:rsidP="00BA623E">
      <w:pPr>
        <w:rPr>
          <w:sz w:val="28"/>
          <w:szCs w:val="28"/>
        </w:rPr>
      </w:pPr>
    </w:p>
    <w:p w:rsidR="00BA623E" w:rsidRPr="00BA623E" w:rsidRDefault="00BA623E" w:rsidP="00453C72">
      <w:pPr>
        <w:ind w:firstLine="709"/>
        <w:rPr>
          <w:sz w:val="28"/>
          <w:szCs w:val="28"/>
        </w:rPr>
      </w:pPr>
      <w:r w:rsidRPr="00BA623E">
        <w:rPr>
          <w:sz w:val="28"/>
          <w:szCs w:val="28"/>
        </w:rPr>
        <w:t xml:space="preserve">Как видно из таблицы, наибольшее количество изолятов </w:t>
      </w:r>
      <w:r w:rsidR="007A7888" w:rsidRPr="007A7888">
        <w:rPr>
          <w:i/>
          <w:sz w:val="28"/>
          <w:szCs w:val="28"/>
        </w:rPr>
        <w:t>S. aureus</w:t>
      </w:r>
      <w:r w:rsidRPr="00BA623E">
        <w:rPr>
          <w:sz w:val="28"/>
          <w:szCs w:val="28"/>
        </w:rPr>
        <w:t xml:space="preserve"> проявили высокую чувствительность к группе β – лактамных антибиотиков – до 100%, к группе тетрациклинов и фторхинолонов – до 95,4%, макролидов – до 60,92%. Наименьшее количество резистентных штаммов выявлено к группе сульфаниламидов – 21,84% и группе аминогликозидов – 27,59% (рисунок 24).</w:t>
      </w:r>
    </w:p>
    <w:p w:rsidR="00BA623E" w:rsidRDefault="00BA623E" w:rsidP="00BA623E">
      <w:pPr>
        <w:rPr>
          <w:sz w:val="28"/>
          <w:szCs w:val="28"/>
        </w:rPr>
      </w:pPr>
    </w:p>
    <w:p w:rsidR="00BA623E" w:rsidRDefault="00BA623E" w:rsidP="00453C72">
      <w:pPr>
        <w:jc w:val="center"/>
        <w:rPr>
          <w:sz w:val="28"/>
          <w:szCs w:val="28"/>
        </w:rPr>
      </w:pPr>
      <w:r w:rsidRPr="00BA623E">
        <w:rPr>
          <w:noProof/>
          <w:sz w:val="28"/>
          <w:szCs w:val="28"/>
          <w:lang w:eastAsia="ru-RU"/>
        </w:rPr>
        <w:lastRenderedPageBreak/>
        <w:drawing>
          <wp:inline distT="0" distB="0" distL="0" distR="0" wp14:anchorId="0B199329" wp14:editId="6F2F4F1A">
            <wp:extent cx="3936741" cy="2529840"/>
            <wp:effectExtent l="0" t="0" r="698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4015417" cy="2580399"/>
                    </a:xfrm>
                    <a:prstGeom prst="rect">
                      <a:avLst/>
                    </a:prstGeom>
                  </pic:spPr>
                </pic:pic>
              </a:graphicData>
            </a:graphic>
          </wp:inline>
        </w:drawing>
      </w:r>
    </w:p>
    <w:p w:rsidR="00BA623E" w:rsidRPr="00BA623E" w:rsidRDefault="00BA623E" w:rsidP="00453C72">
      <w:pPr>
        <w:jc w:val="center"/>
        <w:rPr>
          <w:sz w:val="28"/>
          <w:szCs w:val="28"/>
        </w:rPr>
      </w:pPr>
      <w:r w:rsidRPr="00BA623E">
        <w:rPr>
          <w:sz w:val="28"/>
          <w:szCs w:val="28"/>
        </w:rPr>
        <w:t xml:space="preserve">Рисунок 24 – Чувствительность </w:t>
      </w:r>
      <w:r w:rsidR="007A7888" w:rsidRPr="007A7888">
        <w:rPr>
          <w:i/>
          <w:sz w:val="28"/>
          <w:szCs w:val="28"/>
        </w:rPr>
        <w:t>S. aureus</w:t>
      </w:r>
      <w:r w:rsidRPr="00BA623E">
        <w:rPr>
          <w:sz w:val="28"/>
          <w:szCs w:val="28"/>
        </w:rPr>
        <w:t>, по группам антибиотиков</w:t>
      </w:r>
    </w:p>
    <w:p w:rsidR="00BA623E" w:rsidRPr="00BA623E" w:rsidRDefault="00BA623E" w:rsidP="00BA623E">
      <w:pPr>
        <w:rPr>
          <w:sz w:val="28"/>
          <w:szCs w:val="28"/>
        </w:rPr>
      </w:pPr>
    </w:p>
    <w:p w:rsidR="00BA623E" w:rsidRPr="00BA623E" w:rsidRDefault="00BA623E" w:rsidP="00453C72">
      <w:pPr>
        <w:ind w:firstLine="709"/>
        <w:rPr>
          <w:sz w:val="28"/>
          <w:szCs w:val="28"/>
        </w:rPr>
      </w:pPr>
      <w:r w:rsidRPr="00BA623E">
        <w:rPr>
          <w:sz w:val="28"/>
          <w:szCs w:val="28"/>
        </w:rPr>
        <w:t xml:space="preserve">В разрезе устойчивости к отдельным антибактериальным препаратам, наиболее высокая устойчивость у выделенных штаммов </w:t>
      </w:r>
      <w:r w:rsidR="007A7888" w:rsidRPr="007A7888">
        <w:rPr>
          <w:i/>
          <w:sz w:val="28"/>
          <w:szCs w:val="28"/>
        </w:rPr>
        <w:t>S. aureus</w:t>
      </w:r>
      <w:r w:rsidRPr="00BA623E">
        <w:rPr>
          <w:sz w:val="28"/>
          <w:szCs w:val="28"/>
        </w:rPr>
        <w:t xml:space="preserve"> наблюдалась к ампициллину – 62,07%, тетрациклину – 58,62%, ципрофлоксацину – 58,62%, доксициклину – 57,47%. Наименьшая устойчивость наблюдалась к гентамицину – 3,45, канамицину – 4,6%, неомицину – 8,05%. Средняя устойчивость наблюдалась к стрептомицину – 12,64%, эритромицину – 36,78% и тилозину – 32,18% устойчивых штамма </w:t>
      </w:r>
      <w:r w:rsidR="007A7888" w:rsidRPr="007A7888">
        <w:rPr>
          <w:i/>
          <w:sz w:val="28"/>
          <w:szCs w:val="28"/>
        </w:rPr>
        <w:t>S. aureus</w:t>
      </w:r>
      <w:r w:rsidRPr="00BA623E">
        <w:rPr>
          <w:sz w:val="28"/>
          <w:szCs w:val="28"/>
        </w:rPr>
        <w:t xml:space="preserve"> (рисунок 25).</w:t>
      </w:r>
    </w:p>
    <w:p w:rsidR="00BA623E" w:rsidRDefault="00BA623E" w:rsidP="00BA623E">
      <w:pPr>
        <w:rPr>
          <w:sz w:val="28"/>
          <w:szCs w:val="28"/>
        </w:rPr>
      </w:pPr>
    </w:p>
    <w:p w:rsidR="00847C1E" w:rsidRDefault="00847C1E" w:rsidP="00453C72">
      <w:pPr>
        <w:jc w:val="center"/>
        <w:rPr>
          <w:sz w:val="28"/>
          <w:szCs w:val="28"/>
        </w:rPr>
      </w:pPr>
      <w:r w:rsidRPr="00847C1E">
        <w:rPr>
          <w:noProof/>
          <w:sz w:val="28"/>
          <w:szCs w:val="28"/>
          <w:lang w:eastAsia="ru-RU"/>
        </w:rPr>
        <w:drawing>
          <wp:inline distT="0" distB="0" distL="0" distR="0" wp14:anchorId="04FA9607" wp14:editId="1C5A4E81">
            <wp:extent cx="3950176" cy="273558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4010438" cy="2777313"/>
                    </a:xfrm>
                    <a:prstGeom prst="rect">
                      <a:avLst/>
                    </a:prstGeom>
                  </pic:spPr>
                </pic:pic>
              </a:graphicData>
            </a:graphic>
          </wp:inline>
        </w:drawing>
      </w:r>
    </w:p>
    <w:p w:rsidR="00847C1E" w:rsidRPr="00847C1E" w:rsidRDefault="00847C1E" w:rsidP="00453C72">
      <w:pPr>
        <w:jc w:val="center"/>
        <w:rPr>
          <w:sz w:val="28"/>
          <w:szCs w:val="28"/>
        </w:rPr>
      </w:pPr>
      <w:r w:rsidRPr="00847C1E">
        <w:rPr>
          <w:sz w:val="28"/>
          <w:szCs w:val="28"/>
        </w:rPr>
        <w:t xml:space="preserve">Рисунок 25 – Чувствительность выделенных изолятов </w:t>
      </w:r>
      <w:r w:rsidR="007A7888" w:rsidRPr="007A7888">
        <w:rPr>
          <w:i/>
          <w:sz w:val="28"/>
          <w:szCs w:val="28"/>
        </w:rPr>
        <w:t>S. aureus</w:t>
      </w:r>
      <w:r w:rsidRPr="00847C1E">
        <w:rPr>
          <w:sz w:val="28"/>
          <w:szCs w:val="28"/>
        </w:rPr>
        <w:t xml:space="preserve"> к АПБ</w:t>
      </w:r>
    </w:p>
    <w:p w:rsidR="00847C1E" w:rsidRPr="00847C1E" w:rsidRDefault="00847C1E" w:rsidP="00847C1E">
      <w:pPr>
        <w:rPr>
          <w:sz w:val="28"/>
          <w:szCs w:val="28"/>
        </w:rPr>
      </w:pPr>
    </w:p>
    <w:p w:rsidR="00847C1E" w:rsidRPr="00847C1E" w:rsidRDefault="00847C1E" w:rsidP="00453C72">
      <w:pPr>
        <w:ind w:firstLine="709"/>
        <w:rPr>
          <w:sz w:val="28"/>
          <w:szCs w:val="28"/>
        </w:rPr>
      </w:pPr>
      <w:r w:rsidRPr="00847C1E">
        <w:rPr>
          <w:sz w:val="28"/>
          <w:szCs w:val="28"/>
        </w:rPr>
        <w:t xml:space="preserve">Из 87 изолятов </w:t>
      </w:r>
      <w:r w:rsidR="007A7888" w:rsidRPr="007A7888">
        <w:rPr>
          <w:i/>
          <w:sz w:val="28"/>
          <w:szCs w:val="28"/>
        </w:rPr>
        <w:t>S. aureus</w:t>
      </w:r>
      <w:r w:rsidRPr="00847C1E">
        <w:rPr>
          <w:sz w:val="28"/>
          <w:szCs w:val="28"/>
        </w:rPr>
        <w:t xml:space="preserve"> с установленной резистентностью 3 (3,44%) изолята были резистентны к двум группам АБП; 17 (19,54%) изолятов к трем группам АБП, 46 (52,87%) изолятов к четырем группам; 19 (21,83%) изолятов проявили резистентность сразу к пяти группам; 2 (2,29%) изолята резистентны одновременно к </w:t>
      </w:r>
      <w:r w:rsidR="00453C72">
        <w:rPr>
          <w:sz w:val="28"/>
          <w:szCs w:val="28"/>
        </w:rPr>
        <w:t>шести группам АБП (рисунок 26).</w:t>
      </w:r>
    </w:p>
    <w:p w:rsidR="00847C1E" w:rsidRDefault="00847C1E" w:rsidP="00847C1E">
      <w:pPr>
        <w:rPr>
          <w:sz w:val="28"/>
          <w:szCs w:val="28"/>
        </w:rPr>
      </w:pPr>
    </w:p>
    <w:p w:rsidR="00CA6F1A" w:rsidRDefault="00CA6F1A" w:rsidP="00453C72">
      <w:pPr>
        <w:jc w:val="center"/>
        <w:rPr>
          <w:sz w:val="28"/>
          <w:szCs w:val="28"/>
        </w:rPr>
      </w:pPr>
      <w:r w:rsidRPr="00CA6F1A">
        <w:rPr>
          <w:noProof/>
          <w:sz w:val="28"/>
          <w:szCs w:val="28"/>
          <w:lang w:eastAsia="ru-RU"/>
        </w:rPr>
        <w:lastRenderedPageBreak/>
        <w:drawing>
          <wp:inline distT="0" distB="0" distL="0" distR="0" wp14:anchorId="4F827B09" wp14:editId="5BB6EFBE">
            <wp:extent cx="3909827" cy="29108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3944548" cy="2936690"/>
                    </a:xfrm>
                    <a:prstGeom prst="rect">
                      <a:avLst/>
                    </a:prstGeom>
                  </pic:spPr>
                </pic:pic>
              </a:graphicData>
            </a:graphic>
          </wp:inline>
        </w:drawing>
      </w:r>
    </w:p>
    <w:p w:rsidR="005221BC" w:rsidRPr="005221BC" w:rsidRDefault="005221BC" w:rsidP="00453C72">
      <w:pPr>
        <w:jc w:val="center"/>
        <w:rPr>
          <w:sz w:val="28"/>
          <w:szCs w:val="28"/>
        </w:rPr>
      </w:pPr>
      <w:r w:rsidRPr="005221BC">
        <w:rPr>
          <w:sz w:val="28"/>
          <w:szCs w:val="28"/>
        </w:rPr>
        <w:t xml:space="preserve">Рисунок 26 – Распределение резистентности выделенных изолятов </w:t>
      </w:r>
      <w:r w:rsidR="007A7888" w:rsidRPr="007A7888">
        <w:rPr>
          <w:i/>
          <w:sz w:val="28"/>
          <w:szCs w:val="28"/>
        </w:rPr>
        <w:t>S. aureus</w:t>
      </w:r>
      <w:r w:rsidRPr="005221BC">
        <w:rPr>
          <w:sz w:val="28"/>
          <w:szCs w:val="28"/>
        </w:rPr>
        <w:t xml:space="preserve"> по группам АБП</w:t>
      </w:r>
    </w:p>
    <w:p w:rsidR="005221BC" w:rsidRPr="005221BC" w:rsidRDefault="005221BC" w:rsidP="005221BC">
      <w:pPr>
        <w:rPr>
          <w:sz w:val="28"/>
          <w:szCs w:val="28"/>
        </w:rPr>
      </w:pPr>
    </w:p>
    <w:p w:rsidR="005221BC" w:rsidRPr="005221BC" w:rsidRDefault="005221BC" w:rsidP="00453C72">
      <w:pPr>
        <w:ind w:firstLine="709"/>
        <w:rPr>
          <w:sz w:val="28"/>
          <w:szCs w:val="28"/>
        </w:rPr>
      </w:pPr>
      <w:r w:rsidRPr="005221BC">
        <w:rPr>
          <w:sz w:val="28"/>
          <w:szCs w:val="28"/>
        </w:rPr>
        <w:t xml:space="preserve">Так же из 87 изолятов </w:t>
      </w:r>
      <w:r w:rsidR="007A7888" w:rsidRPr="007A7888">
        <w:rPr>
          <w:i/>
          <w:sz w:val="28"/>
          <w:szCs w:val="28"/>
        </w:rPr>
        <w:t>S. aureus</w:t>
      </w:r>
      <w:r w:rsidRPr="005221BC">
        <w:rPr>
          <w:sz w:val="28"/>
          <w:szCs w:val="28"/>
        </w:rPr>
        <w:t xml:space="preserve"> с установленной резистентностью 8 (9,19%) изолятов были резистентны одновременно к четырем антибиотикам; 19 (21,83%) изолятов к пяти антибиотикам; 32 (36,7%) изолята к шести; 19 (21,83%) изолятов проявили резистентность сразу к семи; 8 (9,19%) изолятов резистентны одновременно к восьми антибиотикам; 1 (1,14%) изолят к девяти антибиотикам (рисунок 27).</w:t>
      </w:r>
    </w:p>
    <w:p w:rsidR="005221BC" w:rsidRDefault="005221BC" w:rsidP="005221BC">
      <w:pPr>
        <w:rPr>
          <w:sz w:val="28"/>
          <w:szCs w:val="28"/>
        </w:rPr>
      </w:pPr>
    </w:p>
    <w:p w:rsidR="005221BC" w:rsidRDefault="005221BC" w:rsidP="00453C72">
      <w:pPr>
        <w:jc w:val="center"/>
        <w:rPr>
          <w:sz w:val="28"/>
          <w:szCs w:val="28"/>
        </w:rPr>
      </w:pPr>
      <w:r w:rsidRPr="005221BC">
        <w:rPr>
          <w:noProof/>
          <w:sz w:val="28"/>
          <w:szCs w:val="28"/>
          <w:lang w:eastAsia="ru-RU"/>
        </w:rPr>
        <w:drawing>
          <wp:inline distT="0" distB="0" distL="0" distR="0" wp14:anchorId="1418464F" wp14:editId="024E08F7">
            <wp:extent cx="3894372" cy="22402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4012508" cy="2308239"/>
                    </a:xfrm>
                    <a:prstGeom prst="rect">
                      <a:avLst/>
                    </a:prstGeom>
                  </pic:spPr>
                </pic:pic>
              </a:graphicData>
            </a:graphic>
          </wp:inline>
        </w:drawing>
      </w:r>
    </w:p>
    <w:p w:rsidR="005221BC" w:rsidRPr="005221BC" w:rsidRDefault="005221BC" w:rsidP="00453C72">
      <w:pPr>
        <w:jc w:val="center"/>
        <w:rPr>
          <w:sz w:val="28"/>
          <w:szCs w:val="28"/>
        </w:rPr>
      </w:pPr>
      <w:r w:rsidRPr="005221BC">
        <w:rPr>
          <w:sz w:val="28"/>
          <w:szCs w:val="28"/>
        </w:rPr>
        <w:t xml:space="preserve">Рисунок 27 – Распределение резистентности выделенных изолятов </w:t>
      </w:r>
      <w:r w:rsidR="007A7888" w:rsidRPr="007A7888">
        <w:rPr>
          <w:i/>
          <w:sz w:val="28"/>
          <w:szCs w:val="28"/>
        </w:rPr>
        <w:t>S. aureus</w:t>
      </w:r>
      <w:r w:rsidRPr="005221BC">
        <w:rPr>
          <w:sz w:val="28"/>
          <w:szCs w:val="28"/>
        </w:rPr>
        <w:t xml:space="preserve"> по АБП</w:t>
      </w:r>
    </w:p>
    <w:p w:rsidR="00453C72" w:rsidRDefault="00453C72" w:rsidP="005221BC">
      <w:pPr>
        <w:rPr>
          <w:sz w:val="28"/>
          <w:szCs w:val="28"/>
        </w:rPr>
      </w:pPr>
    </w:p>
    <w:p w:rsidR="005221BC" w:rsidRPr="005221BC" w:rsidRDefault="005221BC" w:rsidP="00453C72">
      <w:pPr>
        <w:ind w:firstLine="709"/>
        <w:rPr>
          <w:sz w:val="28"/>
          <w:szCs w:val="28"/>
        </w:rPr>
      </w:pPr>
      <w:r w:rsidRPr="005221BC">
        <w:rPr>
          <w:sz w:val="28"/>
          <w:szCs w:val="28"/>
        </w:rPr>
        <w:t xml:space="preserve">Изоляты </w:t>
      </w:r>
      <w:r w:rsidR="007A7888" w:rsidRPr="007A7888">
        <w:rPr>
          <w:i/>
          <w:sz w:val="28"/>
          <w:szCs w:val="28"/>
        </w:rPr>
        <w:t>S. aureus</w:t>
      </w:r>
      <w:r w:rsidRPr="005221BC">
        <w:rPr>
          <w:sz w:val="28"/>
          <w:szCs w:val="28"/>
        </w:rPr>
        <w:t xml:space="preserve"> продемонстрировали высокий уровень устойчивости к антибактериальным препаратам, при этом, наиболее эффективными антибиотиками оказались гентамицин, канамицин и неомицин, тогда как, ампициллин, тетрациклин и ципрофлоксацин оказались менее эффективными в отношении </w:t>
      </w:r>
      <w:r w:rsidR="007A7888" w:rsidRPr="007A7888">
        <w:rPr>
          <w:i/>
          <w:sz w:val="28"/>
          <w:szCs w:val="28"/>
        </w:rPr>
        <w:t>S. aureus</w:t>
      </w:r>
      <w:r w:rsidRPr="005221BC">
        <w:rPr>
          <w:sz w:val="28"/>
          <w:szCs w:val="28"/>
        </w:rPr>
        <w:t xml:space="preserve">. </w:t>
      </w:r>
    </w:p>
    <w:p w:rsidR="005221BC" w:rsidRPr="005221BC" w:rsidRDefault="005221BC" w:rsidP="00453C72">
      <w:pPr>
        <w:ind w:firstLine="709"/>
        <w:rPr>
          <w:sz w:val="28"/>
          <w:szCs w:val="28"/>
        </w:rPr>
      </w:pPr>
      <w:r w:rsidRPr="005221BC">
        <w:rPr>
          <w:sz w:val="28"/>
          <w:szCs w:val="28"/>
        </w:rPr>
        <w:lastRenderedPageBreak/>
        <w:t xml:space="preserve">Полученные результаты свидетельствуют о серьезной проблеме антибиотикорезистентности у выделенных штаммов </w:t>
      </w:r>
      <w:r w:rsidR="007A7888" w:rsidRPr="007A7888">
        <w:rPr>
          <w:i/>
          <w:sz w:val="28"/>
          <w:szCs w:val="28"/>
        </w:rPr>
        <w:t>S. aureus</w:t>
      </w:r>
      <w:r w:rsidRPr="005221BC">
        <w:rPr>
          <w:sz w:val="28"/>
          <w:szCs w:val="28"/>
        </w:rPr>
        <w:t>. Это подчеркивает важность разумного и ответственного использования антибиотиков в медицинской практике и сельском хозяйстве, а также необходимость постоянного мониторинга резистентности бактерий к антибиотикам для эффективного лечения.</w:t>
      </w:r>
    </w:p>
    <w:p w:rsidR="00FE1507" w:rsidRDefault="00FE1507" w:rsidP="00453C72">
      <w:pPr>
        <w:ind w:firstLine="709"/>
        <w:rPr>
          <w:b/>
          <w:sz w:val="28"/>
          <w:szCs w:val="28"/>
        </w:rPr>
      </w:pPr>
    </w:p>
    <w:p w:rsidR="005221BC" w:rsidRPr="00F74AAB" w:rsidRDefault="005221BC" w:rsidP="00453C72">
      <w:pPr>
        <w:ind w:firstLine="709"/>
        <w:rPr>
          <w:b/>
          <w:sz w:val="28"/>
          <w:szCs w:val="28"/>
        </w:rPr>
      </w:pPr>
      <w:r w:rsidRPr="00F74AAB">
        <w:rPr>
          <w:b/>
          <w:sz w:val="28"/>
          <w:szCs w:val="28"/>
        </w:rPr>
        <w:t>3.2. Дизайн, синтез и валидация праймерных и зондовых последовательностей для мультиплексной ПЦР</w:t>
      </w:r>
    </w:p>
    <w:p w:rsidR="00FE1507" w:rsidRDefault="00FE1507" w:rsidP="00453C72">
      <w:pPr>
        <w:ind w:firstLine="709"/>
        <w:rPr>
          <w:b/>
          <w:sz w:val="28"/>
          <w:szCs w:val="28"/>
        </w:rPr>
      </w:pPr>
    </w:p>
    <w:p w:rsidR="005221BC" w:rsidRPr="00FE1507" w:rsidRDefault="005221BC" w:rsidP="00453C72">
      <w:pPr>
        <w:ind w:firstLine="709"/>
        <w:rPr>
          <w:sz w:val="28"/>
          <w:szCs w:val="28"/>
        </w:rPr>
      </w:pPr>
      <w:r w:rsidRPr="00FE1507">
        <w:rPr>
          <w:sz w:val="28"/>
          <w:szCs w:val="28"/>
        </w:rPr>
        <w:t>3.2.1 Выбор генов-мишеней</w:t>
      </w:r>
    </w:p>
    <w:p w:rsidR="005221BC" w:rsidRPr="005221BC" w:rsidRDefault="005221BC" w:rsidP="00453C72">
      <w:pPr>
        <w:ind w:firstLine="709"/>
        <w:rPr>
          <w:sz w:val="28"/>
          <w:szCs w:val="28"/>
        </w:rPr>
      </w:pPr>
      <w:r w:rsidRPr="005221BC">
        <w:rPr>
          <w:sz w:val="28"/>
          <w:szCs w:val="28"/>
        </w:rPr>
        <w:t xml:space="preserve">Для идентификации </w:t>
      </w:r>
      <w:r w:rsidR="007A7888" w:rsidRPr="007A7888">
        <w:rPr>
          <w:i/>
          <w:sz w:val="28"/>
          <w:szCs w:val="28"/>
        </w:rPr>
        <w:t>S. aureus</w:t>
      </w:r>
      <w:r w:rsidRPr="005221BC">
        <w:rPr>
          <w:sz w:val="28"/>
          <w:szCs w:val="28"/>
        </w:rPr>
        <w:t xml:space="preserve"> выбран участок гена термостабильной нуклеазы (nuc). Данный ген кодирует фермент термостабильной нуклеазы, который характерен для </w:t>
      </w:r>
      <w:r w:rsidR="007A7888" w:rsidRPr="007A7888">
        <w:rPr>
          <w:i/>
          <w:sz w:val="28"/>
          <w:szCs w:val="28"/>
        </w:rPr>
        <w:t>S. aureus</w:t>
      </w:r>
      <w:r w:rsidRPr="005221BC">
        <w:rPr>
          <w:sz w:val="28"/>
          <w:szCs w:val="28"/>
        </w:rPr>
        <w:t xml:space="preserve">. Выбор гена nuc для идентификации </w:t>
      </w:r>
      <w:r w:rsidR="007A7888" w:rsidRPr="007A7888">
        <w:rPr>
          <w:i/>
          <w:sz w:val="28"/>
          <w:szCs w:val="28"/>
        </w:rPr>
        <w:t>S. aureus</w:t>
      </w:r>
      <w:r w:rsidRPr="005221BC">
        <w:rPr>
          <w:sz w:val="28"/>
          <w:szCs w:val="28"/>
        </w:rPr>
        <w:t xml:space="preserve"> основан на его высокой консервативности в пределах этого видового типа бактерий, что обеспечивает точность и надежность результатов, делая наш метод подходящим для идентификации </w:t>
      </w:r>
      <w:r w:rsidR="007A7888" w:rsidRPr="007A7888">
        <w:rPr>
          <w:i/>
          <w:sz w:val="28"/>
          <w:szCs w:val="28"/>
        </w:rPr>
        <w:t>S. aureus</w:t>
      </w:r>
      <w:r w:rsidRPr="005221BC">
        <w:rPr>
          <w:sz w:val="28"/>
          <w:szCs w:val="28"/>
        </w:rPr>
        <w:t xml:space="preserve"> в клинических образцах или в других контекстах [386,</w:t>
      </w:r>
      <w:r w:rsidR="007E1CC3">
        <w:rPr>
          <w:sz w:val="28"/>
          <w:szCs w:val="28"/>
        </w:rPr>
        <w:t xml:space="preserve"> с. 1;</w:t>
      </w:r>
      <w:r w:rsidRPr="005221BC">
        <w:rPr>
          <w:sz w:val="28"/>
          <w:szCs w:val="28"/>
        </w:rPr>
        <w:t xml:space="preserve"> 395-399].</w:t>
      </w:r>
    </w:p>
    <w:p w:rsidR="005221BC" w:rsidRPr="005221BC" w:rsidRDefault="005221BC" w:rsidP="00453C72">
      <w:pPr>
        <w:ind w:firstLine="709"/>
        <w:rPr>
          <w:sz w:val="28"/>
          <w:szCs w:val="28"/>
        </w:rPr>
      </w:pPr>
      <w:r w:rsidRPr="005221BC">
        <w:rPr>
          <w:sz w:val="28"/>
          <w:szCs w:val="28"/>
        </w:rPr>
        <w:t xml:space="preserve">Для подбора праймеров и флуоресцентно-меченых зондов использовали специфические для </w:t>
      </w:r>
      <w:r w:rsidR="007A7888" w:rsidRPr="007A7888">
        <w:rPr>
          <w:i/>
          <w:sz w:val="28"/>
          <w:szCs w:val="28"/>
        </w:rPr>
        <w:t>S. aureus</w:t>
      </w:r>
      <w:r w:rsidRPr="005221BC">
        <w:rPr>
          <w:sz w:val="28"/>
          <w:szCs w:val="28"/>
        </w:rPr>
        <w:t xml:space="preserve"> последовательности генов резистентности к антибиотикам группы бета-лактамов (BlaZ), макролидов (ermC) и тетрациклинов (TetK).</w:t>
      </w:r>
    </w:p>
    <w:p w:rsidR="005221BC" w:rsidRPr="005221BC" w:rsidRDefault="005221BC" w:rsidP="00453C72">
      <w:pPr>
        <w:ind w:firstLine="709"/>
        <w:rPr>
          <w:sz w:val="28"/>
          <w:szCs w:val="28"/>
        </w:rPr>
      </w:pPr>
      <w:r w:rsidRPr="005221BC">
        <w:rPr>
          <w:sz w:val="28"/>
          <w:szCs w:val="28"/>
        </w:rPr>
        <w:t xml:space="preserve">Ген blaZ является геном, кодирующим бета-лактамазу – фермент, способный гидролизовать (разрушать) бета-лактамное кольцо в структуре пенициллина и других бета-лактамных антибиотиков. Это позволяет </w:t>
      </w:r>
      <w:r w:rsidR="007A7888" w:rsidRPr="007A7888">
        <w:rPr>
          <w:i/>
          <w:sz w:val="28"/>
          <w:szCs w:val="28"/>
        </w:rPr>
        <w:t>S. aureus</w:t>
      </w:r>
      <w:r w:rsidRPr="005221BC">
        <w:rPr>
          <w:sz w:val="28"/>
          <w:szCs w:val="28"/>
        </w:rPr>
        <w:t xml:space="preserve"> инактивировать пенициллин и аналогичные антибиотики, делая их бесполезными в борьбе с этим видом бактерий. Резистентность к бета-лактамным антибиотикам, таким как пенициллины, является одним из механизмов антибиотикорезистентности, который может быть обусловлен наличием гена blaZ в геноме бактерии [400]. Когда у бактерии есть активный ген blaZ, она может проявлять резистентность к цефазолину путем инактивации антибиотика. Инокуляционный эффект метициллин-чувствительного </w:t>
      </w:r>
      <w:r w:rsidR="007A7888" w:rsidRPr="007A7888">
        <w:rPr>
          <w:i/>
          <w:sz w:val="28"/>
          <w:szCs w:val="28"/>
        </w:rPr>
        <w:t>S. aureus</w:t>
      </w:r>
      <w:r w:rsidRPr="005221BC">
        <w:rPr>
          <w:sz w:val="28"/>
          <w:szCs w:val="28"/>
        </w:rPr>
        <w:t xml:space="preserve"> (MSSA) против цефазолина может быть связан с различными факторами, включая экспрессию бета-лактамазы. Если у бактерии есть ген blaZ, и он активирован, то это может снизить чувствительность к цефазолину. Это подчеркивает важность учета механизмов антибиотикорезистентности, таких как бета-лактамазы, при выборе антибиотиков для лечения инфекций, а изучение гена blaZ и его экспрессии помогает понять, насколько эффективен может быть цефазолин против конкретных штаммов бактерий [401-405].</w:t>
      </w:r>
    </w:p>
    <w:p w:rsidR="005221BC" w:rsidRPr="005221BC" w:rsidRDefault="005221BC" w:rsidP="00453C72">
      <w:pPr>
        <w:ind w:firstLine="709"/>
        <w:rPr>
          <w:sz w:val="28"/>
          <w:szCs w:val="28"/>
        </w:rPr>
      </w:pPr>
      <w:r w:rsidRPr="005221BC">
        <w:rPr>
          <w:sz w:val="28"/>
          <w:szCs w:val="28"/>
        </w:rPr>
        <w:t xml:space="preserve">Ген ermC является детерминантом устойчивости к эритромицину у </w:t>
      </w:r>
      <w:r w:rsidR="007A7888" w:rsidRPr="007A7888">
        <w:rPr>
          <w:i/>
          <w:sz w:val="28"/>
          <w:szCs w:val="28"/>
        </w:rPr>
        <w:t>S. aureus</w:t>
      </w:r>
      <w:r w:rsidRPr="005221BC">
        <w:rPr>
          <w:sz w:val="28"/>
          <w:szCs w:val="28"/>
        </w:rPr>
        <w:t xml:space="preserve">, кодирует метилтрансферазу. Метилтрансфераза катализирует метилирование 23S рибосомальной РНК (рРНК) в области, связанной с местом действия макролидов, включая эритромицин, приводит к структурным изменениям в рибосомах, что затрудняет связывание макролидов и, </w:t>
      </w:r>
      <w:r w:rsidRPr="005221BC">
        <w:rPr>
          <w:sz w:val="28"/>
          <w:szCs w:val="28"/>
        </w:rPr>
        <w:lastRenderedPageBreak/>
        <w:t>следовательно, делает бактерии устойчивыми к этим антибиотикам. Ген ermC встречается у 94-98% всех устойчивых к эритромицину стафилококков [260,</w:t>
      </w:r>
      <w:r w:rsidR="00FB61F2" w:rsidRPr="00FB61F2">
        <w:rPr>
          <w:sz w:val="28"/>
          <w:szCs w:val="28"/>
        </w:rPr>
        <w:t xml:space="preserve"> </w:t>
      </w:r>
      <w:r w:rsidR="00FB61F2">
        <w:rPr>
          <w:sz w:val="28"/>
          <w:szCs w:val="28"/>
        </w:rPr>
        <w:t xml:space="preserve">с. 10; </w:t>
      </w:r>
      <w:r w:rsidR="00FB61F2" w:rsidRPr="005221BC">
        <w:rPr>
          <w:sz w:val="28"/>
          <w:szCs w:val="28"/>
        </w:rPr>
        <w:t>406</w:t>
      </w:r>
      <w:r w:rsidRPr="005221BC">
        <w:rPr>
          <w:sz w:val="28"/>
          <w:szCs w:val="28"/>
        </w:rPr>
        <w:t>-408].</w:t>
      </w:r>
    </w:p>
    <w:p w:rsidR="005221BC" w:rsidRPr="005221BC" w:rsidRDefault="005221BC" w:rsidP="00453C72">
      <w:pPr>
        <w:ind w:firstLine="709"/>
        <w:rPr>
          <w:sz w:val="28"/>
          <w:szCs w:val="28"/>
        </w:rPr>
      </w:pPr>
      <w:r w:rsidRPr="005221BC">
        <w:rPr>
          <w:sz w:val="28"/>
          <w:szCs w:val="28"/>
        </w:rPr>
        <w:t xml:space="preserve">Ген TetK кодирует тетрациклин-специфическую эффлюкс-помпу, являющуюся одним из детерминантов устойчивости к тетрациклину у </w:t>
      </w:r>
      <w:r w:rsidR="007A7888" w:rsidRPr="007A7888">
        <w:rPr>
          <w:i/>
          <w:sz w:val="28"/>
          <w:szCs w:val="28"/>
        </w:rPr>
        <w:t>S. aureus</w:t>
      </w:r>
      <w:r w:rsidRPr="005221BC">
        <w:rPr>
          <w:sz w:val="28"/>
          <w:szCs w:val="28"/>
        </w:rPr>
        <w:t>. Важно отметить, что гены устойчивости могут передаваться между бактериями, включая те, которые обитают в кишечнике человека. Данный механизм может приводить к распространению устойчивости к АБП и создавать проблемы в лечении инфекций, когда используются те же антибиотики, на которые бактерии становятся устойчивыми [409, 410].</w:t>
      </w:r>
    </w:p>
    <w:p w:rsidR="005221BC" w:rsidRPr="005221BC" w:rsidRDefault="005221BC" w:rsidP="00453C72">
      <w:pPr>
        <w:ind w:firstLine="709"/>
        <w:rPr>
          <w:sz w:val="28"/>
          <w:szCs w:val="28"/>
        </w:rPr>
      </w:pPr>
      <w:r w:rsidRPr="005221BC">
        <w:rPr>
          <w:sz w:val="28"/>
          <w:szCs w:val="28"/>
        </w:rPr>
        <w:t xml:space="preserve">Таким образом, мониторинг вышеперечисленных генов у </w:t>
      </w:r>
      <w:r w:rsidR="007A7888" w:rsidRPr="007A7888">
        <w:rPr>
          <w:i/>
          <w:sz w:val="28"/>
          <w:szCs w:val="28"/>
        </w:rPr>
        <w:t>S. aureus</w:t>
      </w:r>
      <w:r w:rsidRPr="005221BC">
        <w:rPr>
          <w:sz w:val="28"/>
          <w:szCs w:val="28"/>
        </w:rPr>
        <w:t>, позволит отслеживать изменения в уровнях антибиотикорезистентности и предостеречь от распространения устойчивых к АБП штаммов. Данные исследования также важны для разработки стратегий лечения и предотвращения распространения антибиотикорезистентных бактерий в ветеринарно-санитарной практике.</w:t>
      </w:r>
    </w:p>
    <w:p w:rsidR="005221BC" w:rsidRDefault="005221BC" w:rsidP="00453C72">
      <w:pPr>
        <w:ind w:firstLine="709"/>
        <w:rPr>
          <w:sz w:val="28"/>
          <w:szCs w:val="28"/>
        </w:rPr>
      </w:pPr>
      <w:r w:rsidRPr="005221BC">
        <w:rPr>
          <w:sz w:val="28"/>
          <w:szCs w:val="28"/>
        </w:rPr>
        <w:t>Для поиска этих генов использовались инструменты анализа последовательностей, такие как BLAST (Basic Local Alignment Search Tool), чтобы сравнить наши последовательности с базой данных NCBI и определить их схожесть с уже известными генами устойчивости. В таблице 7 представлены инвентарные номера GenBank используемых последовательностей генов nuc, blaZ, ermC и TetK.</w:t>
      </w:r>
    </w:p>
    <w:p w:rsidR="0077064C" w:rsidRPr="005221BC" w:rsidRDefault="0077064C" w:rsidP="00453C72">
      <w:pPr>
        <w:ind w:firstLine="709"/>
        <w:rPr>
          <w:sz w:val="28"/>
          <w:szCs w:val="28"/>
        </w:rPr>
      </w:pPr>
    </w:p>
    <w:p w:rsidR="005221BC" w:rsidRDefault="005221BC" w:rsidP="0077064C">
      <w:pPr>
        <w:rPr>
          <w:sz w:val="28"/>
          <w:szCs w:val="28"/>
        </w:rPr>
      </w:pPr>
      <w:r w:rsidRPr="005221BC">
        <w:rPr>
          <w:sz w:val="28"/>
          <w:szCs w:val="28"/>
        </w:rPr>
        <w:t>Таблица 7 – Данные используемых нуклеотидных последовательностей</w:t>
      </w:r>
    </w:p>
    <w:tbl>
      <w:tblPr>
        <w:tblStyle w:val="a3"/>
        <w:tblW w:w="5000" w:type="pct"/>
        <w:tblLook w:val="04A0" w:firstRow="1" w:lastRow="0" w:firstColumn="1" w:lastColumn="0" w:noHBand="0" w:noVBand="1"/>
      </w:tblPr>
      <w:tblGrid>
        <w:gridCol w:w="5867"/>
        <w:gridCol w:w="2113"/>
        <w:gridCol w:w="1874"/>
      </w:tblGrid>
      <w:tr w:rsidR="00F74AAB" w:rsidRPr="00F74AAB" w:rsidTr="006F2F87">
        <w:tc>
          <w:tcPr>
            <w:tcW w:w="2977" w:type="pct"/>
          </w:tcPr>
          <w:p w:rsidR="00F74AAB" w:rsidRPr="00F74AAB" w:rsidRDefault="00F74AAB" w:rsidP="00453C72">
            <w:pPr>
              <w:jc w:val="center"/>
              <w:rPr>
                <w:sz w:val="28"/>
                <w:szCs w:val="28"/>
              </w:rPr>
            </w:pPr>
            <w:r w:rsidRPr="00F74AAB">
              <w:rPr>
                <w:sz w:val="28"/>
                <w:szCs w:val="28"/>
              </w:rPr>
              <w:t>Наименование</w:t>
            </w:r>
          </w:p>
        </w:tc>
        <w:tc>
          <w:tcPr>
            <w:tcW w:w="1072" w:type="pct"/>
          </w:tcPr>
          <w:p w:rsidR="00F74AAB" w:rsidRPr="00F74AAB" w:rsidRDefault="00F74AAB" w:rsidP="00453C72">
            <w:pPr>
              <w:jc w:val="center"/>
              <w:rPr>
                <w:sz w:val="28"/>
                <w:szCs w:val="28"/>
              </w:rPr>
            </w:pPr>
            <w:r w:rsidRPr="00F74AAB">
              <w:rPr>
                <w:sz w:val="28"/>
                <w:szCs w:val="28"/>
              </w:rPr>
              <w:t>№ GenBank</w:t>
            </w:r>
          </w:p>
        </w:tc>
        <w:tc>
          <w:tcPr>
            <w:tcW w:w="951" w:type="pct"/>
          </w:tcPr>
          <w:p w:rsidR="00F74AAB" w:rsidRPr="00F74AAB" w:rsidRDefault="00F74AAB" w:rsidP="00453C72">
            <w:pPr>
              <w:jc w:val="center"/>
              <w:rPr>
                <w:sz w:val="28"/>
                <w:szCs w:val="28"/>
              </w:rPr>
            </w:pPr>
            <w:r w:rsidRPr="00F74AAB">
              <w:rPr>
                <w:sz w:val="28"/>
                <w:szCs w:val="28"/>
              </w:rPr>
              <w:t>Длина п.н.</w:t>
            </w:r>
          </w:p>
        </w:tc>
      </w:tr>
      <w:tr w:rsidR="00F74AAB" w:rsidRPr="00F74AAB" w:rsidTr="006F2F87">
        <w:tc>
          <w:tcPr>
            <w:tcW w:w="2977" w:type="pct"/>
          </w:tcPr>
          <w:p w:rsidR="00F74AAB" w:rsidRPr="00F74AAB" w:rsidRDefault="00F74AAB" w:rsidP="00453C72">
            <w:pPr>
              <w:jc w:val="left"/>
              <w:rPr>
                <w:sz w:val="28"/>
                <w:szCs w:val="28"/>
              </w:rPr>
            </w:pPr>
            <w:r w:rsidRPr="00F74AAB">
              <w:rPr>
                <w:sz w:val="28"/>
                <w:szCs w:val="28"/>
              </w:rPr>
              <w:t>Ген термостабильной нуклеазы (nuc)</w:t>
            </w:r>
          </w:p>
        </w:tc>
        <w:tc>
          <w:tcPr>
            <w:tcW w:w="1072" w:type="pct"/>
          </w:tcPr>
          <w:p w:rsidR="00F74AAB" w:rsidRPr="00F74AAB" w:rsidRDefault="00F74AAB" w:rsidP="00453C72">
            <w:pPr>
              <w:jc w:val="left"/>
              <w:rPr>
                <w:sz w:val="28"/>
                <w:szCs w:val="28"/>
              </w:rPr>
            </w:pPr>
            <w:r w:rsidRPr="00F74AAB">
              <w:rPr>
                <w:sz w:val="28"/>
                <w:szCs w:val="28"/>
              </w:rPr>
              <w:t>DQ507382.1</w:t>
            </w:r>
          </w:p>
        </w:tc>
        <w:tc>
          <w:tcPr>
            <w:tcW w:w="951" w:type="pct"/>
          </w:tcPr>
          <w:p w:rsidR="00F74AAB" w:rsidRPr="00F74AAB" w:rsidRDefault="00F74AAB" w:rsidP="00B363C2">
            <w:pPr>
              <w:jc w:val="center"/>
              <w:rPr>
                <w:sz w:val="28"/>
                <w:szCs w:val="28"/>
              </w:rPr>
            </w:pPr>
            <w:r w:rsidRPr="00F74AAB">
              <w:rPr>
                <w:sz w:val="28"/>
                <w:szCs w:val="28"/>
              </w:rPr>
              <w:t>655</w:t>
            </w:r>
          </w:p>
        </w:tc>
      </w:tr>
      <w:tr w:rsidR="00F74AAB" w:rsidRPr="00F74AAB" w:rsidTr="006F2F87">
        <w:tc>
          <w:tcPr>
            <w:tcW w:w="2977" w:type="pct"/>
          </w:tcPr>
          <w:p w:rsidR="00F74AAB" w:rsidRPr="00F74AAB" w:rsidRDefault="00F74AAB" w:rsidP="00453C72">
            <w:pPr>
              <w:jc w:val="left"/>
              <w:rPr>
                <w:sz w:val="28"/>
                <w:szCs w:val="28"/>
              </w:rPr>
            </w:pPr>
            <w:r w:rsidRPr="00F74AAB">
              <w:rPr>
                <w:sz w:val="28"/>
                <w:szCs w:val="28"/>
              </w:rPr>
              <w:t>Ген бета-лактамазы (blaZ)</w:t>
            </w:r>
          </w:p>
        </w:tc>
        <w:tc>
          <w:tcPr>
            <w:tcW w:w="1072" w:type="pct"/>
          </w:tcPr>
          <w:p w:rsidR="00F74AAB" w:rsidRPr="00F74AAB" w:rsidRDefault="00F74AAB" w:rsidP="00453C72">
            <w:pPr>
              <w:jc w:val="left"/>
              <w:rPr>
                <w:sz w:val="28"/>
                <w:szCs w:val="28"/>
              </w:rPr>
            </w:pPr>
            <w:r w:rsidRPr="00F74AAB">
              <w:rPr>
                <w:sz w:val="28"/>
                <w:szCs w:val="28"/>
              </w:rPr>
              <w:t>U58139.2</w:t>
            </w:r>
          </w:p>
        </w:tc>
        <w:tc>
          <w:tcPr>
            <w:tcW w:w="951" w:type="pct"/>
          </w:tcPr>
          <w:p w:rsidR="00F74AAB" w:rsidRPr="00F74AAB" w:rsidRDefault="00F74AAB" w:rsidP="00B363C2">
            <w:pPr>
              <w:jc w:val="center"/>
              <w:rPr>
                <w:sz w:val="28"/>
                <w:szCs w:val="28"/>
              </w:rPr>
            </w:pPr>
            <w:r w:rsidRPr="00F74AAB">
              <w:rPr>
                <w:sz w:val="28"/>
                <w:szCs w:val="28"/>
              </w:rPr>
              <w:t>1350</w:t>
            </w:r>
          </w:p>
        </w:tc>
      </w:tr>
      <w:tr w:rsidR="00F74AAB" w:rsidRPr="00F74AAB" w:rsidTr="006F2F87">
        <w:tc>
          <w:tcPr>
            <w:tcW w:w="2977" w:type="pct"/>
          </w:tcPr>
          <w:p w:rsidR="00F74AAB" w:rsidRPr="00F74AAB" w:rsidRDefault="00F74AAB" w:rsidP="00453C72">
            <w:pPr>
              <w:jc w:val="left"/>
              <w:rPr>
                <w:sz w:val="28"/>
                <w:szCs w:val="28"/>
              </w:rPr>
            </w:pPr>
            <w:r w:rsidRPr="00F74AAB">
              <w:rPr>
                <w:sz w:val="28"/>
                <w:szCs w:val="28"/>
              </w:rPr>
              <w:t>Ген s-аденозилметионин-зависимой метилтрансферазы (ermC)</w:t>
            </w:r>
          </w:p>
        </w:tc>
        <w:tc>
          <w:tcPr>
            <w:tcW w:w="1072" w:type="pct"/>
          </w:tcPr>
          <w:p w:rsidR="00F74AAB" w:rsidRPr="00F74AAB" w:rsidRDefault="00F74AAB" w:rsidP="00453C72">
            <w:pPr>
              <w:jc w:val="left"/>
              <w:rPr>
                <w:sz w:val="28"/>
                <w:szCs w:val="28"/>
              </w:rPr>
            </w:pPr>
            <w:r w:rsidRPr="00F74AAB">
              <w:rPr>
                <w:sz w:val="28"/>
                <w:szCs w:val="28"/>
              </w:rPr>
              <w:t>MF095627.1</w:t>
            </w:r>
          </w:p>
        </w:tc>
        <w:tc>
          <w:tcPr>
            <w:tcW w:w="951" w:type="pct"/>
          </w:tcPr>
          <w:p w:rsidR="00F74AAB" w:rsidRPr="00F74AAB" w:rsidRDefault="00F74AAB" w:rsidP="00B363C2">
            <w:pPr>
              <w:jc w:val="center"/>
              <w:rPr>
                <w:sz w:val="28"/>
                <w:szCs w:val="28"/>
              </w:rPr>
            </w:pPr>
            <w:r w:rsidRPr="00F74AAB">
              <w:rPr>
                <w:sz w:val="28"/>
                <w:szCs w:val="28"/>
              </w:rPr>
              <w:t>563</w:t>
            </w:r>
          </w:p>
        </w:tc>
      </w:tr>
      <w:tr w:rsidR="00F74AAB" w:rsidRPr="00F74AAB" w:rsidTr="006F2F87">
        <w:tc>
          <w:tcPr>
            <w:tcW w:w="2977" w:type="pct"/>
          </w:tcPr>
          <w:p w:rsidR="00F74AAB" w:rsidRPr="00F74AAB" w:rsidRDefault="00F74AAB" w:rsidP="00453C72">
            <w:pPr>
              <w:jc w:val="left"/>
              <w:rPr>
                <w:sz w:val="28"/>
                <w:szCs w:val="28"/>
              </w:rPr>
            </w:pPr>
            <w:r w:rsidRPr="00F74AAB">
              <w:rPr>
                <w:sz w:val="28"/>
                <w:szCs w:val="28"/>
              </w:rPr>
              <w:t>Ген устойчивости к тетрациклину TetK</w:t>
            </w:r>
          </w:p>
        </w:tc>
        <w:tc>
          <w:tcPr>
            <w:tcW w:w="1072" w:type="pct"/>
          </w:tcPr>
          <w:p w:rsidR="00F74AAB" w:rsidRPr="00F74AAB" w:rsidRDefault="00F74AAB" w:rsidP="00453C72">
            <w:pPr>
              <w:jc w:val="left"/>
              <w:rPr>
                <w:sz w:val="28"/>
                <w:szCs w:val="28"/>
              </w:rPr>
            </w:pPr>
            <w:r w:rsidRPr="00F74AAB">
              <w:rPr>
                <w:sz w:val="28"/>
                <w:szCs w:val="28"/>
              </w:rPr>
              <w:t>KR362247.1</w:t>
            </w:r>
          </w:p>
        </w:tc>
        <w:tc>
          <w:tcPr>
            <w:tcW w:w="951" w:type="pct"/>
          </w:tcPr>
          <w:p w:rsidR="00F74AAB" w:rsidRPr="00F74AAB" w:rsidRDefault="00F74AAB" w:rsidP="00B363C2">
            <w:pPr>
              <w:jc w:val="center"/>
              <w:rPr>
                <w:sz w:val="28"/>
                <w:szCs w:val="28"/>
              </w:rPr>
            </w:pPr>
            <w:r w:rsidRPr="00F74AAB">
              <w:rPr>
                <w:sz w:val="28"/>
                <w:szCs w:val="28"/>
              </w:rPr>
              <w:t>168</w:t>
            </w:r>
          </w:p>
        </w:tc>
      </w:tr>
    </w:tbl>
    <w:p w:rsidR="00F74AAB" w:rsidRPr="00F74AAB" w:rsidRDefault="00F74AAB" w:rsidP="00F74AAB">
      <w:pPr>
        <w:rPr>
          <w:sz w:val="28"/>
          <w:szCs w:val="28"/>
        </w:rPr>
      </w:pPr>
    </w:p>
    <w:p w:rsidR="00F74AAB" w:rsidRPr="00FE1507" w:rsidRDefault="00F74AAB" w:rsidP="00453C72">
      <w:pPr>
        <w:ind w:firstLine="709"/>
        <w:rPr>
          <w:sz w:val="28"/>
          <w:szCs w:val="28"/>
        </w:rPr>
      </w:pPr>
      <w:r w:rsidRPr="00FE1507">
        <w:rPr>
          <w:sz w:val="28"/>
          <w:szCs w:val="28"/>
        </w:rPr>
        <w:t>3.</w:t>
      </w:r>
      <w:r w:rsidR="000D6CCE" w:rsidRPr="00FE1507">
        <w:rPr>
          <w:sz w:val="28"/>
          <w:szCs w:val="28"/>
        </w:rPr>
        <w:t>2</w:t>
      </w:r>
      <w:r w:rsidRPr="00FE1507">
        <w:rPr>
          <w:sz w:val="28"/>
          <w:szCs w:val="28"/>
        </w:rPr>
        <w:t>.2 Результаты подбора праймеров и зондов</w:t>
      </w:r>
    </w:p>
    <w:p w:rsidR="00F74AAB" w:rsidRPr="00453C72" w:rsidRDefault="00F74AAB" w:rsidP="00453C72">
      <w:pPr>
        <w:ind w:firstLine="709"/>
        <w:rPr>
          <w:sz w:val="28"/>
          <w:szCs w:val="28"/>
        </w:rPr>
      </w:pPr>
      <w:r w:rsidRPr="00453C72">
        <w:rPr>
          <w:sz w:val="28"/>
          <w:szCs w:val="28"/>
        </w:rPr>
        <w:t xml:space="preserve">Отбор участков генов blaZ, ermC и TetK для дизайна праймеров и флуоресцентно-меченых зондов произвели путем выравнивания последовательностей генов nuc, blaZ, ermC и TetK различных штаммов </w:t>
      </w:r>
      <w:r w:rsidR="007A7888" w:rsidRPr="007A7888">
        <w:rPr>
          <w:i/>
          <w:sz w:val="28"/>
          <w:szCs w:val="28"/>
        </w:rPr>
        <w:t>S. aureus</w:t>
      </w:r>
      <w:r w:rsidRPr="00453C72">
        <w:rPr>
          <w:sz w:val="28"/>
          <w:szCs w:val="28"/>
        </w:rPr>
        <w:t xml:space="preserve"> в базе данных NCBI для определения участков с высокой степенью консервативности.</w:t>
      </w:r>
    </w:p>
    <w:p w:rsidR="00F74AAB" w:rsidRPr="00453C72" w:rsidRDefault="00F74AAB" w:rsidP="00453C72">
      <w:pPr>
        <w:ind w:firstLine="709"/>
        <w:rPr>
          <w:sz w:val="28"/>
          <w:szCs w:val="28"/>
        </w:rPr>
      </w:pPr>
      <w:r w:rsidRPr="00453C72">
        <w:rPr>
          <w:sz w:val="28"/>
          <w:szCs w:val="28"/>
        </w:rPr>
        <w:t xml:space="preserve">По результатам проведенных анализов были выбраны конкретные участки генов, являющиеся консервативными и обладающими оптимальным GC-составом, 100% покрытием и идентичностью при сравнении с последовательностями из базы данных NCBI для </w:t>
      </w:r>
      <w:r w:rsidR="007A7888" w:rsidRPr="007A7888">
        <w:rPr>
          <w:i/>
          <w:sz w:val="28"/>
          <w:szCs w:val="28"/>
        </w:rPr>
        <w:t>S. aureus</w:t>
      </w:r>
      <w:r w:rsidRPr="00453C72">
        <w:rPr>
          <w:sz w:val="28"/>
          <w:szCs w:val="28"/>
        </w:rPr>
        <w:t>.</w:t>
      </w:r>
    </w:p>
    <w:p w:rsidR="00F74AAB" w:rsidRPr="00453C72" w:rsidRDefault="00F74AAB" w:rsidP="00453C72">
      <w:pPr>
        <w:ind w:firstLine="709"/>
        <w:rPr>
          <w:sz w:val="28"/>
          <w:szCs w:val="28"/>
        </w:rPr>
      </w:pPr>
      <w:r w:rsidRPr="00453C72">
        <w:rPr>
          <w:sz w:val="28"/>
          <w:szCs w:val="28"/>
        </w:rPr>
        <w:lastRenderedPageBreak/>
        <w:t xml:space="preserve">Всего с помощью инструмента «Primer-BLAST» NCBI подобрано 29 пар праймеров и зондов для специфических участков генов nuc, BlaZ, ermC и TetK </w:t>
      </w:r>
      <w:r w:rsidR="007A7888" w:rsidRPr="007A7888">
        <w:rPr>
          <w:i/>
          <w:sz w:val="28"/>
          <w:szCs w:val="28"/>
        </w:rPr>
        <w:t>S. aureus</w:t>
      </w:r>
      <w:r w:rsidRPr="00453C72">
        <w:rPr>
          <w:sz w:val="28"/>
          <w:szCs w:val="28"/>
        </w:rPr>
        <w:t xml:space="preserve"> (приложение </w:t>
      </w:r>
      <w:r w:rsidR="001A43AE">
        <w:rPr>
          <w:sz w:val="28"/>
          <w:szCs w:val="28"/>
        </w:rPr>
        <w:t>П</w:t>
      </w:r>
      <w:r w:rsidRPr="00453C72">
        <w:rPr>
          <w:sz w:val="28"/>
          <w:szCs w:val="28"/>
        </w:rPr>
        <w:t xml:space="preserve">). </w:t>
      </w:r>
    </w:p>
    <w:p w:rsidR="00F74AAB" w:rsidRPr="00453C72" w:rsidRDefault="00F74AAB" w:rsidP="00453C72">
      <w:pPr>
        <w:ind w:firstLine="709"/>
        <w:rPr>
          <w:rFonts w:cs="Times New Roman"/>
          <w:sz w:val="28"/>
          <w:szCs w:val="28"/>
        </w:rPr>
      </w:pPr>
      <w:r w:rsidRPr="00453C72">
        <w:rPr>
          <w:sz w:val="28"/>
          <w:szCs w:val="28"/>
        </w:rPr>
        <w:t>По результатам анализа на вероятность образования нежелательных вторичных структур (шпилек) между олигонуклеотидами, физических характеристик, подобранных праймеров и зондов, были отобраны праймеры и зонды, которые представлены в рисунках 28-31 (праймеры и зонд выделены цветом), таблицы 8-11.</w:t>
      </w:r>
    </w:p>
    <w:p w:rsidR="00F74AAB" w:rsidRPr="0016347F" w:rsidRDefault="00F74AAB" w:rsidP="0016347F">
      <w:pPr>
        <w:rPr>
          <w:rFonts w:cs="Times New Roman"/>
          <w:sz w:val="28"/>
          <w:szCs w:val="28"/>
        </w:rPr>
      </w:pPr>
    </w:p>
    <w:p w:rsidR="00F74AAB" w:rsidRPr="0016347F" w:rsidRDefault="0016347F" w:rsidP="00453C72">
      <w:pPr>
        <w:jc w:val="center"/>
        <w:rPr>
          <w:rFonts w:cs="Times New Roman"/>
          <w:sz w:val="28"/>
          <w:szCs w:val="28"/>
        </w:rPr>
      </w:pPr>
      <w:r w:rsidRPr="0016347F">
        <w:rPr>
          <w:rFonts w:cs="Times New Roman"/>
          <w:noProof/>
          <w:sz w:val="28"/>
          <w:szCs w:val="28"/>
          <w:lang w:eastAsia="ru-RU"/>
        </w:rPr>
        <w:drawing>
          <wp:inline distT="0" distB="0" distL="0" distR="0" wp14:anchorId="06BA8B0E" wp14:editId="3D7548B8">
            <wp:extent cx="3937884" cy="1219200"/>
            <wp:effectExtent l="0" t="0" r="5715" b="0"/>
            <wp:docPr id="4" name="Рисунок 4" descr="C:\Users\User\Моноблок\Байменов\2025 год\докторантура\материалы и методы\Рисунки\Рисунок 17 – Staphylococcus aureus, последовательность гена термостабильной нуклеазы (nu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Рисунки\Рисунок 17 – Staphylococcus aureus, последовательность гена термостабильной нуклеазы (nuc).tiff"/>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222531" cy="1307329"/>
                    </a:xfrm>
                    <a:prstGeom prst="rect">
                      <a:avLst/>
                    </a:prstGeom>
                    <a:noFill/>
                    <a:ln>
                      <a:noFill/>
                    </a:ln>
                  </pic:spPr>
                </pic:pic>
              </a:graphicData>
            </a:graphic>
          </wp:inline>
        </w:drawing>
      </w:r>
    </w:p>
    <w:p w:rsidR="0016347F" w:rsidRPr="0016347F" w:rsidRDefault="0016347F" w:rsidP="00453C72">
      <w:pPr>
        <w:jc w:val="center"/>
        <w:rPr>
          <w:rFonts w:cs="Times New Roman"/>
          <w:sz w:val="28"/>
          <w:szCs w:val="28"/>
        </w:rPr>
      </w:pPr>
      <w:r w:rsidRPr="0016347F">
        <w:rPr>
          <w:rFonts w:cs="Times New Roman"/>
          <w:sz w:val="28"/>
          <w:szCs w:val="28"/>
        </w:rPr>
        <w:t xml:space="preserve">Рисунок 28 – Последовательность гена термостабильной нуклеазы (nuc) </w:t>
      </w:r>
      <w:r w:rsidR="007A7888" w:rsidRPr="007A7888">
        <w:rPr>
          <w:rFonts w:cs="Times New Roman"/>
          <w:i/>
          <w:sz w:val="28"/>
          <w:szCs w:val="28"/>
        </w:rPr>
        <w:t>S. aureus</w:t>
      </w:r>
      <w:r w:rsidRPr="0016347F">
        <w:rPr>
          <w:rFonts w:cs="Times New Roman"/>
          <w:sz w:val="28"/>
          <w:szCs w:val="28"/>
        </w:rPr>
        <w:t>. ГенБанк: DQ507382.1</w:t>
      </w:r>
    </w:p>
    <w:p w:rsidR="0016347F" w:rsidRPr="0016347F" w:rsidRDefault="0016347F" w:rsidP="0016347F">
      <w:pPr>
        <w:rPr>
          <w:rFonts w:cs="Times New Roman"/>
          <w:sz w:val="28"/>
          <w:szCs w:val="28"/>
        </w:rPr>
      </w:pPr>
    </w:p>
    <w:p w:rsidR="0016347F" w:rsidRPr="0016347F" w:rsidRDefault="0016347F" w:rsidP="0016347F">
      <w:pPr>
        <w:rPr>
          <w:rFonts w:cs="Times New Roman"/>
          <w:sz w:val="28"/>
          <w:szCs w:val="28"/>
        </w:rPr>
      </w:pPr>
      <w:r w:rsidRPr="0016347F">
        <w:rPr>
          <w:rFonts w:cs="Times New Roman"/>
          <w:sz w:val="28"/>
          <w:szCs w:val="28"/>
        </w:rPr>
        <w:t xml:space="preserve">Таблица 8 – Последовательности подобранных праймеров и зонда для гена термостабильной нуклеазы (nuc) </w:t>
      </w:r>
      <w:r w:rsidR="007A7888" w:rsidRPr="007A7888">
        <w:rPr>
          <w:rFonts w:cs="Times New Roman"/>
          <w:i/>
          <w:sz w:val="28"/>
          <w:szCs w:val="28"/>
        </w:rPr>
        <w:t>S. aureus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5828"/>
        <w:gridCol w:w="1125"/>
      </w:tblGrid>
      <w:tr w:rsidR="0016347F" w:rsidRPr="0016347F" w:rsidTr="006F2F87">
        <w:tc>
          <w:tcPr>
            <w:tcW w:w="4429" w:type="pct"/>
            <w:gridSpan w:val="2"/>
          </w:tcPr>
          <w:p w:rsidR="0016347F" w:rsidRPr="0016347F" w:rsidRDefault="0016347F" w:rsidP="0016347F">
            <w:pPr>
              <w:rPr>
                <w:rFonts w:cs="Times New Roman"/>
                <w:sz w:val="28"/>
                <w:szCs w:val="28"/>
              </w:rPr>
            </w:pPr>
            <w:r w:rsidRPr="0016347F">
              <w:rPr>
                <w:rFonts w:cs="Times New Roman"/>
                <w:sz w:val="28"/>
                <w:szCs w:val="28"/>
              </w:rPr>
              <w:t>Последовательность (5'-&gt;3')</w:t>
            </w:r>
          </w:p>
        </w:tc>
        <w:tc>
          <w:tcPr>
            <w:tcW w:w="571" w:type="pct"/>
          </w:tcPr>
          <w:p w:rsidR="0016347F" w:rsidRPr="0016347F" w:rsidRDefault="0016347F" w:rsidP="0016347F">
            <w:pPr>
              <w:rPr>
                <w:rFonts w:cs="Times New Roman"/>
                <w:sz w:val="28"/>
                <w:szCs w:val="28"/>
              </w:rPr>
            </w:pPr>
            <w:r w:rsidRPr="0016347F">
              <w:rPr>
                <w:rFonts w:cs="Times New Roman"/>
                <w:sz w:val="28"/>
                <w:szCs w:val="28"/>
              </w:rPr>
              <w:t>Длина</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Прямой праймер</w:t>
            </w:r>
          </w:p>
        </w:tc>
        <w:tc>
          <w:tcPr>
            <w:tcW w:w="2957" w:type="pct"/>
          </w:tcPr>
          <w:p w:rsidR="0016347F" w:rsidRPr="0016347F" w:rsidRDefault="0016347F" w:rsidP="0016347F">
            <w:pPr>
              <w:rPr>
                <w:rFonts w:cs="Times New Roman"/>
                <w:sz w:val="28"/>
                <w:szCs w:val="28"/>
              </w:rPr>
            </w:pPr>
            <w:r w:rsidRPr="0016347F">
              <w:rPr>
                <w:rFonts w:cs="Times New Roman"/>
                <w:sz w:val="28"/>
                <w:szCs w:val="28"/>
              </w:rPr>
              <w:t>AATATGGACGTGGCTTAGCGT</w:t>
            </w:r>
          </w:p>
        </w:tc>
        <w:tc>
          <w:tcPr>
            <w:tcW w:w="571" w:type="pct"/>
          </w:tcPr>
          <w:p w:rsidR="0016347F" w:rsidRPr="0016347F" w:rsidRDefault="0016347F" w:rsidP="0016347F">
            <w:pPr>
              <w:rPr>
                <w:rFonts w:cs="Times New Roman"/>
                <w:sz w:val="28"/>
                <w:szCs w:val="28"/>
              </w:rPr>
            </w:pPr>
            <w:r w:rsidRPr="0016347F">
              <w:rPr>
                <w:rFonts w:cs="Times New Roman"/>
                <w:sz w:val="28"/>
                <w:szCs w:val="28"/>
              </w:rPr>
              <w:t>21</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Обратный праймер</w:t>
            </w:r>
          </w:p>
        </w:tc>
        <w:tc>
          <w:tcPr>
            <w:tcW w:w="2957" w:type="pct"/>
          </w:tcPr>
          <w:p w:rsidR="0016347F" w:rsidRPr="0016347F" w:rsidRDefault="0016347F" w:rsidP="0016347F">
            <w:pPr>
              <w:rPr>
                <w:rFonts w:cs="Times New Roman"/>
                <w:sz w:val="28"/>
                <w:szCs w:val="28"/>
              </w:rPr>
            </w:pPr>
            <w:r w:rsidRPr="0016347F">
              <w:rPr>
                <w:rFonts w:cs="Times New Roman"/>
                <w:sz w:val="28"/>
                <w:szCs w:val="28"/>
              </w:rPr>
              <w:t>AGCCAAGCCTTGACGAACTAA</w:t>
            </w:r>
          </w:p>
        </w:tc>
        <w:tc>
          <w:tcPr>
            <w:tcW w:w="571" w:type="pct"/>
          </w:tcPr>
          <w:p w:rsidR="0016347F" w:rsidRPr="0016347F" w:rsidRDefault="0016347F" w:rsidP="0016347F">
            <w:pPr>
              <w:rPr>
                <w:rFonts w:cs="Times New Roman"/>
                <w:sz w:val="28"/>
                <w:szCs w:val="28"/>
              </w:rPr>
            </w:pPr>
            <w:r w:rsidRPr="0016347F">
              <w:rPr>
                <w:rFonts w:cs="Times New Roman"/>
                <w:sz w:val="28"/>
                <w:szCs w:val="28"/>
              </w:rPr>
              <w:t>21</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Зонд</w:t>
            </w:r>
          </w:p>
        </w:tc>
        <w:tc>
          <w:tcPr>
            <w:tcW w:w="2957" w:type="pct"/>
          </w:tcPr>
          <w:p w:rsidR="0016347F" w:rsidRPr="0016347F" w:rsidRDefault="0016347F" w:rsidP="0016347F">
            <w:pPr>
              <w:rPr>
                <w:rFonts w:cs="Times New Roman"/>
                <w:sz w:val="28"/>
                <w:szCs w:val="28"/>
              </w:rPr>
            </w:pPr>
            <w:r w:rsidRPr="0016347F">
              <w:rPr>
                <w:rFonts w:cs="Times New Roman"/>
                <w:sz w:val="28"/>
                <w:szCs w:val="28"/>
              </w:rPr>
              <w:t>TGCTGATGGAAAAATGGTAAACGAAGC</w:t>
            </w:r>
          </w:p>
        </w:tc>
        <w:tc>
          <w:tcPr>
            <w:tcW w:w="571" w:type="pct"/>
          </w:tcPr>
          <w:p w:rsidR="0016347F" w:rsidRPr="0016347F" w:rsidRDefault="0016347F" w:rsidP="0016347F">
            <w:pPr>
              <w:rPr>
                <w:rFonts w:cs="Times New Roman"/>
                <w:sz w:val="28"/>
                <w:szCs w:val="28"/>
              </w:rPr>
            </w:pPr>
            <w:r w:rsidRPr="0016347F">
              <w:rPr>
                <w:rFonts w:cs="Times New Roman"/>
                <w:sz w:val="28"/>
                <w:szCs w:val="28"/>
              </w:rPr>
              <w:t>27</w:t>
            </w:r>
          </w:p>
        </w:tc>
      </w:tr>
      <w:tr w:rsidR="0016347F" w:rsidRPr="0016347F" w:rsidTr="006F2F87">
        <w:tc>
          <w:tcPr>
            <w:tcW w:w="4429" w:type="pct"/>
            <w:gridSpan w:val="2"/>
          </w:tcPr>
          <w:p w:rsidR="0016347F" w:rsidRPr="0016347F" w:rsidRDefault="0016347F" w:rsidP="0016347F">
            <w:pPr>
              <w:rPr>
                <w:rFonts w:cs="Times New Roman"/>
                <w:sz w:val="28"/>
                <w:szCs w:val="28"/>
              </w:rPr>
            </w:pPr>
            <w:r w:rsidRPr="0016347F">
              <w:rPr>
                <w:rFonts w:cs="Times New Roman"/>
                <w:sz w:val="28"/>
                <w:szCs w:val="28"/>
              </w:rPr>
              <w:t>Длина продукта, пар нуклеотидов</w:t>
            </w:r>
          </w:p>
        </w:tc>
        <w:tc>
          <w:tcPr>
            <w:tcW w:w="571" w:type="pct"/>
          </w:tcPr>
          <w:p w:rsidR="0016347F" w:rsidRPr="0016347F" w:rsidRDefault="0016347F" w:rsidP="0016347F">
            <w:pPr>
              <w:rPr>
                <w:rFonts w:cs="Times New Roman"/>
                <w:sz w:val="28"/>
                <w:szCs w:val="28"/>
              </w:rPr>
            </w:pPr>
            <w:r w:rsidRPr="0016347F">
              <w:rPr>
                <w:rFonts w:cs="Times New Roman"/>
                <w:sz w:val="28"/>
                <w:szCs w:val="28"/>
              </w:rPr>
              <w:t>77</w:t>
            </w:r>
          </w:p>
        </w:tc>
      </w:tr>
    </w:tbl>
    <w:p w:rsidR="005C70CA" w:rsidRDefault="005C70CA" w:rsidP="00453C72">
      <w:pPr>
        <w:jc w:val="center"/>
        <w:rPr>
          <w:rFonts w:cs="Times New Roman"/>
          <w:sz w:val="28"/>
          <w:szCs w:val="28"/>
        </w:rPr>
      </w:pPr>
    </w:p>
    <w:p w:rsidR="0016347F" w:rsidRPr="0016347F" w:rsidRDefault="0016347F" w:rsidP="00453C72">
      <w:pPr>
        <w:jc w:val="center"/>
        <w:rPr>
          <w:rFonts w:cs="Times New Roman"/>
          <w:sz w:val="28"/>
          <w:szCs w:val="28"/>
        </w:rPr>
      </w:pPr>
      <w:r w:rsidRPr="0016347F">
        <w:rPr>
          <w:rFonts w:cs="Times New Roman"/>
          <w:noProof/>
          <w:sz w:val="28"/>
          <w:szCs w:val="28"/>
          <w:lang w:eastAsia="ru-RU"/>
        </w:rPr>
        <w:drawing>
          <wp:inline distT="0" distB="0" distL="0" distR="0" wp14:anchorId="577380E4" wp14:editId="05249561">
            <wp:extent cx="3924833" cy="2407920"/>
            <wp:effectExtent l="0" t="0" r="0" b="0"/>
            <wp:docPr id="5" name="Рисунок 5" descr="C:\Users\User\Моноблок\Байменов\2025 год\докторантура\материалы и методы\Рисунки\Рисунок 18 – Staphylococcus aureus, последовательность гена устойчивости к антибиотикам группы бета-лактамов (blaZ).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Моноблок\Байменов\2025 год\докторантура\материалы и методы\Рисунки\Рисунок 18 – Staphylococcus aureus, последовательность гена устойчивости к антибиотикам группы бета-лактамов (blaZ).tiff"/>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992533" cy="2449455"/>
                    </a:xfrm>
                    <a:prstGeom prst="rect">
                      <a:avLst/>
                    </a:prstGeom>
                    <a:noFill/>
                    <a:ln>
                      <a:noFill/>
                    </a:ln>
                  </pic:spPr>
                </pic:pic>
              </a:graphicData>
            </a:graphic>
          </wp:inline>
        </w:drawing>
      </w:r>
    </w:p>
    <w:p w:rsidR="0016347F" w:rsidRPr="0016347F" w:rsidRDefault="0016347F" w:rsidP="00453C72">
      <w:pPr>
        <w:jc w:val="center"/>
        <w:rPr>
          <w:rFonts w:cs="Times New Roman"/>
          <w:sz w:val="28"/>
          <w:szCs w:val="28"/>
        </w:rPr>
      </w:pPr>
      <w:r w:rsidRPr="0016347F">
        <w:rPr>
          <w:rFonts w:cs="Times New Roman"/>
          <w:sz w:val="28"/>
          <w:szCs w:val="28"/>
        </w:rPr>
        <w:t xml:space="preserve">Рисунок 29 – Последовательность гена устойчивости к антибиотикам группы бета-лактамов (blaZ) </w:t>
      </w:r>
      <w:r w:rsidR="007A7888" w:rsidRPr="007A7888">
        <w:rPr>
          <w:rFonts w:cs="Times New Roman"/>
          <w:i/>
          <w:sz w:val="28"/>
          <w:szCs w:val="28"/>
        </w:rPr>
        <w:t>S. aureus</w:t>
      </w:r>
      <w:r w:rsidRPr="0016347F">
        <w:rPr>
          <w:rFonts w:cs="Times New Roman"/>
          <w:sz w:val="28"/>
          <w:szCs w:val="28"/>
        </w:rPr>
        <w:t>. ГенБанк: U58139.2</w:t>
      </w:r>
    </w:p>
    <w:p w:rsidR="0016347F" w:rsidRPr="0016347F" w:rsidRDefault="0016347F" w:rsidP="0016347F">
      <w:pPr>
        <w:rPr>
          <w:rFonts w:cs="Times New Roman"/>
          <w:sz w:val="28"/>
          <w:szCs w:val="28"/>
        </w:rPr>
      </w:pPr>
    </w:p>
    <w:p w:rsidR="00E1739C" w:rsidRDefault="00E1739C" w:rsidP="0016347F">
      <w:pPr>
        <w:rPr>
          <w:rFonts w:cs="Times New Roman"/>
          <w:sz w:val="28"/>
          <w:szCs w:val="28"/>
        </w:rPr>
      </w:pPr>
    </w:p>
    <w:p w:rsidR="00F74AAB" w:rsidRPr="0016347F" w:rsidRDefault="0016347F" w:rsidP="0016347F">
      <w:pPr>
        <w:rPr>
          <w:rFonts w:cs="Times New Roman"/>
          <w:sz w:val="28"/>
          <w:szCs w:val="28"/>
        </w:rPr>
      </w:pPr>
      <w:r w:rsidRPr="0016347F">
        <w:rPr>
          <w:rFonts w:cs="Times New Roman"/>
          <w:sz w:val="28"/>
          <w:szCs w:val="28"/>
        </w:rPr>
        <w:lastRenderedPageBreak/>
        <w:t xml:space="preserve">Таблица 9 – Последовательности подобранных праймеров и зонда для гена устойчивости к антибиотикам группы бета-лактамов (blaZ) </w:t>
      </w:r>
      <w:r w:rsidR="007A7888" w:rsidRPr="007A7888">
        <w:rPr>
          <w:rFonts w:cs="Times New Roman"/>
          <w:i/>
          <w:sz w:val="28"/>
          <w:szCs w:val="28"/>
        </w:rPr>
        <w:t>S. aureus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5828"/>
        <w:gridCol w:w="1125"/>
      </w:tblGrid>
      <w:tr w:rsidR="0016347F" w:rsidRPr="0016347F" w:rsidTr="006F2F87">
        <w:tc>
          <w:tcPr>
            <w:tcW w:w="4429" w:type="pct"/>
            <w:gridSpan w:val="2"/>
          </w:tcPr>
          <w:p w:rsidR="0016347F" w:rsidRPr="0016347F" w:rsidRDefault="0016347F" w:rsidP="0016347F">
            <w:pPr>
              <w:rPr>
                <w:rFonts w:cs="Times New Roman"/>
                <w:sz w:val="28"/>
                <w:szCs w:val="28"/>
              </w:rPr>
            </w:pPr>
            <w:r w:rsidRPr="0016347F">
              <w:rPr>
                <w:rFonts w:cs="Times New Roman"/>
                <w:sz w:val="28"/>
                <w:szCs w:val="28"/>
              </w:rPr>
              <w:t>Последовательность (5'-&gt;3')</w:t>
            </w:r>
          </w:p>
        </w:tc>
        <w:tc>
          <w:tcPr>
            <w:tcW w:w="571" w:type="pct"/>
          </w:tcPr>
          <w:p w:rsidR="0016347F" w:rsidRPr="0016347F" w:rsidRDefault="0016347F" w:rsidP="0016347F">
            <w:pPr>
              <w:rPr>
                <w:rFonts w:cs="Times New Roman"/>
                <w:sz w:val="28"/>
                <w:szCs w:val="28"/>
              </w:rPr>
            </w:pPr>
            <w:r w:rsidRPr="0016347F">
              <w:rPr>
                <w:rFonts w:cs="Times New Roman"/>
                <w:sz w:val="28"/>
                <w:szCs w:val="28"/>
              </w:rPr>
              <w:t>Длина</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Прямой праймер</w:t>
            </w:r>
          </w:p>
        </w:tc>
        <w:tc>
          <w:tcPr>
            <w:tcW w:w="2957" w:type="pct"/>
          </w:tcPr>
          <w:p w:rsidR="0016347F" w:rsidRPr="0016347F" w:rsidRDefault="0016347F" w:rsidP="0016347F">
            <w:pPr>
              <w:rPr>
                <w:rFonts w:cs="Times New Roman"/>
                <w:sz w:val="28"/>
                <w:szCs w:val="28"/>
              </w:rPr>
            </w:pPr>
            <w:r w:rsidRPr="0016347F">
              <w:rPr>
                <w:rFonts w:cs="Times New Roman"/>
                <w:sz w:val="28"/>
                <w:szCs w:val="28"/>
              </w:rPr>
              <w:t>AAGACGGTGTTCCAAAAGACT</w:t>
            </w:r>
          </w:p>
        </w:tc>
        <w:tc>
          <w:tcPr>
            <w:tcW w:w="571" w:type="pct"/>
          </w:tcPr>
          <w:p w:rsidR="0016347F" w:rsidRPr="0016347F" w:rsidRDefault="0016347F" w:rsidP="0016347F">
            <w:pPr>
              <w:rPr>
                <w:rFonts w:cs="Times New Roman"/>
                <w:sz w:val="28"/>
                <w:szCs w:val="28"/>
              </w:rPr>
            </w:pPr>
            <w:r w:rsidRPr="0016347F">
              <w:rPr>
                <w:rFonts w:cs="Times New Roman"/>
                <w:sz w:val="28"/>
                <w:szCs w:val="28"/>
              </w:rPr>
              <w:t>21</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Обратный праймер</w:t>
            </w:r>
          </w:p>
        </w:tc>
        <w:tc>
          <w:tcPr>
            <w:tcW w:w="2957" w:type="pct"/>
          </w:tcPr>
          <w:p w:rsidR="0016347F" w:rsidRPr="0016347F" w:rsidRDefault="0016347F" w:rsidP="0016347F">
            <w:pPr>
              <w:rPr>
                <w:rFonts w:cs="Times New Roman"/>
                <w:sz w:val="28"/>
                <w:szCs w:val="28"/>
              </w:rPr>
            </w:pPr>
            <w:r w:rsidRPr="0016347F">
              <w:rPr>
                <w:rFonts w:cs="Times New Roman"/>
                <w:sz w:val="28"/>
                <w:szCs w:val="28"/>
              </w:rPr>
              <w:t>ACACTCTTGGCGGTTTCACT</w:t>
            </w:r>
          </w:p>
        </w:tc>
        <w:tc>
          <w:tcPr>
            <w:tcW w:w="571" w:type="pct"/>
          </w:tcPr>
          <w:p w:rsidR="0016347F" w:rsidRPr="0016347F" w:rsidRDefault="0016347F" w:rsidP="0016347F">
            <w:pPr>
              <w:rPr>
                <w:rFonts w:cs="Times New Roman"/>
                <w:sz w:val="28"/>
                <w:szCs w:val="28"/>
              </w:rPr>
            </w:pPr>
            <w:r w:rsidRPr="0016347F">
              <w:rPr>
                <w:rFonts w:cs="Times New Roman"/>
                <w:sz w:val="28"/>
                <w:szCs w:val="28"/>
              </w:rPr>
              <w:t>20</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Зонд</w:t>
            </w:r>
          </w:p>
        </w:tc>
        <w:tc>
          <w:tcPr>
            <w:tcW w:w="2957" w:type="pct"/>
          </w:tcPr>
          <w:p w:rsidR="0016347F" w:rsidRPr="0016347F" w:rsidRDefault="0016347F" w:rsidP="0016347F">
            <w:pPr>
              <w:rPr>
                <w:rFonts w:cs="Times New Roman"/>
                <w:sz w:val="28"/>
                <w:szCs w:val="28"/>
              </w:rPr>
            </w:pPr>
            <w:r w:rsidRPr="0016347F">
              <w:rPr>
                <w:rFonts w:cs="Times New Roman"/>
                <w:sz w:val="28"/>
                <w:szCs w:val="28"/>
              </w:rPr>
              <w:t>AGGTTGCTGATAAAAGTGGTCAAGCA</w:t>
            </w:r>
          </w:p>
        </w:tc>
        <w:tc>
          <w:tcPr>
            <w:tcW w:w="571" w:type="pct"/>
          </w:tcPr>
          <w:p w:rsidR="0016347F" w:rsidRPr="0016347F" w:rsidRDefault="0016347F" w:rsidP="0016347F">
            <w:pPr>
              <w:rPr>
                <w:rFonts w:cs="Times New Roman"/>
                <w:sz w:val="28"/>
                <w:szCs w:val="28"/>
              </w:rPr>
            </w:pPr>
            <w:r w:rsidRPr="0016347F">
              <w:rPr>
                <w:rFonts w:cs="Times New Roman"/>
                <w:sz w:val="28"/>
                <w:szCs w:val="28"/>
              </w:rPr>
              <w:t>26</w:t>
            </w:r>
          </w:p>
        </w:tc>
      </w:tr>
      <w:tr w:rsidR="0016347F" w:rsidRPr="0016347F" w:rsidTr="006F2F87">
        <w:tc>
          <w:tcPr>
            <w:tcW w:w="4429" w:type="pct"/>
            <w:gridSpan w:val="2"/>
          </w:tcPr>
          <w:p w:rsidR="0016347F" w:rsidRPr="0016347F" w:rsidRDefault="0016347F" w:rsidP="0016347F">
            <w:pPr>
              <w:rPr>
                <w:rFonts w:cs="Times New Roman"/>
                <w:sz w:val="28"/>
                <w:szCs w:val="28"/>
              </w:rPr>
            </w:pPr>
            <w:r w:rsidRPr="0016347F">
              <w:rPr>
                <w:rFonts w:cs="Times New Roman"/>
                <w:sz w:val="28"/>
                <w:szCs w:val="28"/>
              </w:rPr>
              <w:t>Длина продукта, пар нуклеотидов</w:t>
            </w:r>
          </w:p>
        </w:tc>
        <w:tc>
          <w:tcPr>
            <w:tcW w:w="571" w:type="pct"/>
          </w:tcPr>
          <w:p w:rsidR="0016347F" w:rsidRPr="0016347F" w:rsidRDefault="0016347F" w:rsidP="0016347F">
            <w:pPr>
              <w:rPr>
                <w:rFonts w:cs="Times New Roman"/>
                <w:sz w:val="28"/>
                <w:szCs w:val="28"/>
              </w:rPr>
            </w:pPr>
            <w:r w:rsidRPr="0016347F">
              <w:rPr>
                <w:rFonts w:cs="Times New Roman"/>
                <w:sz w:val="28"/>
                <w:szCs w:val="28"/>
              </w:rPr>
              <w:t>193</w:t>
            </w:r>
          </w:p>
        </w:tc>
      </w:tr>
    </w:tbl>
    <w:p w:rsidR="0016347F" w:rsidRPr="0016347F" w:rsidRDefault="0016347F" w:rsidP="0016347F">
      <w:pPr>
        <w:rPr>
          <w:rFonts w:cs="Times New Roman"/>
          <w:sz w:val="28"/>
          <w:szCs w:val="28"/>
        </w:rPr>
      </w:pPr>
    </w:p>
    <w:p w:rsidR="0016347F" w:rsidRPr="0016347F" w:rsidRDefault="0016347F" w:rsidP="00453C72">
      <w:pPr>
        <w:jc w:val="center"/>
        <w:rPr>
          <w:rFonts w:cs="Times New Roman"/>
          <w:sz w:val="28"/>
          <w:szCs w:val="28"/>
        </w:rPr>
      </w:pPr>
      <w:r w:rsidRPr="0016347F">
        <w:rPr>
          <w:rFonts w:cs="Times New Roman"/>
          <w:noProof/>
          <w:sz w:val="28"/>
          <w:szCs w:val="28"/>
          <w:lang w:eastAsia="ru-RU"/>
        </w:rPr>
        <w:drawing>
          <wp:inline distT="0" distB="0" distL="0" distR="0" wp14:anchorId="678368F4" wp14:editId="375E33C1">
            <wp:extent cx="3955804" cy="1104900"/>
            <wp:effectExtent l="0" t="0" r="6985" b="0"/>
            <wp:docPr id="17" name="Рисунок 17" descr="C:\Users\User\Моноблок\Байменов\2025 год\докторантура\материалы и методы\Рисунки\Рисунок 19 – Staphylococcus aureus, последовательность гена устойчивости к антибиотикам группы макролидов (erm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Моноблок\Байменов\2025 год\докторантура\материалы и методы\Рисунки\Рисунок 19 – Staphylococcus aureus, последовательность гена устойчивости к антибиотикам группы макролидов (ermC).tiff"/>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079576" cy="1139471"/>
                    </a:xfrm>
                    <a:prstGeom prst="rect">
                      <a:avLst/>
                    </a:prstGeom>
                    <a:noFill/>
                    <a:ln>
                      <a:noFill/>
                    </a:ln>
                  </pic:spPr>
                </pic:pic>
              </a:graphicData>
            </a:graphic>
          </wp:inline>
        </w:drawing>
      </w:r>
    </w:p>
    <w:p w:rsidR="0016347F" w:rsidRPr="0016347F" w:rsidRDefault="0016347F" w:rsidP="00453C72">
      <w:pPr>
        <w:jc w:val="center"/>
        <w:rPr>
          <w:rFonts w:cs="Times New Roman"/>
          <w:sz w:val="28"/>
          <w:szCs w:val="28"/>
        </w:rPr>
      </w:pPr>
      <w:r w:rsidRPr="0016347F">
        <w:rPr>
          <w:rFonts w:cs="Times New Roman"/>
          <w:sz w:val="28"/>
          <w:szCs w:val="28"/>
        </w:rPr>
        <w:t xml:space="preserve">Рисунок 30 – Последовательность гена устойчивости к антибиотикам группы макролидов (ermC) </w:t>
      </w:r>
      <w:r w:rsidR="007A7888" w:rsidRPr="007A7888">
        <w:rPr>
          <w:rFonts w:cs="Times New Roman"/>
          <w:i/>
          <w:sz w:val="28"/>
          <w:szCs w:val="28"/>
        </w:rPr>
        <w:t>S. aureus</w:t>
      </w:r>
      <w:r w:rsidRPr="0016347F">
        <w:rPr>
          <w:rFonts w:cs="Times New Roman"/>
          <w:sz w:val="28"/>
          <w:szCs w:val="28"/>
        </w:rPr>
        <w:t>. ГенБанк: MF095627.1</w:t>
      </w:r>
    </w:p>
    <w:p w:rsidR="0016347F" w:rsidRPr="0016347F" w:rsidRDefault="0016347F" w:rsidP="0016347F">
      <w:pPr>
        <w:rPr>
          <w:rFonts w:cs="Times New Roman"/>
          <w:sz w:val="28"/>
          <w:szCs w:val="28"/>
        </w:rPr>
      </w:pPr>
    </w:p>
    <w:p w:rsidR="0016347F" w:rsidRPr="0016347F" w:rsidRDefault="0016347F" w:rsidP="0016347F">
      <w:pPr>
        <w:rPr>
          <w:rFonts w:cs="Times New Roman"/>
          <w:sz w:val="28"/>
          <w:szCs w:val="28"/>
        </w:rPr>
      </w:pPr>
      <w:r w:rsidRPr="0016347F">
        <w:rPr>
          <w:rFonts w:cs="Times New Roman"/>
          <w:sz w:val="28"/>
          <w:szCs w:val="28"/>
        </w:rPr>
        <w:t xml:space="preserve">Таблица 10 – Последовательности подобранных праймеров и зонда для гена антибиотикам группы макролидов (ermC) </w:t>
      </w:r>
      <w:r w:rsidR="007A7888" w:rsidRPr="007A7888">
        <w:rPr>
          <w:rFonts w:cs="Times New Roman"/>
          <w:i/>
          <w:sz w:val="28"/>
          <w:szCs w:val="28"/>
        </w:rPr>
        <w:t>S. aureus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5828"/>
        <w:gridCol w:w="1125"/>
      </w:tblGrid>
      <w:tr w:rsidR="0016347F" w:rsidRPr="0016347F" w:rsidTr="006F2F87">
        <w:tc>
          <w:tcPr>
            <w:tcW w:w="4429" w:type="pct"/>
            <w:gridSpan w:val="2"/>
          </w:tcPr>
          <w:p w:rsidR="0016347F" w:rsidRPr="0016347F" w:rsidRDefault="0016347F" w:rsidP="0016347F">
            <w:pPr>
              <w:rPr>
                <w:rFonts w:cs="Times New Roman"/>
                <w:sz w:val="28"/>
                <w:szCs w:val="28"/>
              </w:rPr>
            </w:pPr>
            <w:r w:rsidRPr="0016347F">
              <w:rPr>
                <w:rFonts w:cs="Times New Roman"/>
                <w:sz w:val="28"/>
                <w:szCs w:val="28"/>
              </w:rPr>
              <w:t>Последовательность (5'-&gt;3')</w:t>
            </w:r>
          </w:p>
        </w:tc>
        <w:tc>
          <w:tcPr>
            <w:tcW w:w="571" w:type="pct"/>
          </w:tcPr>
          <w:p w:rsidR="0016347F" w:rsidRPr="0016347F" w:rsidRDefault="0016347F" w:rsidP="0016347F">
            <w:pPr>
              <w:rPr>
                <w:rFonts w:cs="Times New Roman"/>
                <w:sz w:val="28"/>
                <w:szCs w:val="28"/>
              </w:rPr>
            </w:pPr>
            <w:r w:rsidRPr="0016347F">
              <w:rPr>
                <w:rFonts w:cs="Times New Roman"/>
                <w:sz w:val="28"/>
                <w:szCs w:val="28"/>
              </w:rPr>
              <w:t>Длина</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Прямой праймер</w:t>
            </w:r>
          </w:p>
        </w:tc>
        <w:tc>
          <w:tcPr>
            <w:tcW w:w="2957" w:type="pct"/>
          </w:tcPr>
          <w:p w:rsidR="0016347F" w:rsidRPr="0016347F" w:rsidRDefault="0016347F" w:rsidP="0016347F">
            <w:pPr>
              <w:rPr>
                <w:rFonts w:cs="Times New Roman"/>
                <w:sz w:val="28"/>
                <w:szCs w:val="28"/>
              </w:rPr>
            </w:pPr>
            <w:r w:rsidRPr="0016347F">
              <w:rPr>
                <w:rFonts w:cs="Times New Roman"/>
                <w:sz w:val="28"/>
                <w:szCs w:val="28"/>
              </w:rPr>
              <w:t>ATCGTGGAATACGGGTTTGCT</w:t>
            </w:r>
          </w:p>
        </w:tc>
        <w:tc>
          <w:tcPr>
            <w:tcW w:w="571" w:type="pct"/>
          </w:tcPr>
          <w:p w:rsidR="0016347F" w:rsidRPr="0016347F" w:rsidRDefault="0016347F" w:rsidP="0016347F">
            <w:pPr>
              <w:rPr>
                <w:rFonts w:cs="Times New Roman"/>
                <w:sz w:val="28"/>
                <w:szCs w:val="28"/>
              </w:rPr>
            </w:pPr>
            <w:r w:rsidRPr="0016347F">
              <w:rPr>
                <w:rFonts w:cs="Times New Roman"/>
                <w:sz w:val="28"/>
                <w:szCs w:val="28"/>
              </w:rPr>
              <w:t>21</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Обратный праймер</w:t>
            </w:r>
          </w:p>
        </w:tc>
        <w:tc>
          <w:tcPr>
            <w:tcW w:w="2957" w:type="pct"/>
          </w:tcPr>
          <w:p w:rsidR="0016347F" w:rsidRPr="0016347F" w:rsidRDefault="0016347F" w:rsidP="0016347F">
            <w:pPr>
              <w:rPr>
                <w:rFonts w:cs="Times New Roman"/>
                <w:sz w:val="28"/>
                <w:szCs w:val="28"/>
              </w:rPr>
            </w:pPr>
            <w:r w:rsidRPr="0016347F">
              <w:rPr>
                <w:rFonts w:cs="Times New Roman"/>
                <w:sz w:val="28"/>
                <w:szCs w:val="28"/>
              </w:rPr>
              <w:t>GTGAGCTATTCACTTTAGGTTTAGG</w:t>
            </w:r>
          </w:p>
        </w:tc>
        <w:tc>
          <w:tcPr>
            <w:tcW w:w="571" w:type="pct"/>
          </w:tcPr>
          <w:p w:rsidR="0016347F" w:rsidRPr="0016347F" w:rsidRDefault="0016347F" w:rsidP="0016347F">
            <w:pPr>
              <w:rPr>
                <w:rFonts w:cs="Times New Roman"/>
                <w:sz w:val="28"/>
                <w:szCs w:val="28"/>
              </w:rPr>
            </w:pPr>
            <w:r w:rsidRPr="0016347F">
              <w:rPr>
                <w:rFonts w:cs="Times New Roman"/>
                <w:sz w:val="28"/>
                <w:szCs w:val="28"/>
              </w:rPr>
              <w:t>25</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Зонд</w:t>
            </w:r>
          </w:p>
        </w:tc>
        <w:tc>
          <w:tcPr>
            <w:tcW w:w="2957" w:type="pct"/>
          </w:tcPr>
          <w:p w:rsidR="0016347F" w:rsidRPr="0016347F" w:rsidRDefault="0016347F" w:rsidP="0016347F">
            <w:pPr>
              <w:rPr>
                <w:rFonts w:cs="Times New Roman"/>
                <w:sz w:val="28"/>
                <w:szCs w:val="28"/>
              </w:rPr>
            </w:pPr>
            <w:r w:rsidRPr="0016347F">
              <w:rPr>
                <w:rFonts w:cs="Times New Roman"/>
                <w:sz w:val="28"/>
                <w:szCs w:val="28"/>
              </w:rPr>
              <w:t>CGCTCATTGGCATTACTTTTAATGGCA</w:t>
            </w:r>
          </w:p>
        </w:tc>
        <w:tc>
          <w:tcPr>
            <w:tcW w:w="571" w:type="pct"/>
          </w:tcPr>
          <w:p w:rsidR="0016347F" w:rsidRPr="0016347F" w:rsidRDefault="0016347F" w:rsidP="0016347F">
            <w:pPr>
              <w:rPr>
                <w:rFonts w:cs="Times New Roman"/>
                <w:sz w:val="28"/>
                <w:szCs w:val="28"/>
              </w:rPr>
            </w:pPr>
            <w:r w:rsidRPr="0016347F">
              <w:rPr>
                <w:rFonts w:cs="Times New Roman"/>
                <w:sz w:val="28"/>
                <w:szCs w:val="28"/>
              </w:rPr>
              <w:t>27</w:t>
            </w:r>
          </w:p>
        </w:tc>
      </w:tr>
      <w:tr w:rsidR="0016347F" w:rsidRPr="0016347F" w:rsidTr="006F2F87">
        <w:tc>
          <w:tcPr>
            <w:tcW w:w="4429" w:type="pct"/>
            <w:gridSpan w:val="2"/>
          </w:tcPr>
          <w:p w:rsidR="0016347F" w:rsidRPr="0016347F" w:rsidRDefault="0016347F" w:rsidP="0016347F">
            <w:pPr>
              <w:rPr>
                <w:rFonts w:cs="Times New Roman"/>
                <w:sz w:val="28"/>
                <w:szCs w:val="28"/>
              </w:rPr>
            </w:pPr>
            <w:r w:rsidRPr="0016347F">
              <w:rPr>
                <w:rFonts w:cs="Times New Roman"/>
                <w:sz w:val="28"/>
                <w:szCs w:val="28"/>
              </w:rPr>
              <w:t>Длина продукта, пар нуклеотидов</w:t>
            </w:r>
          </w:p>
        </w:tc>
        <w:tc>
          <w:tcPr>
            <w:tcW w:w="571" w:type="pct"/>
          </w:tcPr>
          <w:p w:rsidR="0016347F" w:rsidRPr="0016347F" w:rsidRDefault="0016347F" w:rsidP="0016347F">
            <w:pPr>
              <w:rPr>
                <w:rFonts w:cs="Times New Roman"/>
                <w:sz w:val="28"/>
                <w:szCs w:val="28"/>
              </w:rPr>
            </w:pPr>
            <w:r w:rsidRPr="0016347F">
              <w:rPr>
                <w:rFonts w:cs="Times New Roman"/>
                <w:sz w:val="28"/>
                <w:szCs w:val="28"/>
              </w:rPr>
              <w:t>142</w:t>
            </w:r>
          </w:p>
        </w:tc>
      </w:tr>
    </w:tbl>
    <w:p w:rsidR="0016347F" w:rsidRPr="0016347F" w:rsidRDefault="0016347F" w:rsidP="0016347F">
      <w:pPr>
        <w:rPr>
          <w:rFonts w:cs="Times New Roman"/>
          <w:sz w:val="28"/>
          <w:szCs w:val="28"/>
        </w:rPr>
      </w:pPr>
    </w:p>
    <w:p w:rsidR="0016347F" w:rsidRPr="0016347F" w:rsidRDefault="0016347F" w:rsidP="00453C72">
      <w:pPr>
        <w:jc w:val="center"/>
        <w:rPr>
          <w:rFonts w:cs="Times New Roman"/>
          <w:sz w:val="28"/>
          <w:szCs w:val="28"/>
        </w:rPr>
      </w:pPr>
      <w:r w:rsidRPr="0016347F">
        <w:rPr>
          <w:rFonts w:cs="Times New Roman"/>
          <w:noProof/>
          <w:sz w:val="28"/>
          <w:szCs w:val="28"/>
          <w:lang w:eastAsia="ru-RU"/>
        </w:rPr>
        <w:drawing>
          <wp:inline distT="0" distB="0" distL="0" distR="0" wp14:anchorId="33F44828" wp14:editId="3D810697">
            <wp:extent cx="3902312" cy="381000"/>
            <wp:effectExtent l="0" t="0" r="3175" b="0"/>
            <wp:docPr id="18" name="Рисунок 18" descr="C:\Users\User\Моноблок\Байменов\2025 год\докторантура\материалы и методы\Рисунки\Рисунок 20 – Staphylococcus aureus, последовательность гена устойчивости к антибиотикам группы тетрациклинов (TetK).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Моноблок\Байменов\2025 год\докторантура\материалы и методы\Рисунки\Рисунок 20 – Staphylococcus aureus, последовательность гена устойчивости к антибиотикам группы тетрациклинов (TetK).tiff"/>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186864" cy="506417"/>
                    </a:xfrm>
                    <a:prstGeom prst="rect">
                      <a:avLst/>
                    </a:prstGeom>
                    <a:noFill/>
                    <a:ln>
                      <a:noFill/>
                    </a:ln>
                  </pic:spPr>
                </pic:pic>
              </a:graphicData>
            </a:graphic>
          </wp:inline>
        </w:drawing>
      </w:r>
    </w:p>
    <w:p w:rsidR="0016347F" w:rsidRPr="0016347F" w:rsidRDefault="0016347F" w:rsidP="00453C72">
      <w:pPr>
        <w:jc w:val="center"/>
        <w:rPr>
          <w:rFonts w:cs="Times New Roman"/>
          <w:sz w:val="28"/>
          <w:szCs w:val="28"/>
        </w:rPr>
      </w:pPr>
      <w:r w:rsidRPr="0016347F">
        <w:rPr>
          <w:rFonts w:cs="Times New Roman"/>
          <w:sz w:val="28"/>
          <w:szCs w:val="28"/>
        </w:rPr>
        <w:t xml:space="preserve">Рисунок 31 – Последовательность гена устойчивости к антибиотикам группы тетрациклинов (TetK) </w:t>
      </w:r>
      <w:r w:rsidR="007A7888" w:rsidRPr="007A7888">
        <w:rPr>
          <w:rFonts w:cs="Times New Roman"/>
          <w:i/>
          <w:sz w:val="28"/>
          <w:szCs w:val="28"/>
        </w:rPr>
        <w:t>S. aureus</w:t>
      </w:r>
      <w:r w:rsidRPr="0016347F">
        <w:rPr>
          <w:rFonts w:cs="Times New Roman"/>
          <w:sz w:val="28"/>
          <w:szCs w:val="28"/>
        </w:rPr>
        <w:t>. ГенБанк: KR362247.1</w:t>
      </w:r>
    </w:p>
    <w:p w:rsidR="0016347F" w:rsidRPr="0016347F" w:rsidRDefault="0016347F" w:rsidP="0016347F">
      <w:pPr>
        <w:rPr>
          <w:rFonts w:cs="Times New Roman"/>
          <w:sz w:val="28"/>
          <w:szCs w:val="28"/>
        </w:rPr>
      </w:pPr>
    </w:p>
    <w:p w:rsidR="0016347F" w:rsidRPr="0016347F" w:rsidRDefault="0016347F" w:rsidP="0016347F">
      <w:pPr>
        <w:rPr>
          <w:rFonts w:cs="Times New Roman"/>
          <w:sz w:val="28"/>
          <w:szCs w:val="28"/>
        </w:rPr>
      </w:pPr>
      <w:r w:rsidRPr="0016347F">
        <w:rPr>
          <w:rFonts w:cs="Times New Roman"/>
          <w:sz w:val="28"/>
          <w:szCs w:val="28"/>
        </w:rPr>
        <w:t xml:space="preserve">Таблица 11 – Последовательности подобранных праймеров и зонда для гена антибиотикам группы тетрациклинов (TetK) </w:t>
      </w:r>
      <w:r w:rsidR="007A7888" w:rsidRPr="007A7888">
        <w:rPr>
          <w:rFonts w:cs="Times New Roman"/>
          <w:i/>
          <w:sz w:val="28"/>
          <w:szCs w:val="28"/>
        </w:rPr>
        <w:t>S. aureus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5828"/>
        <w:gridCol w:w="1125"/>
      </w:tblGrid>
      <w:tr w:rsidR="0016347F" w:rsidRPr="0016347F" w:rsidTr="006F2F87">
        <w:tc>
          <w:tcPr>
            <w:tcW w:w="4429" w:type="pct"/>
            <w:gridSpan w:val="2"/>
          </w:tcPr>
          <w:p w:rsidR="0016347F" w:rsidRPr="0016347F" w:rsidRDefault="0016347F" w:rsidP="0016347F">
            <w:pPr>
              <w:rPr>
                <w:rFonts w:cs="Times New Roman"/>
                <w:sz w:val="28"/>
                <w:szCs w:val="28"/>
              </w:rPr>
            </w:pPr>
            <w:r w:rsidRPr="0016347F">
              <w:rPr>
                <w:rFonts w:cs="Times New Roman"/>
                <w:sz w:val="28"/>
                <w:szCs w:val="28"/>
              </w:rPr>
              <w:t>Последовательность (5'-&gt;3')</w:t>
            </w:r>
          </w:p>
        </w:tc>
        <w:tc>
          <w:tcPr>
            <w:tcW w:w="571" w:type="pct"/>
          </w:tcPr>
          <w:p w:rsidR="0016347F" w:rsidRPr="0016347F" w:rsidRDefault="0016347F" w:rsidP="0016347F">
            <w:pPr>
              <w:rPr>
                <w:rFonts w:cs="Times New Roman"/>
                <w:sz w:val="28"/>
                <w:szCs w:val="28"/>
              </w:rPr>
            </w:pPr>
            <w:r w:rsidRPr="0016347F">
              <w:rPr>
                <w:rFonts w:cs="Times New Roman"/>
                <w:sz w:val="28"/>
                <w:szCs w:val="28"/>
              </w:rPr>
              <w:t>Длина</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Прямой праймер</w:t>
            </w:r>
          </w:p>
        </w:tc>
        <w:tc>
          <w:tcPr>
            <w:tcW w:w="2957" w:type="pct"/>
          </w:tcPr>
          <w:p w:rsidR="0016347F" w:rsidRPr="0016347F" w:rsidRDefault="0016347F" w:rsidP="0016347F">
            <w:pPr>
              <w:rPr>
                <w:rFonts w:cs="Times New Roman"/>
                <w:sz w:val="28"/>
                <w:szCs w:val="28"/>
              </w:rPr>
            </w:pPr>
            <w:r w:rsidRPr="0016347F">
              <w:rPr>
                <w:rFonts w:cs="Times New Roman"/>
                <w:sz w:val="28"/>
                <w:szCs w:val="28"/>
              </w:rPr>
              <w:t>TCGATAGGAACAGCAGTATATGGA</w:t>
            </w:r>
          </w:p>
        </w:tc>
        <w:tc>
          <w:tcPr>
            <w:tcW w:w="571" w:type="pct"/>
          </w:tcPr>
          <w:p w:rsidR="0016347F" w:rsidRPr="0016347F" w:rsidRDefault="0016347F" w:rsidP="0016347F">
            <w:pPr>
              <w:rPr>
                <w:rFonts w:cs="Times New Roman"/>
                <w:sz w:val="28"/>
                <w:szCs w:val="28"/>
              </w:rPr>
            </w:pPr>
            <w:r w:rsidRPr="0016347F">
              <w:rPr>
                <w:rFonts w:cs="Times New Roman"/>
                <w:sz w:val="28"/>
                <w:szCs w:val="28"/>
              </w:rPr>
              <w:t>24</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Обратный праймер</w:t>
            </w:r>
          </w:p>
        </w:tc>
        <w:tc>
          <w:tcPr>
            <w:tcW w:w="2957" w:type="pct"/>
          </w:tcPr>
          <w:p w:rsidR="0016347F" w:rsidRPr="0016347F" w:rsidRDefault="0016347F" w:rsidP="0016347F">
            <w:pPr>
              <w:rPr>
                <w:rFonts w:cs="Times New Roman"/>
                <w:sz w:val="28"/>
                <w:szCs w:val="28"/>
              </w:rPr>
            </w:pPr>
            <w:r w:rsidRPr="0016347F">
              <w:rPr>
                <w:rFonts w:cs="Times New Roman"/>
                <w:sz w:val="28"/>
                <w:szCs w:val="28"/>
              </w:rPr>
              <w:t>GCAGATCCTACTCCTTGTACTAACC</w:t>
            </w:r>
          </w:p>
        </w:tc>
        <w:tc>
          <w:tcPr>
            <w:tcW w:w="571" w:type="pct"/>
          </w:tcPr>
          <w:p w:rsidR="0016347F" w:rsidRPr="0016347F" w:rsidRDefault="0016347F" w:rsidP="0016347F">
            <w:pPr>
              <w:rPr>
                <w:rFonts w:cs="Times New Roman"/>
                <w:sz w:val="28"/>
                <w:szCs w:val="28"/>
              </w:rPr>
            </w:pPr>
            <w:r w:rsidRPr="0016347F">
              <w:rPr>
                <w:rFonts w:cs="Times New Roman"/>
                <w:sz w:val="28"/>
                <w:szCs w:val="28"/>
              </w:rPr>
              <w:t>25</w:t>
            </w:r>
          </w:p>
        </w:tc>
      </w:tr>
      <w:tr w:rsidR="0016347F" w:rsidRPr="0016347F" w:rsidTr="006F2F87">
        <w:tc>
          <w:tcPr>
            <w:tcW w:w="1472" w:type="pct"/>
          </w:tcPr>
          <w:p w:rsidR="0016347F" w:rsidRPr="0016347F" w:rsidRDefault="0016347F" w:rsidP="0016347F">
            <w:pPr>
              <w:rPr>
                <w:rFonts w:cs="Times New Roman"/>
                <w:sz w:val="28"/>
                <w:szCs w:val="28"/>
              </w:rPr>
            </w:pPr>
            <w:r w:rsidRPr="0016347F">
              <w:rPr>
                <w:rFonts w:cs="Times New Roman"/>
                <w:sz w:val="28"/>
                <w:szCs w:val="28"/>
              </w:rPr>
              <w:t>Зонд</w:t>
            </w:r>
          </w:p>
        </w:tc>
        <w:tc>
          <w:tcPr>
            <w:tcW w:w="2957" w:type="pct"/>
          </w:tcPr>
          <w:p w:rsidR="0016347F" w:rsidRPr="0016347F" w:rsidRDefault="0016347F" w:rsidP="0016347F">
            <w:pPr>
              <w:rPr>
                <w:rFonts w:cs="Times New Roman"/>
                <w:sz w:val="28"/>
                <w:szCs w:val="28"/>
              </w:rPr>
            </w:pPr>
            <w:r w:rsidRPr="0016347F">
              <w:rPr>
                <w:rFonts w:cs="Times New Roman"/>
                <w:sz w:val="28"/>
                <w:szCs w:val="28"/>
              </w:rPr>
              <w:t>TGAGCTGTCTTGGTTCATTGATTGCT</w:t>
            </w:r>
          </w:p>
        </w:tc>
        <w:tc>
          <w:tcPr>
            <w:tcW w:w="571" w:type="pct"/>
          </w:tcPr>
          <w:p w:rsidR="0016347F" w:rsidRPr="0016347F" w:rsidRDefault="0016347F" w:rsidP="0016347F">
            <w:pPr>
              <w:rPr>
                <w:rFonts w:cs="Times New Roman"/>
                <w:sz w:val="28"/>
                <w:szCs w:val="28"/>
              </w:rPr>
            </w:pPr>
            <w:r w:rsidRPr="0016347F">
              <w:rPr>
                <w:rFonts w:cs="Times New Roman"/>
                <w:sz w:val="28"/>
                <w:szCs w:val="28"/>
              </w:rPr>
              <w:t>26</w:t>
            </w:r>
          </w:p>
        </w:tc>
      </w:tr>
      <w:tr w:rsidR="0016347F" w:rsidRPr="0016347F" w:rsidTr="006F2F87">
        <w:tc>
          <w:tcPr>
            <w:tcW w:w="4429" w:type="pct"/>
            <w:gridSpan w:val="2"/>
          </w:tcPr>
          <w:p w:rsidR="0016347F" w:rsidRPr="0016347F" w:rsidRDefault="0016347F" w:rsidP="0016347F">
            <w:pPr>
              <w:rPr>
                <w:rFonts w:cs="Times New Roman"/>
                <w:sz w:val="28"/>
                <w:szCs w:val="28"/>
              </w:rPr>
            </w:pPr>
            <w:r w:rsidRPr="0016347F">
              <w:rPr>
                <w:rFonts w:cs="Times New Roman"/>
                <w:sz w:val="28"/>
                <w:szCs w:val="28"/>
              </w:rPr>
              <w:t>Длина продукта, пар нуклеотидов</w:t>
            </w:r>
          </w:p>
        </w:tc>
        <w:tc>
          <w:tcPr>
            <w:tcW w:w="571" w:type="pct"/>
          </w:tcPr>
          <w:p w:rsidR="0016347F" w:rsidRPr="0016347F" w:rsidRDefault="0016347F" w:rsidP="0016347F">
            <w:pPr>
              <w:rPr>
                <w:rFonts w:cs="Times New Roman"/>
                <w:sz w:val="28"/>
                <w:szCs w:val="28"/>
              </w:rPr>
            </w:pPr>
            <w:r w:rsidRPr="0016347F">
              <w:rPr>
                <w:rFonts w:cs="Times New Roman"/>
                <w:sz w:val="28"/>
                <w:szCs w:val="28"/>
              </w:rPr>
              <w:t>167</w:t>
            </w:r>
          </w:p>
        </w:tc>
      </w:tr>
    </w:tbl>
    <w:p w:rsidR="0016347F" w:rsidRPr="0016347F" w:rsidRDefault="0016347F" w:rsidP="0016347F">
      <w:pPr>
        <w:rPr>
          <w:sz w:val="28"/>
          <w:szCs w:val="28"/>
        </w:rPr>
      </w:pPr>
    </w:p>
    <w:p w:rsidR="0016347F" w:rsidRPr="00FE1507" w:rsidRDefault="0016347F" w:rsidP="00053C28">
      <w:pPr>
        <w:ind w:firstLine="709"/>
        <w:rPr>
          <w:sz w:val="28"/>
          <w:szCs w:val="28"/>
        </w:rPr>
      </w:pPr>
      <w:r w:rsidRPr="00FE1507">
        <w:rPr>
          <w:sz w:val="28"/>
          <w:szCs w:val="28"/>
        </w:rPr>
        <w:t>3.</w:t>
      </w:r>
      <w:r w:rsidR="000D6CCE" w:rsidRPr="00FE1507">
        <w:rPr>
          <w:sz w:val="28"/>
          <w:szCs w:val="28"/>
        </w:rPr>
        <w:t>2</w:t>
      </w:r>
      <w:r w:rsidRPr="00FE1507">
        <w:rPr>
          <w:sz w:val="28"/>
          <w:szCs w:val="28"/>
        </w:rPr>
        <w:t>.3 Результаты оценки свойств праймеров и зондов</w:t>
      </w:r>
    </w:p>
    <w:p w:rsidR="0016347F" w:rsidRPr="00687441" w:rsidRDefault="0016347F" w:rsidP="00053C28">
      <w:pPr>
        <w:ind w:firstLine="709"/>
        <w:rPr>
          <w:sz w:val="28"/>
          <w:szCs w:val="28"/>
        </w:rPr>
      </w:pPr>
      <w:r w:rsidRPr="00687441">
        <w:rPr>
          <w:sz w:val="28"/>
          <w:szCs w:val="28"/>
        </w:rPr>
        <w:t xml:space="preserve">Для предварительной оценки характеристик сконструированных олигонуклеотидов, провели анализ с помощью онлайн инструмента «Oligo </w:t>
      </w:r>
      <w:r w:rsidRPr="00687441">
        <w:rPr>
          <w:sz w:val="28"/>
          <w:szCs w:val="28"/>
        </w:rPr>
        <w:lastRenderedPageBreak/>
        <w:t>Analyzer Tool». Анализ на вероятность образования нежелательных вторичных структур между олигонуклеотидами (шпилек), физических характеристик, подобранных праймеров и зондов, дал следующие результаты (рисунок 32-35, таблица 12).</w:t>
      </w:r>
    </w:p>
    <w:p w:rsidR="0016347F" w:rsidRPr="00687441" w:rsidRDefault="0016347F" w:rsidP="00687441">
      <w:pPr>
        <w:rPr>
          <w:sz w:val="28"/>
          <w:szCs w:val="28"/>
        </w:rPr>
      </w:pPr>
    </w:p>
    <w:p w:rsidR="0016347F" w:rsidRPr="00687441" w:rsidRDefault="0016347F" w:rsidP="00053C28">
      <w:pPr>
        <w:jc w:val="center"/>
        <w:rPr>
          <w:sz w:val="28"/>
          <w:szCs w:val="28"/>
        </w:rPr>
      </w:pPr>
      <w:r w:rsidRPr="00687441">
        <w:rPr>
          <w:noProof/>
          <w:sz w:val="28"/>
          <w:szCs w:val="28"/>
          <w:lang w:eastAsia="ru-RU"/>
        </w:rPr>
        <w:drawing>
          <wp:inline distT="0" distB="0" distL="0" distR="0" wp14:anchorId="19E6A374" wp14:editId="40194F64">
            <wp:extent cx="3976255" cy="1732753"/>
            <wp:effectExtent l="0" t="0" r="5715" b="1270"/>
            <wp:docPr id="67" name="Рисунок 67" descr="C:\Users\User\Моноблок\Байменов\2025 год\докторантура\материалы и методы\Рисунки\Рисунок 21– S. aureus, результат оценки вероятности образования нежелательных вторичных структур между олигонуклеотидами для гена термостабильной нуклеазы (nu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Моноблок\Байменов\2025 год\докторантура\материалы и методы\Рисунки\Рисунок 21– S. aureus, результат оценки вероятности образования нежелательных вторичных структур между олигонуклеотидами для гена термостабильной нуклеазы (nuc).tiff"/>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013989" cy="1749196"/>
                    </a:xfrm>
                    <a:prstGeom prst="rect">
                      <a:avLst/>
                    </a:prstGeom>
                    <a:noFill/>
                    <a:ln>
                      <a:noFill/>
                    </a:ln>
                  </pic:spPr>
                </pic:pic>
              </a:graphicData>
            </a:graphic>
          </wp:inline>
        </w:drawing>
      </w:r>
    </w:p>
    <w:p w:rsidR="00687441" w:rsidRPr="00687441" w:rsidRDefault="00687441" w:rsidP="00053C28">
      <w:pPr>
        <w:jc w:val="center"/>
        <w:rPr>
          <w:sz w:val="28"/>
          <w:szCs w:val="28"/>
        </w:rPr>
      </w:pPr>
      <w:r w:rsidRPr="00687441">
        <w:rPr>
          <w:sz w:val="28"/>
          <w:szCs w:val="28"/>
        </w:rPr>
        <w:t xml:space="preserve">Рисунок 32 – Результат оценки вероятности образования нежелательных вторичных структур между олигонуклеотидами для гена термостабильной нуклеазы (nuc) </w:t>
      </w:r>
      <w:r w:rsidR="007A7888" w:rsidRPr="007A7888">
        <w:rPr>
          <w:i/>
          <w:sz w:val="28"/>
          <w:szCs w:val="28"/>
        </w:rPr>
        <w:t>S. aureus</w:t>
      </w:r>
    </w:p>
    <w:p w:rsidR="00687441" w:rsidRPr="00687441" w:rsidRDefault="00687441" w:rsidP="00053C28">
      <w:pPr>
        <w:jc w:val="center"/>
        <w:rPr>
          <w:sz w:val="28"/>
          <w:szCs w:val="28"/>
        </w:rPr>
      </w:pPr>
    </w:p>
    <w:p w:rsidR="00687441" w:rsidRPr="00687441" w:rsidRDefault="00687441" w:rsidP="00053C28">
      <w:pPr>
        <w:jc w:val="center"/>
        <w:rPr>
          <w:sz w:val="28"/>
          <w:szCs w:val="28"/>
        </w:rPr>
      </w:pPr>
      <w:r w:rsidRPr="00687441">
        <w:rPr>
          <w:noProof/>
          <w:sz w:val="28"/>
          <w:szCs w:val="28"/>
          <w:lang w:eastAsia="ru-RU"/>
        </w:rPr>
        <w:drawing>
          <wp:inline distT="0" distB="0" distL="0" distR="0" wp14:anchorId="2607764A" wp14:editId="0751A8E3">
            <wp:extent cx="3976255" cy="1745130"/>
            <wp:effectExtent l="0" t="0" r="5715" b="7620"/>
            <wp:docPr id="68" name="Рисунок 68" descr="C:\Users\User\AppData\Local\Microsoft\Windows\INetCache\Content.Word\Рисунок 22 – S. aureus, результат оценки вероятности образования нежелательных вторичных структур между олигонуклеотидами гена устойчивости к антибиотикам группы бета-лактамов (BlaZ).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Рисунок 22 – S. aureus, результат оценки вероятности образования нежелательных вторичных структур между олигонуклеотидами гена устойчивости к антибиотикам группы бета-лактамов (BlaZ).tif"/>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021425" cy="1764955"/>
                    </a:xfrm>
                    <a:prstGeom prst="rect">
                      <a:avLst/>
                    </a:prstGeom>
                    <a:noFill/>
                    <a:ln>
                      <a:noFill/>
                    </a:ln>
                  </pic:spPr>
                </pic:pic>
              </a:graphicData>
            </a:graphic>
          </wp:inline>
        </w:drawing>
      </w:r>
    </w:p>
    <w:p w:rsidR="00687441" w:rsidRPr="00687441" w:rsidRDefault="00687441" w:rsidP="00053C28">
      <w:pPr>
        <w:jc w:val="center"/>
        <w:rPr>
          <w:sz w:val="28"/>
          <w:szCs w:val="28"/>
        </w:rPr>
      </w:pPr>
      <w:r w:rsidRPr="00687441">
        <w:rPr>
          <w:sz w:val="28"/>
          <w:szCs w:val="28"/>
        </w:rPr>
        <w:t xml:space="preserve">Рисунок 33 – Результат оценки вероятности образования нежелательных вторичных структур между олигонуклеотидами гена устойчивости к антибиотикам группы бета-лактамов (BlaZ) </w:t>
      </w:r>
      <w:r w:rsidR="007A7888" w:rsidRPr="007A7888">
        <w:rPr>
          <w:i/>
          <w:sz w:val="28"/>
          <w:szCs w:val="28"/>
        </w:rPr>
        <w:t>S. aureus</w:t>
      </w:r>
    </w:p>
    <w:p w:rsidR="00687441" w:rsidRPr="00687441" w:rsidRDefault="00687441" w:rsidP="00053C28">
      <w:pPr>
        <w:jc w:val="center"/>
        <w:rPr>
          <w:sz w:val="28"/>
          <w:szCs w:val="28"/>
        </w:rPr>
      </w:pPr>
    </w:p>
    <w:p w:rsidR="00687441" w:rsidRPr="00687441" w:rsidRDefault="00687441" w:rsidP="00053C28">
      <w:pPr>
        <w:jc w:val="center"/>
        <w:rPr>
          <w:sz w:val="28"/>
          <w:szCs w:val="28"/>
        </w:rPr>
      </w:pPr>
      <w:r w:rsidRPr="00687441">
        <w:rPr>
          <w:noProof/>
          <w:sz w:val="28"/>
          <w:szCs w:val="28"/>
          <w:lang w:eastAsia="ru-RU"/>
        </w:rPr>
        <w:drawing>
          <wp:inline distT="0" distB="0" distL="0" distR="0" wp14:anchorId="62C8C230" wp14:editId="4ACE8E58">
            <wp:extent cx="3962400" cy="1746860"/>
            <wp:effectExtent l="0" t="0" r="0" b="6350"/>
            <wp:docPr id="6" name="Рисунок 6" descr="C:\Users\User\AppData\Local\Microsoft\Windows\INetCache\Content.Word\Рисунок 23 – S. aureus, результат оценки вероятности образования нежелательных вторичных структур между олигонуклеотидами для гена устойчивости к антибиотикам группы макролидов (ermC).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Рисунок 23 – S. aureus, результат оценки вероятности образования нежелательных вторичных структур между олигонуклеотидами для гена устойчивости к антибиотикам группы макролидов (ermC).ti"/>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987197" cy="1757792"/>
                    </a:xfrm>
                    <a:prstGeom prst="rect">
                      <a:avLst/>
                    </a:prstGeom>
                    <a:noFill/>
                    <a:ln>
                      <a:noFill/>
                    </a:ln>
                  </pic:spPr>
                </pic:pic>
              </a:graphicData>
            </a:graphic>
          </wp:inline>
        </w:drawing>
      </w:r>
    </w:p>
    <w:p w:rsidR="00687441" w:rsidRPr="00687441" w:rsidRDefault="00687441" w:rsidP="00053C28">
      <w:pPr>
        <w:jc w:val="center"/>
        <w:rPr>
          <w:sz w:val="28"/>
          <w:szCs w:val="28"/>
        </w:rPr>
      </w:pPr>
      <w:r w:rsidRPr="00687441">
        <w:rPr>
          <w:sz w:val="28"/>
          <w:szCs w:val="28"/>
        </w:rPr>
        <w:t xml:space="preserve">Рисунок 34 – Результат оценки вероятности образования нежелательных вторичных структур между олигонуклеотидами для гена устойчивости к антибиотикам группы макролидов (ermC) </w:t>
      </w:r>
      <w:r w:rsidR="007A7888" w:rsidRPr="007A7888">
        <w:rPr>
          <w:i/>
          <w:sz w:val="28"/>
          <w:szCs w:val="28"/>
        </w:rPr>
        <w:t>S. aureus</w:t>
      </w:r>
    </w:p>
    <w:p w:rsidR="00687441" w:rsidRPr="00687441" w:rsidRDefault="00687441" w:rsidP="00053C28">
      <w:pPr>
        <w:jc w:val="center"/>
        <w:rPr>
          <w:sz w:val="28"/>
          <w:szCs w:val="28"/>
        </w:rPr>
      </w:pPr>
    </w:p>
    <w:p w:rsidR="00687441" w:rsidRPr="00687441" w:rsidRDefault="00687441" w:rsidP="00053C28">
      <w:pPr>
        <w:jc w:val="center"/>
        <w:rPr>
          <w:sz w:val="28"/>
          <w:szCs w:val="28"/>
        </w:rPr>
      </w:pPr>
      <w:r w:rsidRPr="00687441">
        <w:rPr>
          <w:noProof/>
          <w:sz w:val="28"/>
          <w:szCs w:val="28"/>
          <w:lang w:eastAsia="ru-RU"/>
        </w:rPr>
        <w:lastRenderedPageBreak/>
        <w:drawing>
          <wp:inline distT="0" distB="0" distL="0" distR="0" wp14:anchorId="713796D0" wp14:editId="7CA1A963">
            <wp:extent cx="3931943" cy="1745672"/>
            <wp:effectExtent l="0" t="0" r="0" b="6985"/>
            <wp:docPr id="7" name="Рисунок 7" descr="C:\Users\User\Моноблок\Байменов\2025 год\докторантура\материалы и методы\Рисунки\Рисунок 24 – S. aureus, результат оценки вероятности образования нежелательных вторичных структур между олигонуклеотидами гена антибиотикам группы тетрациклинов (TetK).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Моноблок\Байменов\2025 год\докторантура\материалы и методы\Рисунки\Рисунок 24 – S. aureus, результат оценки вероятности образования нежелательных вторичных структур между олигонуклеотидами гена антибиотикам группы тетрациклинов (TetK).tiff"/>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996242" cy="1774219"/>
                    </a:xfrm>
                    <a:prstGeom prst="rect">
                      <a:avLst/>
                    </a:prstGeom>
                    <a:noFill/>
                    <a:ln>
                      <a:noFill/>
                    </a:ln>
                  </pic:spPr>
                </pic:pic>
              </a:graphicData>
            </a:graphic>
          </wp:inline>
        </w:drawing>
      </w:r>
    </w:p>
    <w:p w:rsidR="00687441" w:rsidRPr="00687441" w:rsidRDefault="00687441" w:rsidP="00053C28">
      <w:pPr>
        <w:jc w:val="center"/>
        <w:rPr>
          <w:sz w:val="28"/>
          <w:szCs w:val="28"/>
        </w:rPr>
      </w:pPr>
      <w:r w:rsidRPr="00687441">
        <w:rPr>
          <w:sz w:val="28"/>
          <w:szCs w:val="28"/>
        </w:rPr>
        <w:t xml:space="preserve">Рисунок 35 – Результат оценки вероятности образования нежелательных вторичных структур между олигонуклеотидами гена антибиотикам группы тетрациклинов (TetK) </w:t>
      </w:r>
      <w:r w:rsidR="007A7888" w:rsidRPr="007A7888">
        <w:rPr>
          <w:i/>
          <w:sz w:val="28"/>
          <w:szCs w:val="28"/>
        </w:rPr>
        <w:t>S. aureus</w:t>
      </w:r>
    </w:p>
    <w:p w:rsidR="00687441" w:rsidRPr="00687441" w:rsidRDefault="00687441" w:rsidP="00687441">
      <w:pPr>
        <w:rPr>
          <w:sz w:val="28"/>
          <w:szCs w:val="28"/>
        </w:rPr>
      </w:pPr>
    </w:p>
    <w:p w:rsidR="00687441" w:rsidRDefault="00687441" w:rsidP="0077064C">
      <w:pPr>
        <w:jc w:val="left"/>
        <w:rPr>
          <w:sz w:val="28"/>
          <w:szCs w:val="28"/>
        </w:rPr>
      </w:pPr>
      <w:r w:rsidRPr="00687441">
        <w:rPr>
          <w:sz w:val="28"/>
          <w:szCs w:val="28"/>
        </w:rPr>
        <w:t>Таблица 12 – Физические характеристики сконструированных олигонуклеотидов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4347"/>
        <w:gridCol w:w="522"/>
        <w:gridCol w:w="601"/>
        <w:gridCol w:w="601"/>
        <w:gridCol w:w="821"/>
        <w:gridCol w:w="675"/>
        <w:gridCol w:w="601"/>
      </w:tblGrid>
      <w:tr w:rsidR="00687441" w:rsidRPr="00687441" w:rsidTr="006F2F87">
        <w:trPr>
          <w:cantSplit/>
          <w:trHeight w:val="1134"/>
        </w:trPr>
        <w:tc>
          <w:tcPr>
            <w:tcW w:w="0" w:type="auto"/>
            <w:vAlign w:val="center"/>
          </w:tcPr>
          <w:p w:rsidR="00687441" w:rsidRPr="00687441" w:rsidRDefault="00687441" w:rsidP="00687441">
            <w:pPr>
              <w:rPr>
                <w:rFonts w:cs="Times New Roman"/>
                <w:sz w:val="22"/>
              </w:rPr>
            </w:pPr>
            <w:r w:rsidRPr="00687441">
              <w:rPr>
                <w:rFonts w:cs="Times New Roman"/>
                <w:sz w:val="22"/>
              </w:rPr>
              <w:t>Название</w:t>
            </w:r>
          </w:p>
        </w:tc>
        <w:tc>
          <w:tcPr>
            <w:tcW w:w="0" w:type="auto"/>
            <w:shd w:val="clear" w:color="auto" w:fill="auto"/>
            <w:noWrap/>
            <w:vAlign w:val="center"/>
            <w:hideMark/>
          </w:tcPr>
          <w:p w:rsidR="00687441" w:rsidRPr="00687441" w:rsidRDefault="00687441" w:rsidP="00687441">
            <w:pPr>
              <w:rPr>
                <w:rFonts w:cs="Times New Roman"/>
                <w:sz w:val="22"/>
              </w:rPr>
            </w:pPr>
            <w:r w:rsidRPr="00687441">
              <w:rPr>
                <w:rFonts w:cs="Times New Roman"/>
                <w:sz w:val="22"/>
              </w:rPr>
              <w:t>Последовательность</w:t>
            </w:r>
          </w:p>
        </w:tc>
        <w:tc>
          <w:tcPr>
            <w:tcW w:w="0" w:type="auto"/>
            <w:shd w:val="clear" w:color="auto" w:fill="auto"/>
            <w:noWrap/>
            <w:textDirection w:val="btLr"/>
            <w:hideMark/>
          </w:tcPr>
          <w:p w:rsidR="00687441" w:rsidRPr="00687441" w:rsidRDefault="00687441" w:rsidP="00687441">
            <w:pPr>
              <w:rPr>
                <w:rFonts w:cs="Times New Roman"/>
                <w:sz w:val="22"/>
              </w:rPr>
            </w:pPr>
            <w:r w:rsidRPr="00687441">
              <w:rPr>
                <w:rFonts w:cs="Times New Roman"/>
                <w:sz w:val="22"/>
              </w:rPr>
              <w:t>длина</w:t>
            </w:r>
          </w:p>
        </w:tc>
        <w:tc>
          <w:tcPr>
            <w:tcW w:w="0" w:type="auto"/>
            <w:shd w:val="clear" w:color="auto" w:fill="auto"/>
            <w:noWrap/>
            <w:textDirection w:val="btLr"/>
            <w:hideMark/>
          </w:tcPr>
          <w:p w:rsidR="00687441" w:rsidRPr="00687441" w:rsidRDefault="00687441" w:rsidP="00687441">
            <w:pPr>
              <w:rPr>
                <w:rFonts w:cs="Times New Roman"/>
                <w:sz w:val="22"/>
              </w:rPr>
            </w:pPr>
            <w:r w:rsidRPr="00687441">
              <w:rPr>
                <w:rFonts w:cs="Times New Roman"/>
                <w:sz w:val="22"/>
              </w:rPr>
              <w:t xml:space="preserve"> GC %</w:t>
            </w:r>
          </w:p>
        </w:tc>
        <w:tc>
          <w:tcPr>
            <w:tcW w:w="0" w:type="auto"/>
            <w:shd w:val="clear" w:color="auto" w:fill="auto"/>
            <w:noWrap/>
            <w:textDirection w:val="btLr"/>
            <w:hideMark/>
          </w:tcPr>
          <w:p w:rsidR="00687441" w:rsidRPr="00687441" w:rsidRDefault="00687441" w:rsidP="00687441">
            <w:pPr>
              <w:rPr>
                <w:rFonts w:cs="Times New Roman"/>
                <w:sz w:val="22"/>
              </w:rPr>
            </w:pPr>
            <w:r w:rsidRPr="00687441">
              <w:rPr>
                <w:rFonts w:cs="Times New Roman"/>
                <w:sz w:val="22"/>
              </w:rPr>
              <w:t>Tm (°C)</w:t>
            </w:r>
          </w:p>
        </w:tc>
        <w:tc>
          <w:tcPr>
            <w:tcW w:w="0" w:type="auto"/>
            <w:shd w:val="clear" w:color="auto" w:fill="auto"/>
            <w:noWrap/>
            <w:textDirection w:val="btLr"/>
            <w:hideMark/>
          </w:tcPr>
          <w:p w:rsidR="00687441" w:rsidRPr="00687441" w:rsidRDefault="00687441" w:rsidP="00687441">
            <w:pPr>
              <w:rPr>
                <w:rFonts w:cs="Times New Roman"/>
                <w:sz w:val="22"/>
              </w:rPr>
            </w:pPr>
            <w:r w:rsidRPr="00687441">
              <w:rPr>
                <w:rFonts w:cs="Times New Roman"/>
                <w:sz w:val="22"/>
              </w:rPr>
              <w:t>масса г/моль</w:t>
            </w:r>
          </w:p>
        </w:tc>
        <w:tc>
          <w:tcPr>
            <w:tcW w:w="0" w:type="auto"/>
            <w:shd w:val="clear" w:color="auto" w:fill="auto"/>
            <w:noWrap/>
            <w:textDirection w:val="btLr"/>
            <w:hideMark/>
          </w:tcPr>
          <w:p w:rsidR="00687441" w:rsidRPr="00687441" w:rsidRDefault="00687441" w:rsidP="00687441">
            <w:pPr>
              <w:rPr>
                <w:rFonts w:cs="Times New Roman"/>
                <w:sz w:val="22"/>
              </w:rPr>
            </w:pPr>
            <w:r w:rsidRPr="00687441">
              <w:rPr>
                <w:rFonts w:cs="Times New Roman"/>
                <w:sz w:val="22"/>
              </w:rPr>
              <w:t>ΔG шпильки</w:t>
            </w:r>
          </w:p>
        </w:tc>
        <w:tc>
          <w:tcPr>
            <w:tcW w:w="0" w:type="auto"/>
            <w:shd w:val="clear" w:color="auto" w:fill="auto"/>
            <w:noWrap/>
            <w:textDirection w:val="btLr"/>
            <w:hideMark/>
          </w:tcPr>
          <w:p w:rsidR="00687441" w:rsidRPr="00687441" w:rsidRDefault="00687441" w:rsidP="00687441">
            <w:pPr>
              <w:rPr>
                <w:rFonts w:cs="Times New Roman"/>
                <w:sz w:val="22"/>
              </w:rPr>
            </w:pPr>
            <w:r w:rsidRPr="00687441">
              <w:rPr>
                <w:rFonts w:cs="Times New Roman"/>
                <w:sz w:val="22"/>
              </w:rPr>
              <w:t>Tm шпильки</w:t>
            </w:r>
          </w:p>
        </w:tc>
      </w:tr>
      <w:tr w:rsidR="00687441" w:rsidRPr="00687441" w:rsidTr="006F2F87">
        <w:trPr>
          <w:trHeight w:val="58"/>
        </w:trPr>
        <w:tc>
          <w:tcPr>
            <w:tcW w:w="0" w:type="auto"/>
          </w:tcPr>
          <w:p w:rsidR="00687441" w:rsidRPr="00687441" w:rsidRDefault="00687441" w:rsidP="00687441">
            <w:pPr>
              <w:rPr>
                <w:rFonts w:cs="Times New Roman"/>
                <w:sz w:val="22"/>
              </w:rPr>
            </w:pPr>
            <w:r w:rsidRPr="00687441">
              <w:rPr>
                <w:rFonts w:cs="Times New Roman"/>
                <w:sz w:val="22"/>
              </w:rPr>
              <w:t>Nuc 3 F</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AATATGGACGTGGCTTAGCGT</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21</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47,6</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64</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6501,3</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-1,52</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46,8</w:t>
            </w:r>
          </w:p>
        </w:tc>
      </w:tr>
      <w:tr w:rsidR="00687441" w:rsidRPr="00687441" w:rsidTr="006F2F87">
        <w:trPr>
          <w:trHeight w:val="96"/>
        </w:trPr>
        <w:tc>
          <w:tcPr>
            <w:tcW w:w="0" w:type="auto"/>
          </w:tcPr>
          <w:p w:rsidR="00687441" w:rsidRPr="00687441" w:rsidRDefault="00687441" w:rsidP="00687441">
            <w:pPr>
              <w:rPr>
                <w:rFonts w:cs="Times New Roman"/>
                <w:sz w:val="22"/>
              </w:rPr>
            </w:pPr>
            <w:r w:rsidRPr="00687441">
              <w:rPr>
                <w:rFonts w:cs="Times New Roman"/>
                <w:sz w:val="22"/>
              </w:rPr>
              <w:t>Nuc 3 R</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AGCCAAGCCTTGACGAACTAA</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21</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47,6</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64,1</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6408,2</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-0,92</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39,4</w:t>
            </w:r>
          </w:p>
        </w:tc>
      </w:tr>
      <w:tr w:rsidR="00687441" w:rsidRPr="00687441" w:rsidTr="006F2F87">
        <w:trPr>
          <w:trHeight w:val="58"/>
        </w:trPr>
        <w:tc>
          <w:tcPr>
            <w:tcW w:w="0" w:type="auto"/>
          </w:tcPr>
          <w:p w:rsidR="00687441" w:rsidRPr="00687441" w:rsidRDefault="00687441" w:rsidP="00687441">
            <w:pPr>
              <w:rPr>
                <w:rFonts w:cs="Times New Roman"/>
                <w:sz w:val="22"/>
              </w:rPr>
            </w:pPr>
            <w:r w:rsidRPr="00687441">
              <w:rPr>
                <w:rFonts w:cs="Times New Roman"/>
                <w:sz w:val="22"/>
              </w:rPr>
              <w:t>Nuc 3 OI</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TGCTGATGGAAAAATGGTAAACGAAGC</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27</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40,7</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66,4</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8405,5</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-0,19</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27,3</w:t>
            </w:r>
          </w:p>
        </w:tc>
      </w:tr>
      <w:tr w:rsidR="00687441" w:rsidRPr="00687441" w:rsidTr="006F2F87">
        <w:trPr>
          <w:trHeight w:val="58"/>
        </w:trPr>
        <w:tc>
          <w:tcPr>
            <w:tcW w:w="0" w:type="auto"/>
          </w:tcPr>
          <w:p w:rsidR="00687441" w:rsidRPr="00687441" w:rsidRDefault="00687441" w:rsidP="00687441">
            <w:pPr>
              <w:rPr>
                <w:rFonts w:cs="Times New Roman"/>
                <w:sz w:val="22"/>
              </w:rPr>
            </w:pPr>
            <w:r w:rsidRPr="00687441">
              <w:rPr>
                <w:rFonts w:cs="Times New Roman"/>
                <w:sz w:val="22"/>
              </w:rPr>
              <w:t>BlaZ 1 F</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AAGACGGTGTTCCAAAAGACT</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21</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42,9</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62,2</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6463,3</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-0,99</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37,8</w:t>
            </w:r>
          </w:p>
        </w:tc>
      </w:tr>
      <w:tr w:rsidR="00687441" w:rsidRPr="00687441" w:rsidTr="006F2F87">
        <w:trPr>
          <w:trHeight w:val="58"/>
        </w:trPr>
        <w:tc>
          <w:tcPr>
            <w:tcW w:w="0" w:type="auto"/>
          </w:tcPr>
          <w:p w:rsidR="00687441" w:rsidRPr="00687441" w:rsidRDefault="00687441" w:rsidP="00687441">
            <w:pPr>
              <w:rPr>
                <w:rFonts w:cs="Times New Roman"/>
                <w:sz w:val="22"/>
              </w:rPr>
            </w:pPr>
            <w:r w:rsidRPr="00687441">
              <w:rPr>
                <w:rFonts w:cs="Times New Roman"/>
                <w:sz w:val="22"/>
              </w:rPr>
              <w:t>BlaZ 1 R</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ACACTCTTGGCGGTTTCACT</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20</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50</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64,1</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6059</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-0,11</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26,7</w:t>
            </w:r>
          </w:p>
        </w:tc>
      </w:tr>
      <w:tr w:rsidR="00687441" w:rsidRPr="00687441" w:rsidTr="006F2F87">
        <w:trPr>
          <w:trHeight w:val="124"/>
        </w:trPr>
        <w:tc>
          <w:tcPr>
            <w:tcW w:w="0" w:type="auto"/>
          </w:tcPr>
          <w:p w:rsidR="00687441" w:rsidRPr="00687441" w:rsidRDefault="00687441" w:rsidP="00687441">
            <w:pPr>
              <w:rPr>
                <w:rFonts w:cs="Times New Roman"/>
                <w:sz w:val="22"/>
              </w:rPr>
            </w:pPr>
            <w:r w:rsidRPr="00687441">
              <w:rPr>
                <w:rFonts w:cs="Times New Roman"/>
                <w:sz w:val="22"/>
              </w:rPr>
              <w:t>BlaZ 1 OI</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AGGTTGCTGATAAAAGTGGTCAAGCA</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26</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42,3</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66,9</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8083,3</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-1,6</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41,7</w:t>
            </w:r>
          </w:p>
        </w:tc>
      </w:tr>
      <w:tr w:rsidR="00687441" w:rsidRPr="00687441" w:rsidTr="006F2F87">
        <w:trPr>
          <w:trHeight w:val="58"/>
        </w:trPr>
        <w:tc>
          <w:tcPr>
            <w:tcW w:w="0" w:type="auto"/>
          </w:tcPr>
          <w:p w:rsidR="00687441" w:rsidRPr="00687441" w:rsidRDefault="00687441" w:rsidP="00687441">
            <w:pPr>
              <w:rPr>
                <w:rFonts w:cs="Times New Roman"/>
                <w:sz w:val="22"/>
              </w:rPr>
            </w:pPr>
            <w:r w:rsidRPr="00687441">
              <w:rPr>
                <w:rFonts w:cs="Times New Roman"/>
                <w:sz w:val="22"/>
              </w:rPr>
              <w:t>ermC 2 F</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ATCGTGGAATACGGGTTTGCT</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21</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47,6</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64,2</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6492,3</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-2,41</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51,8</w:t>
            </w:r>
          </w:p>
        </w:tc>
      </w:tr>
      <w:tr w:rsidR="00687441" w:rsidRPr="00687441" w:rsidTr="006F2F87">
        <w:trPr>
          <w:trHeight w:val="58"/>
        </w:trPr>
        <w:tc>
          <w:tcPr>
            <w:tcW w:w="0" w:type="auto"/>
          </w:tcPr>
          <w:p w:rsidR="00687441" w:rsidRPr="00687441" w:rsidRDefault="00687441" w:rsidP="00687441">
            <w:pPr>
              <w:rPr>
                <w:rFonts w:cs="Times New Roman"/>
                <w:sz w:val="22"/>
              </w:rPr>
            </w:pPr>
            <w:r w:rsidRPr="00687441">
              <w:rPr>
                <w:rFonts w:cs="Times New Roman"/>
                <w:sz w:val="22"/>
              </w:rPr>
              <w:t>ermC 2 R</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GTGAGCTATTCACTTTAGGTTTAGG</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25</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40</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61,2</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7718</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-2,56</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49,9</w:t>
            </w:r>
          </w:p>
        </w:tc>
      </w:tr>
      <w:tr w:rsidR="00687441" w:rsidRPr="00687441" w:rsidTr="006F2F87">
        <w:trPr>
          <w:trHeight w:val="58"/>
        </w:trPr>
        <w:tc>
          <w:tcPr>
            <w:tcW w:w="0" w:type="auto"/>
          </w:tcPr>
          <w:p w:rsidR="00687441" w:rsidRPr="00687441" w:rsidRDefault="00687441" w:rsidP="00687441">
            <w:pPr>
              <w:rPr>
                <w:rFonts w:cs="Times New Roman"/>
                <w:sz w:val="22"/>
              </w:rPr>
            </w:pPr>
            <w:r w:rsidRPr="00687441">
              <w:rPr>
                <w:rFonts w:cs="Times New Roman"/>
                <w:sz w:val="22"/>
              </w:rPr>
              <w:t>ermC 2 OI</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CGCTCATTGGCATTACTTTTAATGGCA</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27</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40,7</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66,5</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8240,4</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-5,21</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55,9</w:t>
            </w:r>
          </w:p>
        </w:tc>
      </w:tr>
      <w:tr w:rsidR="00687441" w:rsidRPr="00687441" w:rsidTr="006F2F87">
        <w:trPr>
          <w:trHeight w:val="58"/>
        </w:trPr>
        <w:tc>
          <w:tcPr>
            <w:tcW w:w="0" w:type="auto"/>
          </w:tcPr>
          <w:p w:rsidR="00687441" w:rsidRPr="00687441" w:rsidRDefault="00687441" w:rsidP="00687441">
            <w:pPr>
              <w:rPr>
                <w:rFonts w:cs="Times New Roman"/>
                <w:sz w:val="22"/>
              </w:rPr>
            </w:pPr>
            <w:r w:rsidRPr="00687441">
              <w:rPr>
                <w:rFonts w:cs="Times New Roman"/>
                <w:sz w:val="22"/>
              </w:rPr>
              <w:t>TetK 1 F</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TCGATAGGAACAGCAGTATATGGA</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24</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41,7</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62,7</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7449,9</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-0,95</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37</w:t>
            </w:r>
          </w:p>
        </w:tc>
      </w:tr>
      <w:tr w:rsidR="00687441" w:rsidRPr="00687441" w:rsidTr="006F2F87">
        <w:trPr>
          <w:trHeight w:val="70"/>
        </w:trPr>
        <w:tc>
          <w:tcPr>
            <w:tcW w:w="0" w:type="auto"/>
          </w:tcPr>
          <w:p w:rsidR="00687441" w:rsidRPr="00687441" w:rsidRDefault="00687441" w:rsidP="00687441">
            <w:pPr>
              <w:rPr>
                <w:rFonts w:cs="Times New Roman"/>
                <w:sz w:val="22"/>
              </w:rPr>
            </w:pPr>
            <w:r w:rsidRPr="00687441">
              <w:rPr>
                <w:rFonts w:cs="Times New Roman"/>
                <w:sz w:val="22"/>
              </w:rPr>
              <w:t>TetK 1 R</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GCAGATCCTACTCCTTGTACTAACC</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25</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48</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63,6</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7536,9</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-0,59</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34,5</w:t>
            </w:r>
          </w:p>
        </w:tc>
      </w:tr>
      <w:tr w:rsidR="00687441" w:rsidRPr="00687441" w:rsidTr="006F2F87">
        <w:trPr>
          <w:trHeight w:val="58"/>
        </w:trPr>
        <w:tc>
          <w:tcPr>
            <w:tcW w:w="0" w:type="auto"/>
          </w:tcPr>
          <w:p w:rsidR="00687441" w:rsidRPr="00687441" w:rsidRDefault="00687441" w:rsidP="00687441">
            <w:pPr>
              <w:rPr>
                <w:rFonts w:cs="Times New Roman"/>
                <w:sz w:val="22"/>
              </w:rPr>
            </w:pPr>
            <w:r w:rsidRPr="00687441">
              <w:rPr>
                <w:rFonts w:cs="Times New Roman"/>
                <w:sz w:val="22"/>
              </w:rPr>
              <w:t>TetK 1 OI</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TGAGCTGTCTTGGTTCATTGATTGCT</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26</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42,3</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66,9</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7989,2</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-1,33</w:t>
            </w:r>
          </w:p>
        </w:tc>
        <w:tc>
          <w:tcPr>
            <w:tcW w:w="0" w:type="auto"/>
            <w:shd w:val="clear" w:color="auto" w:fill="auto"/>
            <w:noWrap/>
            <w:hideMark/>
          </w:tcPr>
          <w:p w:rsidR="00687441" w:rsidRPr="00687441" w:rsidRDefault="00687441" w:rsidP="00687441">
            <w:pPr>
              <w:rPr>
                <w:rFonts w:cs="Times New Roman"/>
                <w:sz w:val="22"/>
              </w:rPr>
            </w:pPr>
            <w:r w:rsidRPr="00687441">
              <w:rPr>
                <w:rFonts w:cs="Times New Roman"/>
                <w:sz w:val="22"/>
              </w:rPr>
              <w:t>37,7</w:t>
            </w:r>
          </w:p>
        </w:tc>
      </w:tr>
    </w:tbl>
    <w:p w:rsidR="00687441" w:rsidRPr="00687441" w:rsidRDefault="00687441" w:rsidP="00687441">
      <w:pPr>
        <w:rPr>
          <w:sz w:val="28"/>
          <w:szCs w:val="28"/>
        </w:rPr>
      </w:pPr>
    </w:p>
    <w:p w:rsidR="00687441" w:rsidRPr="00687441" w:rsidRDefault="00687441" w:rsidP="00053C28">
      <w:pPr>
        <w:ind w:firstLine="709"/>
        <w:rPr>
          <w:sz w:val="28"/>
          <w:szCs w:val="28"/>
        </w:rPr>
      </w:pPr>
      <w:r w:rsidRPr="00687441">
        <w:rPr>
          <w:sz w:val="28"/>
          <w:szCs w:val="28"/>
        </w:rPr>
        <w:t xml:space="preserve">Из полученных данных видно (таблица </w:t>
      </w:r>
      <w:r w:rsidR="00E104A1">
        <w:rPr>
          <w:sz w:val="28"/>
          <w:szCs w:val="28"/>
        </w:rPr>
        <w:t>12</w:t>
      </w:r>
      <w:r w:rsidRPr="00687441">
        <w:rPr>
          <w:sz w:val="28"/>
          <w:szCs w:val="28"/>
        </w:rPr>
        <w:t>), что праймеры и зонды подобраны с учетом ключевых физических характеристик, обеспечивающих их пригодность для мультиплексной реакции:</w:t>
      </w:r>
    </w:p>
    <w:p w:rsidR="00687441" w:rsidRPr="00687441" w:rsidRDefault="00687441" w:rsidP="00053C28">
      <w:pPr>
        <w:ind w:firstLine="709"/>
        <w:rPr>
          <w:sz w:val="28"/>
          <w:szCs w:val="28"/>
        </w:rPr>
      </w:pPr>
      <w:r w:rsidRPr="00687441">
        <w:rPr>
          <w:sz w:val="28"/>
          <w:szCs w:val="28"/>
        </w:rPr>
        <w:t>– температуры плавления (Tm) двух праймеров не различаются более чем на 5 °C. Это важно для обеспечения одновременной амплификации при определенных условиях ПЦР;</w:t>
      </w:r>
    </w:p>
    <w:p w:rsidR="00687441" w:rsidRPr="00687441" w:rsidRDefault="00687441" w:rsidP="00053C28">
      <w:pPr>
        <w:ind w:firstLine="709"/>
        <w:rPr>
          <w:sz w:val="28"/>
          <w:szCs w:val="28"/>
        </w:rPr>
      </w:pPr>
      <w:r w:rsidRPr="00687441">
        <w:rPr>
          <w:sz w:val="28"/>
          <w:szCs w:val="28"/>
        </w:rPr>
        <w:t>– ГЦ-состав соответствует интервалу 40–60%, что обеспечивает оптимальные условия для специфической гибридизации с мишенью;</w:t>
      </w:r>
    </w:p>
    <w:p w:rsidR="00687441" w:rsidRPr="00687441" w:rsidRDefault="00687441" w:rsidP="00053C28">
      <w:pPr>
        <w:ind w:firstLine="709"/>
        <w:rPr>
          <w:sz w:val="28"/>
          <w:szCs w:val="28"/>
        </w:rPr>
      </w:pPr>
      <w:r w:rsidRPr="00687441">
        <w:rPr>
          <w:sz w:val="28"/>
          <w:szCs w:val="28"/>
        </w:rPr>
        <w:t xml:space="preserve">– результаты анализа на образование «шпилек», показывают, что комплементарные последовательности с максимальными значениями дельты G имеют низкие значения относительно температуры отжига праймеров и зондов, и указывает на низкую вероятность образования нежелательных вторичных </w:t>
      </w:r>
      <w:r w:rsidRPr="00687441">
        <w:rPr>
          <w:sz w:val="28"/>
          <w:szCs w:val="28"/>
        </w:rPr>
        <w:lastRenderedPageBreak/>
        <w:t>структур, которые могли бы привести к неспецифическим продуктам амплификации.</w:t>
      </w:r>
    </w:p>
    <w:p w:rsidR="00687441" w:rsidRPr="00687441" w:rsidRDefault="00687441" w:rsidP="00053C28">
      <w:pPr>
        <w:ind w:firstLine="709"/>
        <w:rPr>
          <w:sz w:val="28"/>
          <w:szCs w:val="28"/>
        </w:rPr>
      </w:pPr>
      <w:r w:rsidRPr="00687441">
        <w:rPr>
          <w:sz w:val="28"/>
          <w:szCs w:val="28"/>
        </w:rPr>
        <w:t xml:space="preserve">По результатам гомо-димерного анализа, димерные комплексы не представляли опасности для образования неспецифичных продуктов амплификации, так как 3' концы праймеров при возможном образовании димер остаются свободными, и дальнейшая репликация ДНК не произойдет. Во всех остальных случаях димерные последовательности с максимальными значениями свободной энергии связывания олигопоследовательности с ее совершенным комплементом, являлись низкими, либо 3' концы оставались свободными и возможность образования гомо-димерного комплекса исключена. </w:t>
      </w:r>
    </w:p>
    <w:p w:rsidR="00687441" w:rsidRPr="00687441" w:rsidRDefault="00687441" w:rsidP="00053C28">
      <w:pPr>
        <w:ind w:firstLine="709"/>
        <w:rPr>
          <w:sz w:val="28"/>
          <w:szCs w:val="28"/>
        </w:rPr>
      </w:pPr>
      <w:r w:rsidRPr="00687441">
        <w:rPr>
          <w:sz w:val="28"/>
          <w:szCs w:val="28"/>
        </w:rPr>
        <w:t xml:space="preserve">Таким образом, по результатам гомо-димерного анализа праймеров и зондов для идентификации </w:t>
      </w:r>
      <w:r w:rsidR="007A7888" w:rsidRPr="007A7888">
        <w:rPr>
          <w:i/>
          <w:sz w:val="28"/>
          <w:szCs w:val="28"/>
        </w:rPr>
        <w:t>S. aureus</w:t>
      </w:r>
      <w:r w:rsidRPr="00687441">
        <w:rPr>
          <w:sz w:val="28"/>
          <w:szCs w:val="28"/>
        </w:rPr>
        <w:t xml:space="preserve"> и локусов их антибиотикоустойчивости, разработанные олигопоследовательности соответствуют требованиям в отношении возможности образования гомо-димерных комплексов, и не представляет опасности образования дуплексов друг с другом (приложение </w:t>
      </w:r>
      <w:r w:rsidR="001A43AE">
        <w:rPr>
          <w:sz w:val="28"/>
          <w:szCs w:val="28"/>
        </w:rPr>
        <w:t>Р</w:t>
      </w:r>
      <w:r w:rsidRPr="00687441">
        <w:rPr>
          <w:sz w:val="28"/>
          <w:szCs w:val="28"/>
        </w:rPr>
        <w:t xml:space="preserve">, таблица </w:t>
      </w:r>
      <w:r w:rsidR="001A43AE">
        <w:rPr>
          <w:sz w:val="28"/>
          <w:szCs w:val="28"/>
        </w:rPr>
        <w:t>Р</w:t>
      </w:r>
      <w:r w:rsidR="00A106E4">
        <w:rPr>
          <w:sz w:val="28"/>
          <w:szCs w:val="28"/>
        </w:rPr>
        <w:t>1</w:t>
      </w:r>
      <w:r w:rsidRPr="00687441">
        <w:rPr>
          <w:sz w:val="28"/>
          <w:szCs w:val="28"/>
        </w:rPr>
        <w:t>).</w:t>
      </w:r>
    </w:p>
    <w:p w:rsidR="00687441" w:rsidRPr="00687441" w:rsidRDefault="00687441" w:rsidP="00053C28">
      <w:pPr>
        <w:ind w:firstLine="709"/>
        <w:rPr>
          <w:sz w:val="28"/>
          <w:szCs w:val="28"/>
        </w:rPr>
      </w:pPr>
      <w:r w:rsidRPr="00687441">
        <w:rPr>
          <w:sz w:val="28"/>
          <w:szCs w:val="28"/>
        </w:rPr>
        <w:t xml:space="preserve">Результаты гетеро-димерного анализа праймеров и зондов для идентификации </w:t>
      </w:r>
      <w:r w:rsidR="007A7888" w:rsidRPr="007A7888">
        <w:rPr>
          <w:i/>
          <w:sz w:val="28"/>
          <w:szCs w:val="28"/>
        </w:rPr>
        <w:t>S. aureus</w:t>
      </w:r>
      <w:r w:rsidRPr="00687441">
        <w:rPr>
          <w:sz w:val="28"/>
          <w:szCs w:val="28"/>
        </w:rPr>
        <w:t xml:space="preserve"> и локусов антибиотикоустойчивости представлены в приложении </w:t>
      </w:r>
      <w:r w:rsidR="001A43AE">
        <w:rPr>
          <w:sz w:val="28"/>
          <w:szCs w:val="28"/>
        </w:rPr>
        <w:t>Р</w:t>
      </w:r>
      <w:r w:rsidRPr="00687441">
        <w:rPr>
          <w:sz w:val="28"/>
          <w:szCs w:val="28"/>
        </w:rPr>
        <w:t xml:space="preserve">, таблица </w:t>
      </w:r>
      <w:r w:rsidR="001A43AE">
        <w:rPr>
          <w:sz w:val="28"/>
          <w:szCs w:val="28"/>
        </w:rPr>
        <w:t>Р</w:t>
      </w:r>
      <w:r w:rsidRPr="00687441">
        <w:rPr>
          <w:sz w:val="28"/>
          <w:szCs w:val="28"/>
        </w:rPr>
        <w:t>2. По результатам проведенного исследования праймеры и зонды демонстрировали благоприятные характеристики. Максимальные значения дельты G для димерных последовательностей являлись низкими во всех образцах, что указывает на низкую вероятность образования гетеро-димеров, что благоприятно для предотвращения неспецифических продуктов амплификации. Гетеро-димерные последовательности с высокими значениями дельты G и свободными 3' концами праймеров, были исключены из анализа, поскольку в таких случаях (3'-концы праймеров не комплементарны к матрице ДНК) ДНК-полимераза не сможет начинать удлинение, что предотвращает образование неспецифичных продуктов амплификации.</w:t>
      </w:r>
    </w:p>
    <w:p w:rsidR="00687441" w:rsidRPr="00687441" w:rsidRDefault="00687441" w:rsidP="00053C28">
      <w:pPr>
        <w:ind w:firstLine="709"/>
        <w:rPr>
          <w:sz w:val="28"/>
          <w:szCs w:val="28"/>
        </w:rPr>
      </w:pPr>
      <w:r w:rsidRPr="00687441">
        <w:rPr>
          <w:sz w:val="28"/>
          <w:szCs w:val="28"/>
        </w:rPr>
        <w:t xml:space="preserve">Таким образом, результаты гетеро-димерного анализа свидетельствуют о том, что разработанные олигопоследовательности соответствуют требованиям в отношении возможности образования гетеро-димерных комплексов, и вероятность образования дуплексов между различными олигонуклеотидами исключена. </w:t>
      </w:r>
    </w:p>
    <w:p w:rsidR="00687441" w:rsidRPr="00687441" w:rsidRDefault="00687441" w:rsidP="00053C28">
      <w:pPr>
        <w:ind w:firstLine="709"/>
        <w:rPr>
          <w:sz w:val="28"/>
          <w:szCs w:val="28"/>
        </w:rPr>
      </w:pPr>
      <w:r w:rsidRPr="00687441">
        <w:rPr>
          <w:sz w:val="28"/>
          <w:szCs w:val="28"/>
        </w:rPr>
        <w:t xml:space="preserve">Синтез праймеров и разрушаемых зондов, произведен с заданными модификациями (флуоресцентные метки для обеспечения возможности визуализации в процессе ПЦР) (приложение </w:t>
      </w:r>
      <w:r w:rsidR="001A43AE">
        <w:rPr>
          <w:sz w:val="28"/>
          <w:szCs w:val="28"/>
        </w:rPr>
        <w:t>С</w:t>
      </w:r>
      <w:r w:rsidRPr="00687441">
        <w:rPr>
          <w:sz w:val="28"/>
          <w:szCs w:val="28"/>
        </w:rPr>
        <w:t>).</w:t>
      </w:r>
    </w:p>
    <w:p w:rsidR="00FE1507" w:rsidRDefault="00FE1507" w:rsidP="00053C28">
      <w:pPr>
        <w:ind w:firstLine="709"/>
        <w:rPr>
          <w:b/>
          <w:sz w:val="28"/>
          <w:szCs w:val="28"/>
        </w:rPr>
      </w:pPr>
    </w:p>
    <w:p w:rsidR="00687441" w:rsidRPr="00FE1507" w:rsidRDefault="00687441" w:rsidP="00053C28">
      <w:pPr>
        <w:ind w:firstLine="709"/>
        <w:rPr>
          <w:sz w:val="28"/>
          <w:szCs w:val="28"/>
        </w:rPr>
      </w:pPr>
      <w:r w:rsidRPr="00FE1507">
        <w:rPr>
          <w:sz w:val="28"/>
          <w:szCs w:val="28"/>
        </w:rPr>
        <w:t>3.2.</w:t>
      </w:r>
      <w:r w:rsidR="000D6CCE" w:rsidRPr="00FE1507">
        <w:rPr>
          <w:sz w:val="28"/>
          <w:szCs w:val="28"/>
        </w:rPr>
        <w:t>4</w:t>
      </w:r>
      <w:r w:rsidRPr="00FE1507">
        <w:rPr>
          <w:sz w:val="28"/>
          <w:szCs w:val="28"/>
        </w:rPr>
        <w:t xml:space="preserve"> Результаты расчетов приготовления праймеров и флуоресцентно меченых зондов</w:t>
      </w:r>
    </w:p>
    <w:p w:rsidR="00687441" w:rsidRPr="00687441" w:rsidRDefault="00687441" w:rsidP="00053C28">
      <w:pPr>
        <w:ind w:firstLine="709"/>
        <w:rPr>
          <w:sz w:val="28"/>
          <w:szCs w:val="28"/>
        </w:rPr>
      </w:pPr>
      <w:r w:rsidRPr="00687441">
        <w:rPr>
          <w:sz w:val="28"/>
          <w:szCs w:val="28"/>
        </w:rPr>
        <w:t xml:space="preserve">Лиофилизированные праймеры разводили, добавляя к ним нужное количество дистиллированной воды (MQ) для достижения конечной концентрации в </w:t>
      </w:r>
      <w:r>
        <w:rPr>
          <w:sz w:val="28"/>
          <w:szCs w:val="28"/>
        </w:rPr>
        <w:t xml:space="preserve">100 </w:t>
      </w:r>
      <w:r w:rsidRPr="00687441">
        <w:rPr>
          <w:sz w:val="28"/>
          <w:szCs w:val="28"/>
        </w:rPr>
        <w:t xml:space="preserve">мкМ/л. Полученные растворы праймеров оставляли при </w:t>
      </w:r>
      <w:r w:rsidRPr="00687441">
        <w:rPr>
          <w:sz w:val="28"/>
          <w:szCs w:val="28"/>
        </w:rPr>
        <w:lastRenderedPageBreak/>
        <w:t>комнатной температуре на 10-15 минут для обеспечения равномерного растворения, встряхивали на вортексе для ускорения процесса растворения. Полученные расчеты приготовления праймеров и флуоресцентно меченых зондов, с указанием модификаций, концентрации и необходимого количества воды для получения стоковых растворов 100 мкМ/л указаны в таблице 13.</w:t>
      </w:r>
    </w:p>
    <w:p w:rsidR="00687441" w:rsidRPr="00687441" w:rsidRDefault="00687441" w:rsidP="00687441">
      <w:pPr>
        <w:rPr>
          <w:sz w:val="28"/>
          <w:szCs w:val="28"/>
        </w:rPr>
      </w:pPr>
    </w:p>
    <w:p w:rsidR="00687441" w:rsidRDefault="00687441" w:rsidP="0077064C">
      <w:pPr>
        <w:jc w:val="left"/>
        <w:rPr>
          <w:sz w:val="28"/>
          <w:szCs w:val="28"/>
        </w:rPr>
      </w:pPr>
      <w:r w:rsidRPr="00687441">
        <w:rPr>
          <w:sz w:val="28"/>
          <w:szCs w:val="28"/>
        </w:rPr>
        <w:t>Таблица 13 – Праймеры и флуоресцентно меченые зонды, с указанием модификаций, концентрации и необходимого количества воды для получения стоковых растворов 100 мкМ/л</w:t>
      </w:r>
    </w:p>
    <w:tbl>
      <w:tblPr>
        <w:tblW w:w="0" w:type="auto"/>
        <w:tblLayout w:type="fixed"/>
        <w:tblLook w:val="04A0" w:firstRow="1" w:lastRow="0" w:firstColumn="1" w:lastColumn="0" w:noHBand="0" w:noVBand="1"/>
      </w:tblPr>
      <w:tblGrid>
        <w:gridCol w:w="421"/>
        <w:gridCol w:w="1247"/>
        <w:gridCol w:w="737"/>
        <w:gridCol w:w="3544"/>
        <w:gridCol w:w="822"/>
        <w:gridCol w:w="850"/>
        <w:gridCol w:w="992"/>
        <w:gridCol w:w="957"/>
      </w:tblGrid>
      <w:tr w:rsidR="00687441" w:rsidRPr="006B7F0F" w:rsidTr="0077064C">
        <w:trPr>
          <w:trHeight w:val="576"/>
        </w:trPr>
        <w:tc>
          <w:tcPr>
            <w:tcW w:w="421" w:type="dxa"/>
            <w:tcBorders>
              <w:top w:val="single" w:sz="4" w:space="0" w:color="auto"/>
              <w:left w:val="single" w:sz="4" w:space="0" w:color="auto"/>
              <w:bottom w:val="single" w:sz="4" w:space="0" w:color="auto"/>
              <w:right w:val="single" w:sz="4" w:space="0" w:color="auto"/>
            </w:tcBorders>
            <w:shd w:val="clear" w:color="auto" w:fill="auto"/>
            <w:hideMark/>
          </w:tcPr>
          <w:p w:rsidR="00687441" w:rsidRPr="006B7F0F" w:rsidRDefault="00687441" w:rsidP="0077064C">
            <w:pPr>
              <w:jc w:val="center"/>
              <w:rPr>
                <w:rFonts w:cs="Times New Roman"/>
                <w:sz w:val="20"/>
                <w:szCs w:val="24"/>
              </w:rPr>
            </w:pPr>
            <w:r w:rsidRPr="006B7F0F">
              <w:rPr>
                <w:rFonts w:cs="Times New Roman"/>
                <w:sz w:val="20"/>
                <w:szCs w:val="24"/>
              </w:rPr>
              <w:t>№</w:t>
            </w:r>
          </w:p>
        </w:tc>
        <w:tc>
          <w:tcPr>
            <w:tcW w:w="1247" w:type="dxa"/>
            <w:tcBorders>
              <w:top w:val="single" w:sz="4" w:space="0" w:color="auto"/>
              <w:left w:val="nil"/>
              <w:bottom w:val="single" w:sz="4" w:space="0" w:color="auto"/>
              <w:right w:val="single" w:sz="4" w:space="0" w:color="auto"/>
            </w:tcBorders>
            <w:shd w:val="clear" w:color="auto" w:fill="auto"/>
            <w:hideMark/>
          </w:tcPr>
          <w:p w:rsidR="00687441" w:rsidRPr="006B7F0F" w:rsidRDefault="00687441" w:rsidP="0077064C">
            <w:pPr>
              <w:jc w:val="center"/>
              <w:rPr>
                <w:rFonts w:cs="Times New Roman"/>
                <w:sz w:val="20"/>
                <w:szCs w:val="24"/>
              </w:rPr>
            </w:pPr>
            <w:r w:rsidRPr="006B7F0F">
              <w:rPr>
                <w:rFonts w:cs="Times New Roman"/>
                <w:sz w:val="20"/>
                <w:szCs w:val="24"/>
              </w:rPr>
              <w:t>Название</w:t>
            </w:r>
          </w:p>
        </w:tc>
        <w:tc>
          <w:tcPr>
            <w:tcW w:w="737" w:type="dxa"/>
            <w:tcBorders>
              <w:top w:val="single" w:sz="4" w:space="0" w:color="auto"/>
              <w:left w:val="nil"/>
              <w:bottom w:val="single" w:sz="4" w:space="0" w:color="auto"/>
              <w:right w:val="single" w:sz="4" w:space="0" w:color="auto"/>
            </w:tcBorders>
            <w:shd w:val="clear" w:color="auto" w:fill="auto"/>
            <w:hideMark/>
          </w:tcPr>
          <w:p w:rsidR="00687441" w:rsidRPr="006B7F0F" w:rsidRDefault="00687441" w:rsidP="0077064C">
            <w:pPr>
              <w:jc w:val="center"/>
              <w:rPr>
                <w:rFonts w:cs="Times New Roman"/>
                <w:sz w:val="20"/>
                <w:szCs w:val="24"/>
              </w:rPr>
            </w:pPr>
            <w:r w:rsidRPr="006B7F0F">
              <w:rPr>
                <w:rFonts w:cs="Times New Roman"/>
                <w:sz w:val="20"/>
                <w:szCs w:val="24"/>
              </w:rPr>
              <w:t>5' метка</w:t>
            </w:r>
          </w:p>
        </w:tc>
        <w:tc>
          <w:tcPr>
            <w:tcW w:w="3544" w:type="dxa"/>
            <w:tcBorders>
              <w:top w:val="single" w:sz="4" w:space="0" w:color="auto"/>
              <w:left w:val="nil"/>
              <w:bottom w:val="single" w:sz="4" w:space="0" w:color="auto"/>
              <w:right w:val="single" w:sz="4" w:space="0" w:color="auto"/>
            </w:tcBorders>
            <w:shd w:val="clear" w:color="auto" w:fill="auto"/>
            <w:hideMark/>
          </w:tcPr>
          <w:p w:rsidR="00687441" w:rsidRPr="006B7F0F" w:rsidRDefault="00687441" w:rsidP="0077064C">
            <w:pPr>
              <w:jc w:val="center"/>
              <w:rPr>
                <w:rFonts w:cs="Times New Roman"/>
                <w:sz w:val="20"/>
                <w:szCs w:val="24"/>
              </w:rPr>
            </w:pPr>
            <w:r w:rsidRPr="006B7F0F">
              <w:rPr>
                <w:rFonts w:cs="Times New Roman"/>
                <w:sz w:val="20"/>
                <w:szCs w:val="24"/>
              </w:rPr>
              <w:t>Последовательность (5' -&gt; 3')</w:t>
            </w:r>
          </w:p>
        </w:tc>
        <w:tc>
          <w:tcPr>
            <w:tcW w:w="822" w:type="dxa"/>
            <w:tcBorders>
              <w:top w:val="single" w:sz="4" w:space="0" w:color="auto"/>
              <w:left w:val="nil"/>
              <w:bottom w:val="single" w:sz="4" w:space="0" w:color="auto"/>
              <w:right w:val="single" w:sz="4" w:space="0" w:color="auto"/>
            </w:tcBorders>
            <w:shd w:val="clear" w:color="auto" w:fill="auto"/>
            <w:hideMark/>
          </w:tcPr>
          <w:p w:rsidR="00687441" w:rsidRPr="006B7F0F" w:rsidRDefault="00687441" w:rsidP="0077064C">
            <w:pPr>
              <w:jc w:val="center"/>
              <w:rPr>
                <w:rFonts w:cs="Times New Roman"/>
                <w:sz w:val="20"/>
                <w:szCs w:val="24"/>
              </w:rPr>
            </w:pPr>
            <w:r w:rsidRPr="006B7F0F">
              <w:rPr>
                <w:rFonts w:cs="Times New Roman"/>
                <w:sz w:val="20"/>
                <w:szCs w:val="24"/>
              </w:rPr>
              <w:t>3' метка</w:t>
            </w:r>
          </w:p>
        </w:tc>
        <w:tc>
          <w:tcPr>
            <w:tcW w:w="850" w:type="dxa"/>
            <w:tcBorders>
              <w:top w:val="single" w:sz="4" w:space="0" w:color="auto"/>
              <w:left w:val="nil"/>
              <w:bottom w:val="single" w:sz="4" w:space="0" w:color="auto"/>
              <w:right w:val="single" w:sz="4" w:space="0" w:color="auto"/>
            </w:tcBorders>
            <w:shd w:val="clear" w:color="auto" w:fill="auto"/>
            <w:hideMark/>
          </w:tcPr>
          <w:p w:rsidR="00687441" w:rsidRPr="006B7F0F" w:rsidRDefault="00687441" w:rsidP="0077064C">
            <w:pPr>
              <w:jc w:val="center"/>
              <w:rPr>
                <w:rFonts w:cs="Times New Roman"/>
                <w:sz w:val="20"/>
                <w:szCs w:val="24"/>
              </w:rPr>
            </w:pPr>
            <w:r w:rsidRPr="006B7F0F">
              <w:rPr>
                <w:rFonts w:cs="Times New Roman"/>
                <w:sz w:val="20"/>
                <w:szCs w:val="24"/>
              </w:rPr>
              <w:t>Концентрация, nmol</w:t>
            </w:r>
          </w:p>
        </w:tc>
        <w:tc>
          <w:tcPr>
            <w:tcW w:w="992" w:type="dxa"/>
            <w:tcBorders>
              <w:top w:val="single" w:sz="4" w:space="0" w:color="auto"/>
              <w:left w:val="nil"/>
              <w:bottom w:val="single" w:sz="4" w:space="0" w:color="auto"/>
              <w:right w:val="single" w:sz="4" w:space="0" w:color="auto"/>
            </w:tcBorders>
            <w:shd w:val="clear" w:color="auto" w:fill="auto"/>
            <w:hideMark/>
          </w:tcPr>
          <w:p w:rsidR="00687441" w:rsidRPr="006B7F0F" w:rsidRDefault="00687441" w:rsidP="0077064C">
            <w:pPr>
              <w:jc w:val="center"/>
              <w:rPr>
                <w:rFonts w:cs="Times New Roman"/>
                <w:sz w:val="20"/>
                <w:szCs w:val="24"/>
              </w:rPr>
            </w:pPr>
            <w:r w:rsidRPr="006B7F0F">
              <w:rPr>
                <w:rFonts w:cs="Times New Roman"/>
                <w:sz w:val="20"/>
                <w:szCs w:val="24"/>
              </w:rPr>
              <w:t xml:space="preserve">Ко-во воды, </w:t>
            </w:r>
            <w:r w:rsidR="002A0320" w:rsidRPr="006B7F0F">
              <w:rPr>
                <w:rFonts w:cs="Times New Roman"/>
                <w:sz w:val="20"/>
                <w:szCs w:val="24"/>
              </w:rPr>
              <w:t>мкл</w:t>
            </w:r>
          </w:p>
        </w:tc>
        <w:tc>
          <w:tcPr>
            <w:tcW w:w="957" w:type="dxa"/>
            <w:tcBorders>
              <w:top w:val="single" w:sz="4" w:space="0" w:color="auto"/>
              <w:left w:val="nil"/>
              <w:bottom w:val="single" w:sz="4" w:space="0" w:color="auto"/>
              <w:right w:val="single" w:sz="4" w:space="0" w:color="auto"/>
            </w:tcBorders>
            <w:shd w:val="clear" w:color="auto" w:fill="auto"/>
            <w:hideMark/>
          </w:tcPr>
          <w:p w:rsidR="00687441" w:rsidRPr="006B7F0F" w:rsidRDefault="00687441" w:rsidP="0077064C">
            <w:pPr>
              <w:jc w:val="center"/>
              <w:rPr>
                <w:rFonts w:cs="Times New Roman"/>
                <w:sz w:val="20"/>
                <w:szCs w:val="24"/>
              </w:rPr>
            </w:pPr>
            <w:r w:rsidRPr="006B7F0F">
              <w:rPr>
                <w:rFonts w:cs="Times New Roman"/>
                <w:sz w:val="20"/>
                <w:szCs w:val="24"/>
              </w:rPr>
              <w:t>Рабочий раствор, мкМ/л</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1</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S.Nuc 3 F</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AATATGGACGTGGCTTAGCGT</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18,16</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181,60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2</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S.Nuc 3 R</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AGCCAAGCCTTGACGAACTAA</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23,64</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236,40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3</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S.Nuc 3 IO</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FAM</w:t>
            </w: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TGCTGATGGAAAAATGGTAAACGAAGC</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BHQ1</w:t>
            </w: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18,70</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187,00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4</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S.BlaZ 1 F</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AAGACGGTGTTCCAAAAGACT</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20,90</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209,00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5</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S.BlaZ 1 R</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ACACTCTTGGCGGTTTCACT</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21,80</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218,00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6</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S.BlaZ 1 IO</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1F2EB0" w:rsidP="0077064C">
            <w:pPr>
              <w:jc w:val="center"/>
              <w:rPr>
                <w:rFonts w:cs="Times New Roman"/>
                <w:sz w:val="20"/>
                <w:szCs w:val="24"/>
              </w:rPr>
            </w:pPr>
            <w:r w:rsidRPr="006B7F0F">
              <w:rPr>
                <w:rFonts w:cs="Times New Roman"/>
                <w:sz w:val="20"/>
                <w:szCs w:val="24"/>
              </w:rPr>
              <w:t>HEX</w:t>
            </w: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AGGTTGCTGATAAAAGTGGTCAAGCA</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BHQ1</w:t>
            </w: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21,45</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214,50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7</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S.ermC 2 F</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ATCGTGGAATACGGGTTTGCT</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22,62</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226,20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8</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S.ermC 2 R</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GTGAGCTATTCACTTTAGGTTTAGG</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21,51</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215,10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9</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S.ermC 2 IO</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ROX</w:t>
            </w: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CGCTCATTGGCATTACTTTTAATGGCA</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BHQ2</w:t>
            </w: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19,80</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198,00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10</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S.TetK 1 F</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TCGATAGGAACAGCAGTATATGGA</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21,98</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219,80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11</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S.TetK 1 R</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GCAGATCCTACTCCTTGTACTAACC</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26,40</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264,00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r w:rsidR="00687441" w:rsidRPr="006B7F0F" w:rsidTr="0077064C">
        <w:trPr>
          <w:trHeight w:val="288"/>
        </w:trPr>
        <w:tc>
          <w:tcPr>
            <w:tcW w:w="421" w:type="dxa"/>
            <w:tcBorders>
              <w:top w:val="nil"/>
              <w:left w:val="single" w:sz="4" w:space="0" w:color="auto"/>
              <w:bottom w:val="single" w:sz="4" w:space="0" w:color="auto"/>
              <w:right w:val="single" w:sz="4" w:space="0" w:color="auto"/>
            </w:tcBorders>
            <w:shd w:val="clear" w:color="auto" w:fill="auto"/>
            <w:noWrap/>
            <w:hideMark/>
          </w:tcPr>
          <w:p w:rsidR="00687441" w:rsidRPr="006B7F0F" w:rsidRDefault="00687441" w:rsidP="0077064C">
            <w:pPr>
              <w:jc w:val="right"/>
              <w:rPr>
                <w:rFonts w:cs="Times New Roman"/>
                <w:sz w:val="20"/>
                <w:szCs w:val="24"/>
              </w:rPr>
            </w:pPr>
            <w:r w:rsidRPr="006B7F0F">
              <w:rPr>
                <w:rFonts w:cs="Times New Roman"/>
                <w:sz w:val="20"/>
                <w:szCs w:val="24"/>
              </w:rPr>
              <w:t>12</w:t>
            </w:r>
          </w:p>
        </w:tc>
        <w:tc>
          <w:tcPr>
            <w:tcW w:w="1247" w:type="dxa"/>
            <w:tcBorders>
              <w:top w:val="nil"/>
              <w:left w:val="nil"/>
              <w:bottom w:val="single" w:sz="4" w:space="0" w:color="auto"/>
              <w:right w:val="single" w:sz="4" w:space="0" w:color="auto"/>
            </w:tcBorders>
            <w:shd w:val="clear" w:color="auto" w:fill="auto"/>
            <w:noWrap/>
            <w:hideMark/>
          </w:tcPr>
          <w:p w:rsidR="00687441" w:rsidRPr="006B7F0F" w:rsidRDefault="00687441" w:rsidP="00687441">
            <w:pPr>
              <w:rPr>
                <w:rFonts w:cs="Times New Roman"/>
                <w:sz w:val="20"/>
                <w:szCs w:val="24"/>
              </w:rPr>
            </w:pPr>
            <w:r w:rsidRPr="006B7F0F">
              <w:rPr>
                <w:rFonts w:cs="Times New Roman"/>
                <w:sz w:val="20"/>
                <w:szCs w:val="24"/>
              </w:rPr>
              <w:t>S.TetK 1 IO</w:t>
            </w:r>
          </w:p>
        </w:tc>
        <w:tc>
          <w:tcPr>
            <w:tcW w:w="737" w:type="dxa"/>
            <w:tcBorders>
              <w:top w:val="nil"/>
              <w:left w:val="nil"/>
              <w:bottom w:val="single" w:sz="4" w:space="0" w:color="auto"/>
              <w:right w:val="single" w:sz="4" w:space="0" w:color="auto"/>
            </w:tcBorders>
            <w:shd w:val="clear" w:color="auto" w:fill="auto"/>
            <w:noWrap/>
            <w:hideMark/>
          </w:tcPr>
          <w:p w:rsidR="00687441" w:rsidRPr="006B7F0F" w:rsidRDefault="001F2EB0" w:rsidP="0077064C">
            <w:pPr>
              <w:jc w:val="center"/>
              <w:rPr>
                <w:rFonts w:cs="Times New Roman"/>
                <w:sz w:val="20"/>
                <w:szCs w:val="24"/>
              </w:rPr>
            </w:pPr>
            <w:r w:rsidRPr="006B7F0F">
              <w:rPr>
                <w:rFonts w:cs="Times New Roman"/>
                <w:sz w:val="20"/>
                <w:szCs w:val="24"/>
              </w:rPr>
              <w:t>CY5</w:t>
            </w:r>
          </w:p>
        </w:tc>
        <w:tc>
          <w:tcPr>
            <w:tcW w:w="3544" w:type="dxa"/>
            <w:tcBorders>
              <w:top w:val="nil"/>
              <w:left w:val="nil"/>
              <w:bottom w:val="single" w:sz="4" w:space="0" w:color="auto"/>
              <w:right w:val="single" w:sz="4" w:space="0" w:color="auto"/>
            </w:tcBorders>
            <w:shd w:val="clear" w:color="auto" w:fill="auto"/>
            <w:noWrap/>
            <w:hideMark/>
          </w:tcPr>
          <w:p w:rsidR="00687441" w:rsidRPr="0077064C" w:rsidRDefault="00687441" w:rsidP="0077064C">
            <w:pPr>
              <w:jc w:val="center"/>
              <w:rPr>
                <w:rFonts w:ascii="Courier New" w:hAnsi="Courier New" w:cs="Courier New"/>
                <w:sz w:val="20"/>
                <w:szCs w:val="24"/>
              </w:rPr>
            </w:pPr>
            <w:r w:rsidRPr="0077064C">
              <w:rPr>
                <w:rFonts w:ascii="Courier New" w:hAnsi="Courier New" w:cs="Courier New"/>
                <w:sz w:val="20"/>
                <w:szCs w:val="24"/>
              </w:rPr>
              <w:t>TGAGCTGTCTTGGTTCATTGATTGCT</w:t>
            </w:r>
          </w:p>
        </w:tc>
        <w:tc>
          <w:tcPr>
            <w:tcW w:w="82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BHQ2</w:t>
            </w:r>
          </w:p>
        </w:tc>
        <w:tc>
          <w:tcPr>
            <w:tcW w:w="850"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31,17</w:t>
            </w:r>
          </w:p>
        </w:tc>
        <w:tc>
          <w:tcPr>
            <w:tcW w:w="992"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311,70</w:t>
            </w:r>
          </w:p>
        </w:tc>
        <w:tc>
          <w:tcPr>
            <w:tcW w:w="957" w:type="dxa"/>
            <w:tcBorders>
              <w:top w:val="nil"/>
              <w:left w:val="nil"/>
              <w:bottom w:val="single" w:sz="4" w:space="0" w:color="auto"/>
              <w:right w:val="single" w:sz="4" w:space="0" w:color="auto"/>
            </w:tcBorders>
            <w:shd w:val="clear" w:color="auto" w:fill="auto"/>
            <w:noWrap/>
            <w:hideMark/>
          </w:tcPr>
          <w:p w:rsidR="00687441" w:rsidRPr="006B7F0F" w:rsidRDefault="00687441" w:rsidP="0077064C">
            <w:pPr>
              <w:jc w:val="center"/>
              <w:rPr>
                <w:rFonts w:cs="Times New Roman"/>
                <w:sz w:val="20"/>
                <w:szCs w:val="24"/>
              </w:rPr>
            </w:pPr>
            <w:r w:rsidRPr="006B7F0F">
              <w:rPr>
                <w:rFonts w:cs="Times New Roman"/>
                <w:sz w:val="20"/>
                <w:szCs w:val="24"/>
              </w:rPr>
              <w:t>100</w:t>
            </w:r>
          </w:p>
        </w:tc>
      </w:tr>
    </w:tbl>
    <w:p w:rsidR="00687441" w:rsidRPr="009D21FD" w:rsidRDefault="00687441" w:rsidP="009D21FD">
      <w:pPr>
        <w:rPr>
          <w:sz w:val="28"/>
          <w:szCs w:val="28"/>
        </w:rPr>
      </w:pPr>
    </w:p>
    <w:p w:rsidR="009D21FD" w:rsidRPr="009D21FD" w:rsidRDefault="009D21FD" w:rsidP="00053C28">
      <w:pPr>
        <w:ind w:firstLine="709"/>
        <w:rPr>
          <w:sz w:val="28"/>
          <w:szCs w:val="28"/>
        </w:rPr>
      </w:pPr>
      <w:r w:rsidRPr="009D21FD">
        <w:rPr>
          <w:sz w:val="28"/>
          <w:szCs w:val="28"/>
        </w:rPr>
        <w:t>Стоковые растворы праймеров и флуоресцентно-меченых зондов концентрацией 100 мкМ/л, использовали для приготовления смеси праймеров и зондов для внесения в реакционную смесь, получая требуемый конечный объем и концентрацию. Схема приготовления праймермикса для проводимой реакции указана в таблице 14.</w:t>
      </w:r>
    </w:p>
    <w:p w:rsidR="009D21FD" w:rsidRPr="009D21FD" w:rsidRDefault="009D21FD" w:rsidP="009D21FD">
      <w:pPr>
        <w:rPr>
          <w:sz w:val="28"/>
          <w:szCs w:val="28"/>
        </w:rPr>
      </w:pPr>
    </w:p>
    <w:p w:rsidR="009D21FD" w:rsidRDefault="009D21FD" w:rsidP="0077064C">
      <w:pPr>
        <w:jc w:val="left"/>
        <w:rPr>
          <w:sz w:val="28"/>
          <w:szCs w:val="28"/>
        </w:rPr>
      </w:pPr>
      <w:r w:rsidRPr="009D21FD">
        <w:rPr>
          <w:sz w:val="28"/>
          <w:szCs w:val="28"/>
        </w:rPr>
        <w:t>Таблица 14 – Схема приготовления праймермикса</w:t>
      </w:r>
    </w:p>
    <w:tbl>
      <w:tblPr>
        <w:tblW w:w="0" w:type="auto"/>
        <w:tblLayout w:type="fixed"/>
        <w:tblLook w:val="04A0" w:firstRow="1" w:lastRow="0" w:firstColumn="1" w:lastColumn="0" w:noHBand="0" w:noVBand="1"/>
      </w:tblPr>
      <w:tblGrid>
        <w:gridCol w:w="557"/>
        <w:gridCol w:w="6804"/>
        <w:gridCol w:w="709"/>
        <w:gridCol w:w="770"/>
        <w:gridCol w:w="783"/>
      </w:tblGrid>
      <w:tr w:rsidR="009D21FD" w:rsidRPr="00345D2F" w:rsidTr="006F2F87">
        <w:trPr>
          <w:trHeight w:val="288"/>
        </w:trPr>
        <w:tc>
          <w:tcPr>
            <w:tcW w:w="557" w:type="dxa"/>
            <w:tcBorders>
              <w:top w:val="single" w:sz="8" w:space="0" w:color="auto"/>
              <w:left w:val="single" w:sz="8" w:space="0" w:color="auto"/>
              <w:bottom w:val="single" w:sz="4" w:space="0" w:color="auto"/>
              <w:right w:val="nil"/>
            </w:tcBorders>
            <w:shd w:val="clear" w:color="auto" w:fill="auto"/>
          </w:tcPr>
          <w:p w:rsidR="009D21FD" w:rsidRPr="00345D2F" w:rsidRDefault="009D21FD" w:rsidP="009D21FD">
            <w:pPr>
              <w:rPr>
                <w:rFonts w:cs="Times New Roman"/>
                <w:szCs w:val="24"/>
              </w:rPr>
            </w:pPr>
            <w:r w:rsidRPr="00345D2F">
              <w:rPr>
                <w:rFonts w:cs="Times New Roman"/>
                <w:szCs w:val="24"/>
              </w:rPr>
              <w:t>№</w:t>
            </w:r>
          </w:p>
        </w:tc>
        <w:tc>
          <w:tcPr>
            <w:tcW w:w="6804" w:type="dxa"/>
            <w:tcBorders>
              <w:top w:val="single" w:sz="8" w:space="0" w:color="auto"/>
              <w:left w:val="single" w:sz="8" w:space="0" w:color="auto"/>
              <w:bottom w:val="single" w:sz="4" w:space="0" w:color="auto"/>
              <w:right w:val="nil"/>
            </w:tcBorders>
            <w:shd w:val="clear" w:color="auto" w:fill="auto"/>
            <w:hideMark/>
          </w:tcPr>
          <w:p w:rsidR="009D21FD" w:rsidRPr="00345D2F" w:rsidRDefault="009D21FD" w:rsidP="009D21FD">
            <w:pPr>
              <w:rPr>
                <w:rFonts w:cs="Times New Roman"/>
                <w:szCs w:val="24"/>
              </w:rPr>
            </w:pPr>
            <w:r w:rsidRPr="00345D2F">
              <w:rPr>
                <w:rFonts w:cs="Times New Roman"/>
                <w:szCs w:val="24"/>
              </w:rPr>
              <w:t>Название праймера/зонда</w:t>
            </w:r>
          </w:p>
        </w:tc>
        <w:tc>
          <w:tcPr>
            <w:tcW w:w="709" w:type="dxa"/>
            <w:tcBorders>
              <w:top w:val="single" w:sz="8" w:space="0" w:color="auto"/>
              <w:left w:val="single" w:sz="8" w:space="0" w:color="auto"/>
              <w:bottom w:val="single" w:sz="4" w:space="0" w:color="auto"/>
              <w:right w:val="single" w:sz="4" w:space="0" w:color="auto"/>
            </w:tcBorders>
            <w:shd w:val="clear" w:color="auto" w:fill="auto"/>
            <w:hideMark/>
          </w:tcPr>
          <w:p w:rsidR="009D21FD" w:rsidRPr="00345D2F" w:rsidRDefault="009D21FD" w:rsidP="009D21FD">
            <w:pPr>
              <w:rPr>
                <w:rFonts w:cs="Times New Roman"/>
                <w:szCs w:val="24"/>
              </w:rPr>
            </w:pPr>
            <w:r w:rsidRPr="00345D2F">
              <w:rPr>
                <w:rFonts w:cs="Times New Roman"/>
                <w:szCs w:val="24"/>
              </w:rPr>
              <w:t>F</w:t>
            </w:r>
          </w:p>
        </w:tc>
        <w:tc>
          <w:tcPr>
            <w:tcW w:w="770" w:type="dxa"/>
            <w:tcBorders>
              <w:top w:val="single" w:sz="8" w:space="0" w:color="auto"/>
              <w:left w:val="nil"/>
              <w:bottom w:val="single" w:sz="4" w:space="0" w:color="auto"/>
              <w:right w:val="single" w:sz="4" w:space="0" w:color="auto"/>
            </w:tcBorders>
            <w:shd w:val="clear" w:color="auto" w:fill="auto"/>
            <w:hideMark/>
          </w:tcPr>
          <w:p w:rsidR="009D21FD" w:rsidRPr="00345D2F" w:rsidRDefault="009D21FD" w:rsidP="009D21FD">
            <w:pPr>
              <w:rPr>
                <w:rFonts w:cs="Times New Roman"/>
                <w:szCs w:val="24"/>
              </w:rPr>
            </w:pPr>
            <w:r w:rsidRPr="00345D2F">
              <w:rPr>
                <w:rFonts w:cs="Times New Roman"/>
                <w:szCs w:val="24"/>
              </w:rPr>
              <w:t>R</w:t>
            </w:r>
          </w:p>
        </w:tc>
        <w:tc>
          <w:tcPr>
            <w:tcW w:w="783" w:type="dxa"/>
            <w:tcBorders>
              <w:top w:val="single" w:sz="8" w:space="0" w:color="auto"/>
              <w:left w:val="nil"/>
              <w:bottom w:val="single" w:sz="4" w:space="0" w:color="auto"/>
              <w:right w:val="single" w:sz="4" w:space="0" w:color="auto"/>
            </w:tcBorders>
            <w:shd w:val="clear" w:color="auto" w:fill="auto"/>
            <w:hideMark/>
          </w:tcPr>
          <w:p w:rsidR="009D21FD" w:rsidRPr="00345D2F" w:rsidRDefault="009D21FD" w:rsidP="009D21FD">
            <w:pPr>
              <w:rPr>
                <w:rFonts w:cs="Times New Roman"/>
                <w:szCs w:val="24"/>
              </w:rPr>
            </w:pPr>
            <w:r w:rsidRPr="00345D2F">
              <w:rPr>
                <w:rFonts w:cs="Times New Roman"/>
                <w:szCs w:val="24"/>
              </w:rPr>
              <w:t>Зонд</w:t>
            </w: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1</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Концентрация исходного стока праймера/зонда, мкМ/л</w:t>
            </w:r>
          </w:p>
        </w:tc>
        <w:tc>
          <w:tcPr>
            <w:tcW w:w="709" w:type="dxa"/>
            <w:tcBorders>
              <w:top w:val="nil"/>
              <w:left w:val="single" w:sz="8" w:space="0" w:color="auto"/>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100</w:t>
            </w:r>
          </w:p>
        </w:tc>
        <w:tc>
          <w:tcPr>
            <w:tcW w:w="770"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100</w:t>
            </w:r>
          </w:p>
        </w:tc>
        <w:tc>
          <w:tcPr>
            <w:tcW w:w="783"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100</w:t>
            </w: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2</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Требуемая концентрация в реакционной смеси, нМ/л</w:t>
            </w:r>
          </w:p>
        </w:tc>
        <w:tc>
          <w:tcPr>
            <w:tcW w:w="709" w:type="dxa"/>
            <w:tcBorders>
              <w:top w:val="nil"/>
              <w:left w:val="single" w:sz="8" w:space="0" w:color="auto"/>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400</w:t>
            </w:r>
          </w:p>
        </w:tc>
        <w:tc>
          <w:tcPr>
            <w:tcW w:w="770"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400</w:t>
            </w:r>
          </w:p>
        </w:tc>
        <w:tc>
          <w:tcPr>
            <w:tcW w:w="783"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200</w:t>
            </w: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3</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Объём реакционной смеси, мкл</w:t>
            </w:r>
          </w:p>
        </w:tc>
        <w:tc>
          <w:tcPr>
            <w:tcW w:w="2262" w:type="dxa"/>
            <w:gridSpan w:val="3"/>
            <w:tcBorders>
              <w:top w:val="single" w:sz="4" w:space="0" w:color="auto"/>
              <w:left w:val="single" w:sz="8" w:space="0" w:color="auto"/>
              <w:bottom w:val="single" w:sz="4" w:space="0" w:color="auto"/>
              <w:right w:val="single" w:sz="8" w:space="0" w:color="000000"/>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20</w:t>
            </w: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4</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Количество в реакционной смеси, пМ (расчёт)</w:t>
            </w:r>
          </w:p>
        </w:tc>
        <w:tc>
          <w:tcPr>
            <w:tcW w:w="709" w:type="dxa"/>
            <w:tcBorders>
              <w:top w:val="nil"/>
              <w:left w:val="single" w:sz="8" w:space="0" w:color="auto"/>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8</w:t>
            </w:r>
          </w:p>
        </w:tc>
        <w:tc>
          <w:tcPr>
            <w:tcW w:w="770"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8</w:t>
            </w:r>
          </w:p>
        </w:tc>
        <w:tc>
          <w:tcPr>
            <w:tcW w:w="783"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4</w:t>
            </w: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5</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Объём праймер-микс для внесения в реакционную смесь</w:t>
            </w:r>
          </w:p>
        </w:tc>
        <w:tc>
          <w:tcPr>
            <w:tcW w:w="2262" w:type="dxa"/>
            <w:gridSpan w:val="3"/>
            <w:tcBorders>
              <w:top w:val="single" w:sz="4" w:space="0" w:color="auto"/>
              <w:left w:val="single" w:sz="8" w:space="0" w:color="auto"/>
              <w:bottom w:val="single" w:sz="4" w:space="0" w:color="auto"/>
              <w:right w:val="single" w:sz="8" w:space="0" w:color="000000"/>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4</w:t>
            </w: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6</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Схема приготовления на 1 реакцию:</w:t>
            </w:r>
          </w:p>
        </w:tc>
        <w:tc>
          <w:tcPr>
            <w:tcW w:w="2262" w:type="dxa"/>
            <w:gridSpan w:val="3"/>
            <w:tcBorders>
              <w:top w:val="single" w:sz="4" w:space="0" w:color="auto"/>
              <w:left w:val="single" w:sz="8" w:space="0" w:color="auto"/>
              <w:bottom w:val="single" w:sz="4" w:space="0" w:color="auto"/>
              <w:right w:val="single" w:sz="8" w:space="0" w:color="000000"/>
            </w:tcBorders>
            <w:shd w:val="clear" w:color="auto" w:fill="auto"/>
            <w:noWrap/>
            <w:hideMark/>
          </w:tcPr>
          <w:p w:rsidR="009D21FD" w:rsidRPr="00345D2F" w:rsidRDefault="009D21FD" w:rsidP="00053C28">
            <w:pPr>
              <w:jc w:val="center"/>
              <w:rPr>
                <w:rFonts w:cs="Times New Roman"/>
                <w:szCs w:val="24"/>
              </w:rPr>
            </w:pP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7</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 xml:space="preserve"> 1 Стока, мкл (расчёт)</w:t>
            </w:r>
          </w:p>
        </w:tc>
        <w:tc>
          <w:tcPr>
            <w:tcW w:w="709" w:type="dxa"/>
            <w:tcBorders>
              <w:top w:val="nil"/>
              <w:left w:val="single" w:sz="8" w:space="0" w:color="auto"/>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0,08</w:t>
            </w:r>
          </w:p>
        </w:tc>
        <w:tc>
          <w:tcPr>
            <w:tcW w:w="770"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0,08</w:t>
            </w:r>
          </w:p>
        </w:tc>
        <w:tc>
          <w:tcPr>
            <w:tcW w:w="783"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0,04</w:t>
            </w: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8</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 xml:space="preserve"> 1 Н2О, мкл (расчёт)</w:t>
            </w:r>
          </w:p>
        </w:tc>
        <w:tc>
          <w:tcPr>
            <w:tcW w:w="2262" w:type="dxa"/>
            <w:gridSpan w:val="3"/>
            <w:tcBorders>
              <w:top w:val="single" w:sz="4" w:space="0" w:color="auto"/>
              <w:left w:val="single" w:sz="8" w:space="0" w:color="auto"/>
              <w:bottom w:val="single" w:sz="4" w:space="0" w:color="auto"/>
              <w:right w:val="single" w:sz="8" w:space="0" w:color="000000"/>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3,8</w:t>
            </w: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9</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Требуемое количество реакций</w:t>
            </w:r>
          </w:p>
        </w:tc>
        <w:tc>
          <w:tcPr>
            <w:tcW w:w="2262" w:type="dxa"/>
            <w:gridSpan w:val="3"/>
            <w:tcBorders>
              <w:top w:val="single" w:sz="4" w:space="0" w:color="auto"/>
              <w:left w:val="single" w:sz="8" w:space="0" w:color="auto"/>
              <w:bottom w:val="single" w:sz="4" w:space="0" w:color="auto"/>
              <w:right w:val="single" w:sz="8" w:space="0" w:color="000000"/>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50</w:t>
            </w: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77064C">
            <w:pPr>
              <w:jc w:val="right"/>
              <w:rPr>
                <w:rFonts w:cs="Times New Roman"/>
                <w:szCs w:val="24"/>
              </w:rPr>
            </w:pPr>
            <w:r w:rsidRPr="00345D2F">
              <w:rPr>
                <w:rFonts w:cs="Times New Roman"/>
                <w:szCs w:val="24"/>
              </w:rPr>
              <w:t>10</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Схема приготовления на требуемое количество реакций:</w:t>
            </w:r>
          </w:p>
        </w:tc>
        <w:tc>
          <w:tcPr>
            <w:tcW w:w="2262" w:type="dxa"/>
            <w:gridSpan w:val="3"/>
            <w:tcBorders>
              <w:top w:val="single" w:sz="4" w:space="0" w:color="auto"/>
              <w:left w:val="single" w:sz="8" w:space="0" w:color="auto"/>
              <w:bottom w:val="single" w:sz="4" w:space="0" w:color="auto"/>
              <w:right w:val="single" w:sz="8" w:space="0" w:color="000000"/>
            </w:tcBorders>
            <w:shd w:val="clear" w:color="auto" w:fill="auto"/>
            <w:noWrap/>
            <w:hideMark/>
          </w:tcPr>
          <w:p w:rsidR="009D21FD" w:rsidRPr="00345D2F" w:rsidRDefault="009D21FD" w:rsidP="00053C28">
            <w:pPr>
              <w:jc w:val="center"/>
              <w:rPr>
                <w:rFonts w:cs="Times New Roman"/>
                <w:szCs w:val="24"/>
              </w:rPr>
            </w:pPr>
          </w:p>
        </w:tc>
      </w:tr>
      <w:tr w:rsidR="009D21FD" w:rsidRPr="00345D2F" w:rsidTr="006F2F87">
        <w:trPr>
          <w:trHeight w:val="288"/>
        </w:trPr>
        <w:tc>
          <w:tcPr>
            <w:tcW w:w="557" w:type="dxa"/>
            <w:tcBorders>
              <w:top w:val="nil"/>
              <w:left w:val="single" w:sz="8" w:space="0" w:color="auto"/>
              <w:bottom w:val="single" w:sz="4" w:space="0" w:color="auto"/>
              <w:right w:val="nil"/>
            </w:tcBorders>
            <w:shd w:val="clear" w:color="auto" w:fill="auto"/>
          </w:tcPr>
          <w:p w:rsidR="009D21FD" w:rsidRPr="00345D2F" w:rsidRDefault="009D21FD" w:rsidP="009D21FD">
            <w:pPr>
              <w:rPr>
                <w:rFonts w:cs="Times New Roman"/>
                <w:szCs w:val="24"/>
              </w:rPr>
            </w:pPr>
            <w:r w:rsidRPr="00345D2F">
              <w:rPr>
                <w:rFonts w:cs="Times New Roman"/>
                <w:szCs w:val="24"/>
              </w:rPr>
              <w:t>11</w:t>
            </w:r>
          </w:p>
        </w:tc>
        <w:tc>
          <w:tcPr>
            <w:tcW w:w="6804" w:type="dxa"/>
            <w:tcBorders>
              <w:top w:val="nil"/>
              <w:left w:val="single" w:sz="8" w:space="0" w:color="auto"/>
              <w:bottom w:val="single" w:sz="4"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 xml:space="preserve"> 2 сток, мкл (расчёт)</w:t>
            </w:r>
          </w:p>
        </w:tc>
        <w:tc>
          <w:tcPr>
            <w:tcW w:w="709" w:type="dxa"/>
            <w:tcBorders>
              <w:top w:val="nil"/>
              <w:left w:val="single" w:sz="8" w:space="0" w:color="auto"/>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4</w:t>
            </w:r>
          </w:p>
        </w:tc>
        <w:tc>
          <w:tcPr>
            <w:tcW w:w="770"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4</w:t>
            </w:r>
          </w:p>
        </w:tc>
        <w:tc>
          <w:tcPr>
            <w:tcW w:w="783" w:type="dxa"/>
            <w:tcBorders>
              <w:top w:val="nil"/>
              <w:left w:val="nil"/>
              <w:bottom w:val="single" w:sz="4" w:space="0" w:color="auto"/>
              <w:right w:val="single" w:sz="4" w:space="0" w:color="auto"/>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2</w:t>
            </w:r>
          </w:p>
        </w:tc>
      </w:tr>
      <w:tr w:rsidR="009D21FD" w:rsidRPr="00345D2F" w:rsidTr="006F2F87">
        <w:trPr>
          <w:trHeight w:val="300"/>
        </w:trPr>
        <w:tc>
          <w:tcPr>
            <w:tcW w:w="557" w:type="dxa"/>
            <w:tcBorders>
              <w:top w:val="nil"/>
              <w:left w:val="single" w:sz="8" w:space="0" w:color="auto"/>
              <w:bottom w:val="single" w:sz="8" w:space="0" w:color="auto"/>
              <w:right w:val="nil"/>
            </w:tcBorders>
            <w:shd w:val="clear" w:color="auto" w:fill="auto"/>
          </w:tcPr>
          <w:p w:rsidR="009D21FD" w:rsidRPr="00345D2F" w:rsidRDefault="009D21FD" w:rsidP="009D21FD">
            <w:pPr>
              <w:rPr>
                <w:rFonts w:cs="Times New Roman"/>
                <w:szCs w:val="24"/>
              </w:rPr>
            </w:pPr>
            <w:r w:rsidRPr="00345D2F">
              <w:rPr>
                <w:rFonts w:cs="Times New Roman"/>
                <w:szCs w:val="24"/>
              </w:rPr>
              <w:t>12</w:t>
            </w:r>
          </w:p>
        </w:tc>
        <w:tc>
          <w:tcPr>
            <w:tcW w:w="6804" w:type="dxa"/>
            <w:tcBorders>
              <w:top w:val="nil"/>
              <w:left w:val="single" w:sz="8" w:space="0" w:color="auto"/>
              <w:bottom w:val="single" w:sz="8" w:space="0" w:color="auto"/>
              <w:right w:val="nil"/>
            </w:tcBorders>
            <w:shd w:val="clear" w:color="auto" w:fill="auto"/>
            <w:noWrap/>
            <w:hideMark/>
          </w:tcPr>
          <w:p w:rsidR="009D21FD" w:rsidRPr="00345D2F" w:rsidRDefault="009D21FD" w:rsidP="009D21FD">
            <w:pPr>
              <w:rPr>
                <w:rFonts w:cs="Times New Roman"/>
                <w:szCs w:val="24"/>
              </w:rPr>
            </w:pPr>
            <w:r w:rsidRPr="00345D2F">
              <w:rPr>
                <w:rFonts w:cs="Times New Roman"/>
                <w:szCs w:val="24"/>
              </w:rPr>
              <w:t xml:space="preserve"> 2 Н2О, мкл (расчёт)</w:t>
            </w:r>
          </w:p>
        </w:tc>
        <w:tc>
          <w:tcPr>
            <w:tcW w:w="2262" w:type="dxa"/>
            <w:gridSpan w:val="3"/>
            <w:tcBorders>
              <w:top w:val="single" w:sz="4" w:space="0" w:color="auto"/>
              <w:left w:val="single" w:sz="8" w:space="0" w:color="auto"/>
              <w:bottom w:val="single" w:sz="8" w:space="0" w:color="auto"/>
              <w:right w:val="single" w:sz="8" w:space="0" w:color="000000"/>
            </w:tcBorders>
            <w:shd w:val="clear" w:color="auto" w:fill="auto"/>
            <w:noWrap/>
            <w:hideMark/>
          </w:tcPr>
          <w:p w:rsidR="009D21FD" w:rsidRPr="00345D2F" w:rsidRDefault="009D21FD" w:rsidP="00053C28">
            <w:pPr>
              <w:jc w:val="center"/>
              <w:rPr>
                <w:rFonts w:cs="Times New Roman"/>
                <w:szCs w:val="24"/>
              </w:rPr>
            </w:pPr>
            <w:r w:rsidRPr="00345D2F">
              <w:rPr>
                <w:rFonts w:cs="Times New Roman"/>
                <w:szCs w:val="24"/>
              </w:rPr>
              <w:t>190</w:t>
            </w:r>
          </w:p>
        </w:tc>
      </w:tr>
    </w:tbl>
    <w:p w:rsidR="009D21FD" w:rsidRPr="009D21FD" w:rsidRDefault="009D21FD" w:rsidP="009D21FD">
      <w:pPr>
        <w:rPr>
          <w:sz w:val="28"/>
        </w:rPr>
      </w:pPr>
    </w:p>
    <w:p w:rsidR="009D21FD" w:rsidRPr="009D21FD" w:rsidRDefault="009D21FD" w:rsidP="00053C28">
      <w:pPr>
        <w:ind w:firstLine="709"/>
        <w:rPr>
          <w:sz w:val="28"/>
        </w:rPr>
      </w:pPr>
      <w:r w:rsidRPr="009D21FD">
        <w:rPr>
          <w:sz w:val="28"/>
        </w:rPr>
        <w:t>Как видно из таблицы, для требуемого количества реакций с конечной концентрацией праймеров 400 нМоль/л и зондов 200 нМоль/л в реакционной смеси объемом 20 мкл, использовали стоковые растворы концентрацией 100 мкМ/л. Объём праймер-микс для внесения в реакционную смесь составил 4 мкл.</w:t>
      </w:r>
    </w:p>
    <w:p w:rsidR="009D21FD" w:rsidRPr="009D21FD" w:rsidRDefault="009D21FD" w:rsidP="00053C28">
      <w:pPr>
        <w:ind w:firstLine="709"/>
        <w:rPr>
          <w:sz w:val="28"/>
        </w:rPr>
      </w:pPr>
      <w:r w:rsidRPr="009D21FD">
        <w:rPr>
          <w:sz w:val="28"/>
        </w:rPr>
        <w:t>Для приготовления реакционной смеси использовали готовый 5XqPCRmix-HS, который уже содержит смесь нуклеотидтрифосфатов, Mg2+ и ПЦР-буфер. В смесь необходимо добавить высокопроцессивную Taq ДНК полимеразу, праймермикс и при необходимости воду до требуемого объема. ПЦР проводили объеме 20 мкл (таблица 15)</w:t>
      </w:r>
    </w:p>
    <w:p w:rsidR="009D21FD" w:rsidRPr="009D21FD" w:rsidRDefault="009D21FD" w:rsidP="009D21FD">
      <w:pPr>
        <w:rPr>
          <w:sz w:val="28"/>
        </w:rPr>
      </w:pPr>
    </w:p>
    <w:p w:rsidR="009D21FD" w:rsidRDefault="009D21FD" w:rsidP="00345D2F">
      <w:pPr>
        <w:jc w:val="left"/>
        <w:rPr>
          <w:sz w:val="28"/>
        </w:rPr>
      </w:pPr>
      <w:r w:rsidRPr="009D21FD">
        <w:rPr>
          <w:sz w:val="28"/>
        </w:rPr>
        <w:t>Таблица 15 – Схема приготовления реакционной смеси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5607"/>
        <w:gridCol w:w="3382"/>
      </w:tblGrid>
      <w:tr w:rsidR="009D21FD" w:rsidRPr="009D21FD" w:rsidTr="006F2F87">
        <w:tc>
          <w:tcPr>
            <w:tcW w:w="439" w:type="pct"/>
          </w:tcPr>
          <w:p w:rsidR="009D21FD" w:rsidRPr="009D21FD" w:rsidRDefault="009D21FD" w:rsidP="009D21FD">
            <w:pPr>
              <w:rPr>
                <w:sz w:val="28"/>
              </w:rPr>
            </w:pPr>
            <w:r w:rsidRPr="009D21FD">
              <w:rPr>
                <w:sz w:val="28"/>
              </w:rPr>
              <w:t>№</w:t>
            </w:r>
          </w:p>
        </w:tc>
        <w:tc>
          <w:tcPr>
            <w:tcW w:w="2845" w:type="pct"/>
          </w:tcPr>
          <w:p w:rsidR="009D21FD" w:rsidRPr="009D21FD" w:rsidRDefault="009D21FD" w:rsidP="009D21FD">
            <w:pPr>
              <w:rPr>
                <w:sz w:val="28"/>
              </w:rPr>
            </w:pPr>
            <w:r w:rsidRPr="009D21FD">
              <w:rPr>
                <w:sz w:val="28"/>
              </w:rPr>
              <w:t>Компонент</w:t>
            </w:r>
          </w:p>
        </w:tc>
        <w:tc>
          <w:tcPr>
            <w:tcW w:w="1716" w:type="pct"/>
          </w:tcPr>
          <w:p w:rsidR="009D21FD" w:rsidRPr="009D21FD" w:rsidRDefault="009D21FD" w:rsidP="009D21FD">
            <w:pPr>
              <w:rPr>
                <w:sz w:val="28"/>
              </w:rPr>
            </w:pPr>
            <w:r w:rsidRPr="009D21FD">
              <w:rPr>
                <w:sz w:val="28"/>
              </w:rPr>
              <w:t xml:space="preserve">Количество, </w:t>
            </w:r>
            <w:r>
              <w:rPr>
                <w:sz w:val="28"/>
              </w:rPr>
              <w:t>мкл</w:t>
            </w:r>
          </w:p>
        </w:tc>
      </w:tr>
      <w:tr w:rsidR="009D21FD" w:rsidRPr="009D21FD" w:rsidTr="006F2F87">
        <w:tc>
          <w:tcPr>
            <w:tcW w:w="439" w:type="pct"/>
          </w:tcPr>
          <w:p w:rsidR="009D21FD" w:rsidRPr="009D21FD" w:rsidRDefault="009D21FD" w:rsidP="009D21FD">
            <w:pPr>
              <w:rPr>
                <w:sz w:val="28"/>
              </w:rPr>
            </w:pPr>
            <w:r w:rsidRPr="009D21FD">
              <w:rPr>
                <w:sz w:val="28"/>
              </w:rPr>
              <w:t>1</w:t>
            </w:r>
          </w:p>
        </w:tc>
        <w:tc>
          <w:tcPr>
            <w:tcW w:w="2845" w:type="pct"/>
          </w:tcPr>
          <w:p w:rsidR="009D21FD" w:rsidRPr="009D21FD" w:rsidRDefault="009D21FD" w:rsidP="009D21FD">
            <w:pPr>
              <w:rPr>
                <w:sz w:val="28"/>
              </w:rPr>
            </w:pPr>
            <w:r w:rsidRPr="009D21FD">
              <w:rPr>
                <w:sz w:val="28"/>
              </w:rPr>
              <w:t>5XqPCRmix-HS</w:t>
            </w:r>
          </w:p>
        </w:tc>
        <w:tc>
          <w:tcPr>
            <w:tcW w:w="1716" w:type="pct"/>
          </w:tcPr>
          <w:p w:rsidR="009D21FD" w:rsidRPr="009D21FD" w:rsidRDefault="009D21FD" w:rsidP="009D21FD">
            <w:pPr>
              <w:rPr>
                <w:sz w:val="28"/>
              </w:rPr>
            </w:pPr>
            <w:r w:rsidRPr="009D21FD">
              <w:rPr>
                <w:sz w:val="28"/>
              </w:rPr>
              <w:t>4</w:t>
            </w:r>
          </w:p>
        </w:tc>
      </w:tr>
      <w:tr w:rsidR="009D21FD" w:rsidRPr="009D21FD" w:rsidTr="006F2F87">
        <w:tc>
          <w:tcPr>
            <w:tcW w:w="439" w:type="pct"/>
          </w:tcPr>
          <w:p w:rsidR="009D21FD" w:rsidRPr="009D21FD" w:rsidRDefault="009D21FD" w:rsidP="009D21FD">
            <w:pPr>
              <w:rPr>
                <w:sz w:val="28"/>
              </w:rPr>
            </w:pPr>
            <w:r w:rsidRPr="009D21FD">
              <w:rPr>
                <w:sz w:val="28"/>
              </w:rPr>
              <w:t>2</w:t>
            </w:r>
          </w:p>
        </w:tc>
        <w:tc>
          <w:tcPr>
            <w:tcW w:w="2845" w:type="pct"/>
          </w:tcPr>
          <w:p w:rsidR="009D21FD" w:rsidRPr="009D21FD" w:rsidRDefault="009D21FD" w:rsidP="009D21FD">
            <w:pPr>
              <w:rPr>
                <w:sz w:val="28"/>
              </w:rPr>
            </w:pPr>
            <w:r w:rsidRPr="009D21FD">
              <w:rPr>
                <w:sz w:val="28"/>
              </w:rPr>
              <w:t>MQ вода</w:t>
            </w:r>
          </w:p>
        </w:tc>
        <w:tc>
          <w:tcPr>
            <w:tcW w:w="1716" w:type="pct"/>
          </w:tcPr>
          <w:p w:rsidR="009D21FD" w:rsidRPr="009D21FD" w:rsidRDefault="009D21FD" w:rsidP="009D21FD">
            <w:pPr>
              <w:rPr>
                <w:sz w:val="28"/>
              </w:rPr>
            </w:pPr>
            <w:r w:rsidRPr="009D21FD">
              <w:rPr>
                <w:sz w:val="28"/>
              </w:rPr>
              <w:t>6</w:t>
            </w:r>
          </w:p>
        </w:tc>
      </w:tr>
      <w:tr w:rsidR="009D21FD" w:rsidRPr="009D21FD" w:rsidTr="006F2F87">
        <w:tc>
          <w:tcPr>
            <w:tcW w:w="439" w:type="pct"/>
          </w:tcPr>
          <w:p w:rsidR="009D21FD" w:rsidRPr="009D21FD" w:rsidRDefault="009D21FD" w:rsidP="009D21FD">
            <w:pPr>
              <w:rPr>
                <w:sz w:val="28"/>
              </w:rPr>
            </w:pPr>
            <w:r w:rsidRPr="009D21FD">
              <w:rPr>
                <w:sz w:val="28"/>
              </w:rPr>
              <w:t>3</w:t>
            </w:r>
          </w:p>
        </w:tc>
        <w:tc>
          <w:tcPr>
            <w:tcW w:w="2845" w:type="pct"/>
          </w:tcPr>
          <w:p w:rsidR="009D21FD" w:rsidRPr="009D21FD" w:rsidRDefault="009D21FD" w:rsidP="009D21FD">
            <w:pPr>
              <w:rPr>
                <w:sz w:val="28"/>
              </w:rPr>
            </w:pPr>
            <w:r w:rsidRPr="009D21FD">
              <w:rPr>
                <w:sz w:val="28"/>
              </w:rPr>
              <w:t>10X Taq ДНК-полимераза</w:t>
            </w:r>
          </w:p>
        </w:tc>
        <w:tc>
          <w:tcPr>
            <w:tcW w:w="1716" w:type="pct"/>
          </w:tcPr>
          <w:p w:rsidR="009D21FD" w:rsidRPr="009D21FD" w:rsidRDefault="009D21FD" w:rsidP="009D21FD">
            <w:pPr>
              <w:rPr>
                <w:sz w:val="28"/>
              </w:rPr>
            </w:pPr>
            <w:r w:rsidRPr="009D21FD">
              <w:rPr>
                <w:sz w:val="28"/>
              </w:rPr>
              <w:t>2</w:t>
            </w:r>
          </w:p>
        </w:tc>
      </w:tr>
      <w:tr w:rsidR="009D21FD" w:rsidRPr="009D21FD" w:rsidTr="006F2F87">
        <w:tc>
          <w:tcPr>
            <w:tcW w:w="439" w:type="pct"/>
          </w:tcPr>
          <w:p w:rsidR="009D21FD" w:rsidRPr="009D21FD" w:rsidRDefault="009D21FD" w:rsidP="009D21FD">
            <w:pPr>
              <w:rPr>
                <w:sz w:val="28"/>
              </w:rPr>
            </w:pPr>
            <w:r w:rsidRPr="009D21FD">
              <w:rPr>
                <w:sz w:val="28"/>
              </w:rPr>
              <w:t>4</w:t>
            </w:r>
          </w:p>
        </w:tc>
        <w:tc>
          <w:tcPr>
            <w:tcW w:w="2845" w:type="pct"/>
          </w:tcPr>
          <w:p w:rsidR="009D21FD" w:rsidRPr="009D21FD" w:rsidRDefault="009D21FD" w:rsidP="009D21FD">
            <w:pPr>
              <w:rPr>
                <w:sz w:val="28"/>
              </w:rPr>
            </w:pPr>
            <w:r w:rsidRPr="009D21FD">
              <w:rPr>
                <w:sz w:val="28"/>
              </w:rPr>
              <w:t>Смесь праймеров</w:t>
            </w:r>
          </w:p>
        </w:tc>
        <w:tc>
          <w:tcPr>
            <w:tcW w:w="1716" w:type="pct"/>
          </w:tcPr>
          <w:p w:rsidR="009D21FD" w:rsidRPr="009D21FD" w:rsidRDefault="009D21FD" w:rsidP="009D21FD">
            <w:pPr>
              <w:rPr>
                <w:sz w:val="28"/>
              </w:rPr>
            </w:pPr>
            <w:r w:rsidRPr="009D21FD">
              <w:rPr>
                <w:sz w:val="28"/>
              </w:rPr>
              <w:t>4</w:t>
            </w:r>
          </w:p>
        </w:tc>
      </w:tr>
      <w:tr w:rsidR="009D21FD" w:rsidRPr="009D21FD" w:rsidTr="006F2F87">
        <w:tc>
          <w:tcPr>
            <w:tcW w:w="439" w:type="pct"/>
          </w:tcPr>
          <w:p w:rsidR="009D21FD" w:rsidRPr="009D21FD" w:rsidRDefault="009D21FD" w:rsidP="009D21FD">
            <w:pPr>
              <w:rPr>
                <w:sz w:val="28"/>
              </w:rPr>
            </w:pPr>
            <w:r w:rsidRPr="009D21FD">
              <w:rPr>
                <w:sz w:val="28"/>
              </w:rPr>
              <w:t>5</w:t>
            </w:r>
          </w:p>
        </w:tc>
        <w:tc>
          <w:tcPr>
            <w:tcW w:w="2845" w:type="pct"/>
          </w:tcPr>
          <w:p w:rsidR="009D21FD" w:rsidRPr="009D21FD" w:rsidRDefault="009D21FD" w:rsidP="009D21FD">
            <w:pPr>
              <w:rPr>
                <w:sz w:val="28"/>
              </w:rPr>
            </w:pPr>
            <w:r w:rsidRPr="009D21FD">
              <w:rPr>
                <w:sz w:val="28"/>
              </w:rPr>
              <w:t>ДНК</w:t>
            </w:r>
          </w:p>
        </w:tc>
        <w:tc>
          <w:tcPr>
            <w:tcW w:w="1716" w:type="pct"/>
          </w:tcPr>
          <w:p w:rsidR="009D21FD" w:rsidRPr="009D21FD" w:rsidRDefault="009D21FD" w:rsidP="009D21FD">
            <w:pPr>
              <w:rPr>
                <w:sz w:val="28"/>
              </w:rPr>
            </w:pPr>
            <w:r w:rsidRPr="009D21FD">
              <w:rPr>
                <w:sz w:val="28"/>
              </w:rPr>
              <w:t>4</w:t>
            </w:r>
          </w:p>
        </w:tc>
      </w:tr>
      <w:tr w:rsidR="009D21FD" w:rsidRPr="009D21FD" w:rsidTr="006F2F87">
        <w:tc>
          <w:tcPr>
            <w:tcW w:w="3284" w:type="pct"/>
            <w:gridSpan w:val="2"/>
          </w:tcPr>
          <w:p w:rsidR="009D21FD" w:rsidRPr="009D21FD" w:rsidRDefault="009D21FD" w:rsidP="009D21FD">
            <w:pPr>
              <w:rPr>
                <w:sz w:val="28"/>
              </w:rPr>
            </w:pPr>
            <w:r w:rsidRPr="009D21FD">
              <w:rPr>
                <w:sz w:val="28"/>
              </w:rPr>
              <w:t>Суммарный объем реакции</w:t>
            </w:r>
          </w:p>
        </w:tc>
        <w:tc>
          <w:tcPr>
            <w:tcW w:w="1716" w:type="pct"/>
          </w:tcPr>
          <w:p w:rsidR="009D21FD" w:rsidRPr="009D21FD" w:rsidRDefault="009D21FD" w:rsidP="009D21FD">
            <w:pPr>
              <w:rPr>
                <w:sz w:val="28"/>
              </w:rPr>
            </w:pPr>
            <w:r w:rsidRPr="009D21FD">
              <w:rPr>
                <w:sz w:val="28"/>
              </w:rPr>
              <w:t>20</w:t>
            </w:r>
          </w:p>
        </w:tc>
      </w:tr>
    </w:tbl>
    <w:p w:rsidR="009D21FD" w:rsidRPr="009D21FD" w:rsidRDefault="009D21FD" w:rsidP="009D21FD">
      <w:pPr>
        <w:rPr>
          <w:sz w:val="28"/>
        </w:rPr>
      </w:pPr>
    </w:p>
    <w:p w:rsidR="009D21FD" w:rsidRPr="009D21FD" w:rsidRDefault="009D21FD" w:rsidP="00053C28">
      <w:pPr>
        <w:ind w:firstLine="709"/>
        <w:rPr>
          <w:sz w:val="28"/>
        </w:rPr>
      </w:pPr>
      <w:r w:rsidRPr="009D21FD">
        <w:rPr>
          <w:sz w:val="28"/>
        </w:rPr>
        <w:t>Для постановки реакции ПЦР в 1х реакционной смеси, следовали следующим рекомендациям:</w:t>
      </w:r>
    </w:p>
    <w:p w:rsidR="009D21FD" w:rsidRPr="009D21FD" w:rsidRDefault="009D21FD" w:rsidP="00053C28">
      <w:pPr>
        <w:ind w:firstLine="709"/>
        <w:rPr>
          <w:sz w:val="28"/>
        </w:rPr>
      </w:pPr>
      <w:r w:rsidRPr="009D21FD">
        <w:rPr>
          <w:sz w:val="28"/>
        </w:rPr>
        <w:t>– концентрация праймеров 400 нмоль/л;</w:t>
      </w:r>
    </w:p>
    <w:p w:rsidR="009D21FD" w:rsidRPr="009D21FD" w:rsidRDefault="009D21FD" w:rsidP="00053C28">
      <w:pPr>
        <w:ind w:firstLine="709"/>
        <w:rPr>
          <w:sz w:val="28"/>
        </w:rPr>
      </w:pPr>
      <w:r w:rsidRPr="009D21FD">
        <w:rPr>
          <w:sz w:val="28"/>
        </w:rPr>
        <w:t>– концентрация зондов 200 нмоль/л;</w:t>
      </w:r>
    </w:p>
    <w:p w:rsidR="009D21FD" w:rsidRPr="009D21FD" w:rsidRDefault="009D21FD" w:rsidP="00053C28">
      <w:pPr>
        <w:ind w:firstLine="709"/>
        <w:rPr>
          <w:sz w:val="28"/>
        </w:rPr>
      </w:pPr>
      <w:r w:rsidRPr="009D21FD">
        <w:rPr>
          <w:sz w:val="28"/>
        </w:rPr>
        <w:t>– концентрация магния 3 мМ;</w:t>
      </w:r>
    </w:p>
    <w:p w:rsidR="009D21FD" w:rsidRPr="009D21FD" w:rsidRDefault="009D21FD" w:rsidP="00053C28">
      <w:pPr>
        <w:ind w:firstLine="709"/>
        <w:rPr>
          <w:sz w:val="28"/>
        </w:rPr>
      </w:pPr>
      <w:r w:rsidRPr="009D21FD">
        <w:rPr>
          <w:sz w:val="28"/>
        </w:rPr>
        <w:t>– концентрация нуклеотидтрифосфатов (dNTPs) 0,2 мМ.</w:t>
      </w:r>
    </w:p>
    <w:p w:rsidR="009D21FD" w:rsidRPr="009D21FD" w:rsidRDefault="009D21FD" w:rsidP="00053C28">
      <w:pPr>
        <w:ind w:firstLine="709"/>
        <w:rPr>
          <w:sz w:val="28"/>
        </w:rPr>
      </w:pPr>
      <w:r w:rsidRPr="009D21FD">
        <w:rPr>
          <w:sz w:val="28"/>
        </w:rPr>
        <w:t>Концентрация матрицы ДНК не указана. Обычно она варьируется в зависимости от типа образца, который анализируется.</w:t>
      </w:r>
    </w:p>
    <w:p w:rsidR="009D21FD" w:rsidRPr="009D21FD" w:rsidRDefault="009D21FD" w:rsidP="00053C28">
      <w:pPr>
        <w:ind w:firstLine="709"/>
        <w:rPr>
          <w:sz w:val="28"/>
        </w:rPr>
      </w:pPr>
      <w:r w:rsidRPr="009D21FD">
        <w:rPr>
          <w:sz w:val="28"/>
        </w:rPr>
        <w:t>Свойства высокопроцессивной Taq ДНК полимеразы с моноклональными антителами:</w:t>
      </w:r>
    </w:p>
    <w:p w:rsidR="009D21FD" w:rsidRPr="009D21FD" w:rsidRDefault="009D21FD" w:rsidP="00053C28">
      <w:pPr>
        <w:ind w:firstLine="709"/>
        <w:rPr>
          <w:sz w:val="28"/>
        </w:rPr>
      </w:pPr>
      <w:r w:rsidRPr="009D21FD">
        <w:rPr>
          <w:sz w:val="28"/>
        </w:rPr>
        <w:t>– 5’&gt;3’ полимеразная активность;</w:t>
      </w:r>
    </w:p>
    <w:p w:rsidR="009D21FD" w:rsidRPr="009D21FD" w:rsidRDefault="009D21FD" w:rsidP="00053C28">
      <w:pPr>
        <w:ind w:firstLine="709"/>
        <w:rPr>
          <w:sz w:val="28"/>
        </w:rPr>
      </w:pPr>
      <w:r w:rsidRPr="009D21FD">
        <w:rPr>
          <w:sz w:val="28"/>
        </w:rPr>
        <w:t>– 5’&gt;3’ экзонуклеазная активность;</w:t>
      </w:r>
    </w:p>
    <w:p w:rsidR="009D21FD" w:rsidRPr="009D21FD" w:rsidRDefault="009D21FD" w:rsidP="00053C28">
      <w:pPr>
        <w:ind w:firstLine="709"/>
        <w:rPr>
          <w:sz w:val="28"/>
        </w:rPr>
      </w:pPr>
      <w:r w:rsidRPr="009D21FD">
        <w:rPr>
          <w:sz w:val="28"/>
        </w:rPr>
        <w:t>– быстрый горячий старт в первом цикле денатурации (95°C).</w:t>
      </w:r>
    </w:p>
    <w:p w:rsidR="00FE1507" w:rsidRDefault="00FE1507" w:rsidP="00053C28">
      <w:pPr>
        <w:ind w:firstLine="709"/>
        <w:rPr>
          <w:b/>
          <w:sz w:val="28"/>
        </w:rPr>
      </w:pPr>
    </w:p>
    <w:p w:rsidR="00CE7A79" w:rsidRDefault="00CE7A79" w:rsidP="00053C28">
      <w:pPr>
        <w:ind w:firstLine="709"/>
        <w:rPr>
          <w:b/>
          <w:sz w:val="28"/>
        </w:rPr>
      </w:pPr>
      <w:r w:rsidRPr="00CE7A79">
        <w:rPr>
          <w:b/>
          <w:sz w:val="28"/>
        </w:rPr>
        <w:t>3.3 Оптимизация условий ПЦР и оценка её аналитических характеристик – специфичности и чувствительности</w:t>
      </w:r>
    </w:p>
    <w:p w:rsidR="00C619F6" w:rsidRDefault="00C619F6" w:rsidP="00053C28">
      <w:pPr>
        <w:ind w:firstLine="709"/>
        <w:rPr>
          <w:sz w:val="28"/>
        </w:rPr>
      </w:pPr>
    </w:p>
    <w:p w:rsidR="00C619F6" w:rsidRDefault="00C619F6" w:rsidP="00053C28">
      <w:pPr>
        <w:ind w:firstLine="709"/>
        <w:rPr>
          <w:sz w:val="28"/>
        </w:rPr>
      </w:pPr>
      <w:r w:rsidRPr="003053C7">
        <w:rPr>
          <w:rFonts w:cs="Times New Roman"/>
          <w:sz w:val="28"/>
          <w:szCs w:val="28"/>
        </w:rPr>
        <w:t xml:space="preserve">3.3.1 </w:t>
      </w:r>
      <w:r w:rsidRPr="009E12BC">
        <w:rPr>
          <w:rFonts w:cs="Times New Roman"/>
          <w:sz w:val="28"/>
          <w:szCs w:val="28"/>
        </w:rPr>
        <w:t>Оптимизация условий ПЦР</w:t>
      </w:r>
    </w:p>
    <w:p w:rsidR="009D21FD" w:rsidRPr="009D21FD" w:rsidRDefault="009D21FD" w:rsidP="00053C28">
      <w:pPr>
        <w:ind w:firstLine="709"/>
        <w:rPr>
          <w:sz w:val="28"/>
        </w:rPr>
      </w:pPr>
      <w:r w:rsidRPr="009D21FD">
        <w:rPr>
          <w:sz w:val="28"/>
        </w:rPr>
        <w:t xml:space="preserve">Предварительно произведен анализ физических свойств, синтезированных праймеров и зондов с помощью веб-инструмента «Oligo </w:t>
      </w:r>
      <w:r w:rsidRPr="009D21FD">
        <w:rPr>
          <w:sz w:val="28"/>
        </w:rPr>
        <w:lastRenderedPageBreak/>
        <w:t>Analyzer Tool». Расчетная температура плавления (Tm), длина олигонуклеотидов, процентное содержание GC-пар представлена в таблице 16.</w:t>
      </w:r>
    </w:p>
    <w:p w:rsidR="009D21FD" w:rsidRDefault="009D21FD" w:rsidP="00345D2F">
      <w:pPr>
        <w:jc w:val="left"/>
        <w:rPr>
          <w:sz w:val="28"/>
        </w:rPr>
      </w:pPr>
      <w:r w:rsidRPr="009D21FD">
        <w:rPr>
          <w:sz w:val="28"/>
        </w:rPr>
        <w:t>Таблица 16 – Физические характеристики синтезированных олигонуклеотидов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5086"/>
        <w:gridCol w:w="1039"/>
        <w:gridCol w:w="974"/>
        <w:gridCol w:w="1242"/>
      </w:tblGrid>
      <w:tr w:rsidR="009D21FD" w:rsidRPr="00345D2F" w:rsidTr="00345D2F">
        <w:trPr>
          <w:trHeight w:val="58"/>
        </w:trPr>
        <w:tc>
          <w:tcPr>
            <w:tcW w:w="768" w:type="pct"/>
          </w:tcPr>
          <w:p w:rsidR="009D21FD" w:rsidRPr="00345D2F" w:rsidRDefault="009D21FD" w:rsidP="00345D2F">
            <w:pPr>
              <w:jc w:val="center"/>
              <w:rPr>
                <w:rFonts w:cs="Times New Roman"/>
                <w:sz w:val="28"/>
                <w:szCs w:val="28"/>
              </w:rPr>
            </w:pPr>
            <w:r w:rsidRPr="00345D2F">
              <w:rPr>
                <w:rFonts w:cs="Times New Roman"/>
                <w:sz w:val="28"/>
                <w:szCs w:val="28"/>
              </w:rPr>
              <w:t>Название</w:t>
            </w:r>
          </w:p>
        </w:tc>
        <w:tc>
          <w:tcPr>
            <w:tcW w:w="2581"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Последовательность</w:t>
            </w:r>
          </w:p>
        </w:tc>
        <w:tc>
          <w:tcPr>
            <w:tcW w:w="527"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Длина</w:t>
            </w:r>
          </w:p>
        </w:tc>
        <w:tc>
          <w:tcPr>
            <w:tcW w:w="494"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GC %</w:t>
            </w:r>
          </w:p>
        </w:tc>
        <w:tc>
          <w:tcPr>
            <w:tcW w:w="630"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Tm (°C)</w:t>
            </w:r>
          </w:p>
        </w:tc>
      </w:tr>
      <w:tr w:rsidR="009D21FD" w:rsidRPr="00345D2F" w:rsidTr="00345D2F">
        <w:trPr>
          <w:trHeight w:val="58"/>
        </w:trPr>
        <w:tc>
          <w:tcPr>
            <w:tcW w:w="768" w:type="pct"/>
          </w:tcPr>
          <w:p w:rsidR="009D21FD" w:rsidRPr="00345D2F" w:rsidRDefault="009D21FD" w:rsidP="009D21FD">
            <w:pPr>
              <w:rPr>
                <w:rFonts w:cs="Times New Roman"/>
                <w:sz w:val="28"/>
                <w:szCs w:val="28"/>
              </w:rPr>
            </w:pPr>
            <w:r w:rsidRPr="00345D2F">
              <w:rPr>
                <w:rFonts w:cs="Times New Roman"/>
                <w:sz w:val="28"/>
                <w:szCs w:val="28"/>
              </w:rPr>
              <w:t>Nuc 3 F</w:t>
            </w:r>
          </w:p>
        </w:tc>
        <w:tc>
          <w:tcPr>
            <w:tcW w:w="2581" w:type="pct"/>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AATATGGACGTGGCTTAGCGT</w:t>
            </w:r>
          </w:p>
        </w:tc>
        <w:tc>
          <w:tcPr>
            <w:tcW w:w="527"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21</w:t>
            </w:r>
          </w:p>
        </w:tc>
        <w:tc>
          <w:tcPr>
            <w:tcW w:w="494"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47,6</w:t>
            </w:r>
          </w:p>
        </w:tc>
        <w:tc>
          <w:tcPr>
            <w:tcW w:w="630"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64</w:t>
            </w:r>
          </w:p>
        </w:tc>
      </w:tr>
      <w:tr w:rsidR="009D21FD" w:rsidRPr="00345D2F" w:rsidTr="00345D2F">
        <w:trPr>
          <w:trHeight w:val="96"/>
        </w:trPr>
        <w:tc>
          <w:tcPr>
            <w:tcW w:w="768" w:type="pct"/>
          </w:tcPr>
          <w:p w:rsidR="009D21FD" w:rsidRPr="00345D2F" w:rsidRDefault="009D21FD" w:rsidP="009D21FD">
            <w:pPr>
              <w:rPr>
                <w:rFonts w:cs="Times New Roman"/>
                <w:sz w:val="28"/>
                <w:szCs w:val="28"/>
              </w:rPr>
            </w:pPr>
            <w:r w:rsidRPr="00345D2F">
              <w:rPr>
                <w:rFonts w:cs="Times New Roman"/>
                <w:sz w:val="28"/>
                <w:szCs w:val="28"/>
              </w:rPr>
              <w:t>Nuc 3 R</w:t>
            </w:r>
          </w:p>
        </w:tc>
        <w:tc>
          <w:tcPr>
            <w:tcW w:w="2581" w:type="pct"/>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AGCCAAGCCTTGACGAACTAA</w:t>
            </w:r>
          </w:p>
        </w:tc>
        <w:tc>
          <w:tcPr>
            <w:tcW w:w="527"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21</w:t>
            </w:r>
          </w:p>
        </w:tc>
        <w:tc>
          <w:tcPr>
            <w:tcW w:w="494"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47,6</w:t>
            </w:r>
          </w:p>
        </w:tc>
        <w:tc>
          <w:tcPr>
            <w:tcW w:w="630"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64,1</w:t>
            </w:r>
          </w:p>
        </w:tc>
      </w:tr>
      <w:tr w:rsidR="009D21FD" w:rsidRPr="00345D2F" w:rsidTr="00345D2F">
        <w:trPr>
          <w:trHeight w:val="58"/>
        </w:trPr>
        <w:tc>
          <w:tcPr>
            <w:tcW w:w="768" w:type="pct"/>
          </w:tcPr>
          <w:p w:rsidR="009D21FD" w:rsidRPr="00345D2F" w:rsidRDefault="009D21FD" w:rsidP="009D21FD">
            <w:pPr>
              <w:rPr>
                <w:rFonts w:cs="Times New Roman"/>
                <w:sz w:val="28"/>
                <w:szCs w:val="28"/>
              </w:rPr>
            </w:pPr>
            <w:r w:rsidRPr="00345D2F">
              <w:rPr>
                <w:rFonts w:cs="Times New Roman"/>
                <w:sz w:val="28"/>
                <w:szCs w:val="28"/>
              </w:rPr>
              <w:t>Nuc 3 OI</w:t>
            </w:r>
          </w:p>
        </w:tc>
        <w:tc>
          <w:tcPr>
            <w:tcW w:w="2581" w:type="pct"/>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TGCTGATGGAAAAATGGTAAACGAAGC</w:t>
            </w:r>
          </w:p>
        </w:tc>
        <w:tc>
          <w:tcPr>
            <w:tcW w:w="527"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27</w:t>
            </w:r>
          </w:p>
        </w:tc>
        <w:tc>
          <w:tcPr>
            <w:tcW w:w="494"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40,7</w:t>
            </w:r>
          </w:p>
        </w:tc>
        <w:tc>
          <w:tcPr>
            <w:tcW w:w="630"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66,4</w:t>
            </w:r>
          </w:p>
        </w:tc>
      </w:tr>
      <w:tr w:rsidR="009D21FD" w:rsidRPr="00345D2F" w:rsidTr="00345D2F">
        <w:trPr>
          <w:trHeight w:val="58"/>
        </w:trPr>
        <w:tc>
          <w:tcPr>
            <w:tcW w:w="768" w:type="pct"/>
          </w:tcPr>
          <w:p w:rsidR="009D21FD" w:rsidRPr="00345D2F" w:rsidRDefault="009D21FD" w:rsidP="009D21FD">
            <w:pPr>
              <w:rPr>
                <w:rFonts w:cs="Times New Roman"/>
                <w:sz w:val="28"/>
                <w:szCs w:val="28"/>
              </w:rPr>
            </w:pPr>
            <w:r w:rsidRPr="00345D2F">
              <w:rPr>
                <w:rFonts w:cs="Times New Roman"/>
                <w:sz w:val="28"/>
                <w:szCs w:val="28"/>
              </w:rPr>
              <w:t>BlaZ 1 F</w:t>
            </w:r>
          </w:p>
        </w:tc>
        <w:tc>
          <w:tcPr>
            <w:tcW w:w="2581" w:type="pct"/>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AAGACGGTGTTCCAAAAGACT</w:t>
            </w:r>
          </w:p>
        </w:tc>
        <w:tc>
          <w:tcPr>
            <w:tcW w:w="527"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21</w:t>
            </w:r>
          </w:p>
        </w:tc>
        <w:tc>
          <w:tcPr>
            <w:tcW w:w="494"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42,9</w:t>
            </w:r>
          </w:p>
        </w:tc>
        <w:tc>
          <w:tcPr>
            <w:tcW w:w="630"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62,2</w:t>
            </w:r>
          </w:p>
        </w:tc>
      </w:tr>
      <w:tr w:rsidR="009D21FD" w:rsidRPr="00345D2F" w:rsidTr="00345D2F">
        <w:trPr>
          <w:trHeight w:val="58"/>
        </w:trPr>
        <w:tc>
          <w:tcPr>
            <w:tcW w:w="768" w:type="pct"/>
          </w:tcPr>
          <w:p w:rsidR="009D21FD" w:rsidRPr="00345D2F" w:rsidRDefault="009D21FD" w:rsidP="009D21FD">
            <w:pPr>
              <w:rPr>
                <w:rFonts w:cs="Times New Roman"/>
                <w:sz w:val="28"/>
                <w:szCs w:val="28"/>
              </w:rPr>
            </w:pPr>
            <w:r w:rsidRPr="00345D2F">
              <w:rPr>
                <w:rFonts w:cs="Times New Roman"/>
                <w:sz w:val="28"/>
                <w:szCs w:val="28"/>
              </w:rPr>
              <w:t>BlaZ 1 R</w:t>
            </w:r>
          </w:p>
        </w:tc>
        <w:tc>
          <w:tcPr>
            <w:tcW w:w="2581" w:type="pct"/>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ACACTCTTGGCGGTTTCACT</w:t>
            </w:r>
          </w:p>
        </w:tc>
        <w:tc>
          <w:tcPr>
            <w:tcW w:w="527"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20</w:t>
            </w:r>
          </w:p>
        </w:tc>
        <w:tc>
          <w:tcPr>
            <w:tcW w:w="494"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50</w:t>
            </w:r>
          </w:p>
        </w:tc>
        <w:tc>
          <w:tcPr>
            <w:tcW w:w="630" w:type="pct"/>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64,1</w:t>
            </w:r>
          </w:p>
        </w:tc>
      </w:tr>
      <w:tr w:rsidR="009D21FD" w:rsidRPr="00345D2F" w:rsidTr="00345D2F">
        <w:trPr>
          <w:trHeight w:val="58"/>
        </w:trPr>
        <w:tc>
          <w:tcPr>
            <w:tcW w:w="768" w:type="pct"/>
            <w:tcBorders>
              <w:top w:val="single" w:sz="4" w:space="0" w:color="auto"/>
              <w:left w:val="single" w:sz="4" w:space="0" w:color="auto"/>
              <w:bottom w:val="single" w:sz="4" w:space="0" w:color="auto"/>
              <w:right w:val="single" w:sz="4" w:space="0" w:color="auto"/>
            </w:tcBorders>
          </w:tcPr>
          <w:p w:rsidR="009D21FD" w:rsidRPr="00345D2F" w:rsidRDefault="009D21FD" w:rsidP="009D21FD">
            <w:pPr>
              <w:rPr>
                <w:rFonts w:cs="Times New Roman"/>
                <w:sz w:val="28"/>
                <w:szCs w:val="28"/>
              </w:rPr>
            </w:pPr>
            <w:r w:rsidRPr="00345D2F">
              <w:rPr>
                <w:rFonts w:cs="Times New Roman"/>
                <w:sz w:val="28"/>
                <w:szCs w:val="28"/>
              </w:rPr>
              <w:t>BlaZ 1 OI</w:t>
            </w:r>
          </w:p>
        </w:tc>
        <w:tc>
          <w:tcPr>
            <w:tcW w:w="2581"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AGGTTGCTGATAAAAGTGGTCAAGCA</w:t>
            </w:r>
          </w:p>
        </w:tc>
        <w:tc>
          <w:tcPr>
            <w:tcW w:w="527"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26</w:t>
            </w:r>
          </w:p>
        </w:tc>
        <w:tc>
          <w:tcPr>
            <w:tcW w:w="494"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42,3</w:t>
            </w:r>
          </w:p>
        </w:tc>
        <w:tc>
          <w:tcPr>
            <w:tcW w:w="630"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66,9</w:t>
            </w:r>
          </w:p>
        </w:tc>
      </w:tr>
      <w:tr w:rsidR="009D21FD" w:rsidRPr="00345D2F" w:rsidTr="00345D2F">
        <w:trPr>
          <w:trHeight w:val="58"/>
        </w:trPr>
        <w:tc>
          <w:tcPr>
            <w:tcW w:w="768" w:type="pct"/>
            <w:tcBorders>
              <w:top w:val="single" w:sz="4" w:space="0" w:color="auto"/>
              <w:left w:val="single" w:sz="4" w:space="0" w:color="auto"/>
              <w:bottom w:val="single" w:sz="4" w:space="0" w:color="auto"/>
              <w:right w:val="single" w:sz="4" w:space="0" w:color="auto"/>
            </w:tcBorders>
          </w:tcPr>
          <w:p w:rsidR="009D21FD" w:rsidRPr="00345D2F" w:rsidRDefault="009D21FD" w:rsidP="009D21FD">
            <w:pPr>
              <w:rPr>
                <w:rFonts w:cs="Times New Roman"/>
                <w:sz w:val="28"/>
                <w:szCs w:val="28"/>
              </w:rPr>
            </w:pPr>
            <w:r w:rsidRPr="00345D2F">
              <w:rPr>
                <w:rFonts w:cs="Times New Roman"/>
                <w:sz w:val="28"/>
                <w:szCs w:val="28"/>
              </w:rPr>
              <w:t>ermC 2 F</w:t>
            </w:r>
          </w:p>
        </w:tc>
        <w:tc>
          <w:tcPr>
            <w:tcW w:w="2581"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ATCGTGGAATACGGGTTTGCT</w:t>
            </w:r>
          </w:p>
        </w:tc>
        <w:tc>
          <w:tcPr>
            <w:tcW w:w="527"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21</w:t>
            </w:r>
          </w:p>
        </w:tc>
        <w:tc>
          <w:tcPr>
            <w:tcW w:w="494"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47,6</w:t>
            </w:r>
          </w:p>
        </w:tc>
        <w:tc>
          <w:tcPr>
            <w:tcW w:w="630"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64,2</w:t>
            </w:r>
          </w:p>
        </w:tc>
      </w:tr>
      <w:tr w:rsidR="009D21FD" w:rsidRPr="00345D2F" w:rsidTr="00345D2F">
        <w:trPr>
          <w:trHeight w:val="58"/>
        </w:trPr>
        <w:tc>
          <w:tcPr>
            <w:tcW w:w="768" w:type="pct"/>
            <w:tcBorders>
              <w:top w:val="single" w:sz="4" w:space="0" w:color="auto"/>
              <w:left w:val="single" w:sz="4" w:space="0" w:color="auto"/>
              <w:bottom w:val="single" w:sz="4" w:space="0" w:color="auto"/>
              <w:right w:val="single" w:sz="4" w:space="0" w:color="auto"/>
            </w:tcBorders>
          </w:tcPr>
          <w:p w:rsidR="009D21FD" w:rsidRPr="00345D2F" w:rsidRDefault="009D21FD" w:rsidP="009D21FD">
            <w:pPr>
              <w:rPr>
                <w:rFonts w:cs="Times New Roman"/>
                <w:sz w:val="28"/>
                <w:szCs w:val="28"/>
              </w:rPr>
            </w:pPr>
            <w:r w:rsidRPr="00345D2F">
              <w:rPr>
                <w:rFonts w:cs="Times New Roman"/>
                <w:sz w:val="28"/>
                <w:szCs w:val="28"/>
              </w:rPr>
              <w:t>ermC 2 R</w:t>
            </w:r>
          </w:p>
        </w:tc>
        <w:tc>
          <w:tcPr>
            <w:tcW w:w="2581"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GTGAGCTATTCACTTTAGGTTTAGG</w:t>
            </w:r>
          </w:p>
        </w:tc>
        <w:tc>
          <w:tcPr>
            <w:tcW w:w="527"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25</w:t>
            </w:r>
          </w:p>
        </w:tc>
        <w:tc>
          <w:tcPr>
            <w:tcW w:w="494"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40</w:t>
            </w:r>
          </w:p>
        </w:tc>
        <w:tc>
          <w:tcPr>
            <w:tcW w:w="630"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61,2</w:t>
            </w:r>
          </w:p>
        </w:tc>
      </w:tr>
      <w:tr w:rsidR="009D21FD" w:rsidRPr="00345D2F" w:rsidTr="00345D2F">
        <w:trPr>
          <w:trHeight w:val="58"/>
        </w:trPr>
        <w:tc>
          <w:tcPr>
            <w:tcW w:w="768" w:type="pct"/>
            <w:tcBorders>
              <w:top w:val="single" w:sz="4" w:space="0" w:color="auto"/>
              <w:left w:val="single" w:sz="4" w:space="0" w:color="auto"/>
              <w:bottom w:val="single" w:sz="4" w:space="0" w:color="auto"/>
              <w:right w:val="single" w:sz="4" w:space="0" w:color="auto"/>
            </w:tcBorders>
          </w:tcPr>
          <w:p w:rsidR="009D21FD" w:rsidRPr="00345D2F" w:rsidRDefault="009D21FD" w:rsidP="009D21FD">
            <w:pPr>
              <w:rPr>
                <w:rFonts w:cs="Times New Roman"/>
                <w:sz w:val="28"/>
                <w:szCs w:val="28"/>
              </w:rPr>
            </w:pPr>
            <w:r w:rsidRPr="00345D2F">
              <w:rPr>
                <w:rFonts w:cs="Times New Roman"/>
                <w:sz w:val="28"/>
                <w:szCs w:val="28"/>
              </w:rPr>
              <w:t>ermC 2 OI</w:t>
            </w:r>
          </w:p>
        </w:tc>
        <w:tc>
          <w:tcPr>
            <w:tcW w:w="2581"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CGCTCATTGGCATTACTTTTAATGGCA</w:t>
            </w:r>
          </w:p>
        </w:tc>
        <w:tc>
          <w:tcPr>
            <w:tcW w:w="527"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27</w:t>
            </w:r>
          </w:p>
        </w:tc>
        <w:tc>
          <w:tcPr>
            <w:tcW w:w="494"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40,7</w:t>
            </w:r>
          </w:p>
        </w:tc>
        <w:tc>
          <w:tcPr>
            <w:tcW w:w="630"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66,5</w:t>
            </w:r>
          </w:p>
        </w:tc>
      </w:tr>
      <w:tr w:rsidR="009D21FD" w:rsidRPr="00345D2F" w:rsidTr="00345D2F">
        <w:trPr>
          <w:trHeight w:val="58"/>
        </w:trPr>
        <w:tc>
          <w:tcPr>
            <w:tcW w:w="768" w:type="pct"/>
            <w:tcBorders>
              <w:top w:val="single" w:sz="4" w:space="0" w:color="auto"/>
              <w:left w:val="single" w:sz="4" w:space="0" w:color="auto"/>
              <w:bottom w:val="single" w:sz="4" w:space="0" w:color="auto"/>
              <w:right w:val="single" w:sz="4" w:space="0" w:color="auto"/>
            </w:tcBorders>
          </w:tcPr>
          <w:p w:rsidR="009D21FD" w:rsidRPr="00345D2F" w:rsidRDefault="009D21FD" w:rsidP="009D21FD">
            <w:pPr>
              <w:rPr>
                <w:rFonts w:cs="Times New Roman"/>
                <w:sz w:val="28"/>
                <w:szCs w:val="28"/>
              </w:rPr>
            </w:pPr>
            <w:r w:rsidRPr="00345D2F">
              <w:rPr>
                <w:rFonts w:cs="Times New Roman"/>
                <w:sz w:val="28"/>
                <w:szCs w:val="28"/>
              </w:rPr>
              <w:t>TetK 1 F</w:t>
            </w:r>
          </w:p>
        </w:tc>
        <w:tc>
          <w:tcPr>
            <w:tcW w:w="2581"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TCGATAGGAACAGCAGTATATGGA</w:t>
            </w:r>
          </w:p>
        </w:tc>
        <w:tc>
          <w:tcPr>
            <w:tcW w:w="527"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24</w:t>
            </w:r>
          </w:p>
        </w:tc>
        <w:tc>
          <w:tcPr>
            <w:tcW w:w="494"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41,7</w:t>
            </w:r>
          </w:p>
        </w:tc>
        <w:tc>
          <w:tcPr>
            <w:tcW w:w="630"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62,7</w:t>
            </w:r>
          </w:p>
        </w:tc>
      </w:tr>
      <w:tr w:rsidR="009D21FD" w:rsidRPr="00345D2F" w:rsidTr="00345D2F">
        <w:trPr>
          <w:trHeight w:val="58"/>
        </w:trPr>
        <w:tc>
          <w:tcPr>
            <w:tcW w:w="768" w:type="pct"/>
            <w:tcBorders>
              <w:top w:val="single" w:sz="4" w:space="0" w:color="auto"/>
              <w:left w:val="single" w:sz="4" w:space="0" w:color="auto"/>
              <w:bottom w:val="single" w:sz="4" w:space="0" w:color="auto"/>
              <w:right w:val="single" w:sz="4" w:space="0" w:color="auto"/>
            </w:tcBorders>
          </w:tcPr>
          <w:p w:rsidR="009D21FD" w:rsidRPr="00345D2F" w:rsidRDefault="009D21FD" w:rsidP="009D21FD">
            <w:pPr>
              <w:rPr>
                <w:rFonts w:cs="Times New Roman"/>
                <w:sz w:val="28"/>
                <w:szCs w:val="28"/>
              </w:rPr>
            </w:pPr>
            <w:r w:rsidRPr="00345D2F">
              <w:rPr>
                <w:rFonts w:cs="Times New Roman"/>
                <w:sz w:val="28"/>
                <w:szCs w:val="28"/>
              </w:rPr>
              <w:t>TetK 1 R</w:t>
            </w:r>
          </w:p>
        </w:tc>
        <w:tc>
          <w:tcPr>
            <w:tcW w:w="2581"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GCAGATCCTACTCCTTGTACTAACC</w:t>
            </w:r>
          </w:p>
        </w:tc>
        <w:tc>
          <w:tcPr>
            <w:tcW w:w="527"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25</w:t>
            </w:r>
          </w:p>
        </w:tc>
        <w:tc>
          <w:tcPr>
            <w:tcW w:w="494"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48</w:t>
            </w:r>
          </w:p>
        </w:tc>
        <w:tc>
          <w:tcPr>
            <w:tcW w:w="630"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63,6</w:t>
            </w:r>
          </w:p>
        </w:tc>
      </w:tr>
      <w:tr w:rsidR="009D21FD" w:rsidRPr="00345D2F" w:rsidTr="00345D2F">
        <w:trPr>
          <w:trHeight w:val="58"/>
        </w:trPr>
        <w:tc>
          <w:tcPr>
            <w:tcW w:w="768" w:type="pct"/>
            <w:tcBorders>
              <w:top w:val="single" w:sz="4" w:space="0" w:color="auto"/>
              <w:left w:val="single" w:sz="4" w:space="0" w:color="auto"/>
              <w:bottom w:val="single" w:sz="4" w:space="0" w:color="auto"/>
              <w:right w:val="single" w:sz="4" w:space="0" w:color="auto"/>
            </w:tcBorders>
          </w:tcPr>
          <w:p w:rsidR="009D21FD" w:rsidRPr="00345D2F" w:rsidRDefault="009D21FD" w:rsidP="009D21FD">
            <w:pPr>
              <w:rPr>
                <w:rFonts w:cs="Times New Roman"/>
                <w:sz w:val="28"/>
                <w:szCs w:val="28"/>
              </w:rPr>
            </w:pPr>
            <w:r w:rsidRPr="00345D2F">
              <w:rPr>
                <w:rFonts w:cs="Times New Roman"/>
                <w:sz w:val="28"/>
                <w:szCs w:val="28"/>
              </w:rPr>
              <w:t>TetK 1 OI</w:t>
            </w:r>
          </w:p>
        </w:tc>
        <w:tc>
          <w:tcPr>
            <w:tcW w:w="2581"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ascii="Courier New" w:hAnsi="Courier New" w:cs="Courier New"/>
                <w:sz w:val="28"/>
                <w:szCs w:val="28"/>
              </w:rPr>
            </w:pPr>
            <w:r w:rsidRPr="00345D2F">
              <w:rPr>
                <w:rFonts w:ascii="Courier New" w:hAnsi="Courier New" w:cs="Courier New"/>
                <w:sz w:val="28"/>
                <w:szCs w:val="28"/>
              </w:rPr>
              <w:t>TGAGCTGTCTTGGTTCATTGATTGCT</w:t>
            </w:r>
          </w:p>
        </w:tc>
        <w:tc>
          <w:tcPr>
            <w:tcW w:w="527"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26</w:t>
            </w:r>
          </w:p>
        </w:tc>
        <w:tc>
          <w:tcPr>
            <w:tcW w:w="494"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42,3</w:t>
            </w:r>
          </w:p>
        </w:tc>
        <w:tc>
          <w:tcPr>
            <w:tcW w:w="630" w:type="pct"/>
            <w:tcBorders>
              <w:top w:val="single" w:sz="4" w:space="0" w:color="auto"/>
              <w:left w:val="single" w:sz="4" w:space="0" w:color="auto"/>
              <w:bottom w:val="single" w:sz="4" w:space="0" w:color="auto"/>
              <w:right w:val="single" w:sz="4" w:space="0" w:color="auto"/>
            </w:tcBorders>
            <w:shd w:val="clear" w:color="auto" w:fill="auto"/>
            <w:noWrap/>
            <w:hideMark/>
          </w:tcPr>
          <w:p w:rsidR="009D21FD" w:rsidRPr="00345D2F" w:rsidRDefault="009D21FD" w:rsidP="00345D2F">
            <w:pPr>
              <w:jc w:val="center"/>
              <w:rPr>
                <w:rFonts w:cs="Times New Roman"/>
                <w:sz w:val="28"/>
                <w:szCs w:val="28"/>
              </w:rPr>
            </w:pPr>
            <w:r w:rsidRPr="00345D2F">
              <w:rPr>
                <w:rFonts w:cs="Times New Roman"/>
                <w:sz w:val="28"/>
                <w:szCs w:val="28"/>
              </w:rPr>
              <w:t>66,9</w:t>
            </w:r>
          </w:p>
        </w:tc>
      </w:tr>
    </w:tbl>
    <w:p w:rsidR="009D21FD" w:rsidRDefault="009D21FD" w:rsidP="009D21FD">
      <w:pPr>
        <w:rPr>
          <w:sz w:val="28"/>
        </w:rPr>
      </w:pPr>
    </w:p>
    <w:p w:rsidR="009D21FD" w:rsidRPr="009D21FD" w:rsidRDefault="009D21FD" w:rsidP="00053C28">
      <w:pPr>
        <w:ind w:firstLine="709"/>
        <w:rPr>
          <w:sz w:val="28"/>
        </w:rPr>
      </w:pPr>
      <w:r w:rsidRPr="009D21FD">
        <w:rPr>
          <w:sz w:val="28"/>
        </w:rPr>
        <w:t>Из таблицы видно, что праймеры и зонды имеют сходные физические характеристики, что важно при разработке мультиплексных ПЦР-реакций, где одновременно происходит амплификация нескольких целевых участков ДНК. Однако, расчетная температура отжига (annealing temperature) может различаться для разных праймеров и зондов. Краситель (fluorophore) и гаситель (quencher) на зонде, используемые в реакции РТ-ПЦР, могут влиять на температуру плавления. Этот эффект связан с химическими и физическими свойствами этих компонентов. При конструировании зондов данный момент учтен и расчетная температура зондов выше, чем у праймеров. Поэтому при оптимизации реакции ПЦР с зондами следует учитывать эти дополнительные факторы, чтобы обеспечить эффективное и специфичное амплифицирование целевых участков ДНК.</w:t>
      </w:r>
    </w:p>
    <w:p w:rsidR="009D21FD" w:rsidRPr="009D21FD" w:rsidRDefault="009D21FD" w:rsidP="00053C28">
      <w:pPr>
        <w:ind w:firstLine="709"/>
        <w:rPr>
          <w:sz w:val="28"/>
        </w:rPr>
      </w:pPr>
      <w:r w:rsidRPr="009D21FD">
        <w:rPr>
          <w:sz w:val="28"/>
        </w:rPr>
        <w:t>Работа по отработке и оптимизации реакции проводилась с использованием блока VeriFlex в диапазоне от 60 до 65⁰ C, прибор QuantStudio 5 (Applied Biosystems) (рисунок 36).</w:t>
      </w:r>
    </w:p>
    <w:p w:rsidR="009D21FD" w:rsidRDefault="009D21FD" w:rsidP="009D21FD">
      <w:pPr>
        <w:rPr>
          <w:sz w:val="28"/>
        </w:rPr>
      </w:pPr>
    </w:p>
    <w:p w:rsidR="009D21FD" w:rsidRPr="009D21FD" w:rsidRDefault="009D21FD" w:rsidP="00053C28">
      <w:pPr>
        <w:jc w:val="center"/>
        <w:rPr>
          <w:sz w:val="28"/>
          <w:szCs w:val="28"/>
        </w:rPr>
      </w:pPr>
      <w:r w:rsidRPr="009D21FD">
        <w:rPr>
          <w:noProof/>
          <w:sz w:val="28"/>
          <w:szCs w:val="28"/>
          <w:lang w:eastAsia="ru-RU"/>
        </w:rPr>
        <w:lastRenderedPageBreak/>
        <w:drawing>
          <wp:inline distT="0" distB="0" distL="0" distR="0" wp14:anchorId="60EC36AB" wp14:editId="60FA3A20">
            <wp:extent cx="3809494" cy="2956560"/>
            <wp:effectExtent l="0" t="0" r="635" b="0"/>
            <wp:docPr id="19" name="Рисунок 19" descr="C:\Users\User\Моноблок\Байменов\2025 год\докторантура\материалы и методы\Рисунки\Рисунок 25 – Блок VeriFlex. Диапазон от 60 до 65⁰ 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Моноблок\Байменов\2025 год\докторантура\материалы и методы\Рисунки\Рисунок 25 – Блок VeriFlex. Диапазон от 60 до 65⁰ C.tiff"/>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876139" cy="3008284"/>
                    </a:xfrm>
                    <a:prstGeom prst="rect">
                      <a:avLst/>
                    </a:prstGeom>
                    <a:noFill/>
                    <a:ln>
                      <a:noFill/>
                    </a:ln>
                  </pic:spPr>
                </pic:pic>
              </a:graphicData>
            </a:graphic>
          </wp:inline>
        </w:drawing>
      </w:r>
    </w:p>
    <w:p w:rsidR="009D21FD" w:rsidRPr="009D21FD" w:rsidRDefault="009D21FD" w:rsidP="00053C28">
      <w:pPr>
        <w:jc w:val="center"/>
        <w:rPr>
          <w:sz w:val="28"/>
          <w:szCs w:val="28"/>
        </w:rPr>
      </w:pPr>
      <w:r w:rsidRPr="009D21FD">
        <w:rPr>
          <w:sz w:val="28"/>
          <w:szCs w:val="28"/>
        </w:rPr>
        <w:t>Рисунок 36 – Блок VeriFlex. Диапазон от 60 до 65⁰ C</w:t>
      </w:r>
    </w:p>
    <w:p w:rsidR="009D21FD" w:rsidRPr="009D21FD" w:rsidRDefault="009D21FD" w:rsidP="009D21FD">
      <w:pPr>
        <w:rPr>
          <w:sz w:val="28"/>
          <w:szCs w:val="28"/>
        </w:rPr>
      </w:pPr>
    </w:p>
    <w:p w:rsidR="009D21FD" w:rsidRPr="009D21FD" w:rsidRDefault="009D21FD" w:rsidP="00053C28">
      <w:pPr>
        <w:ind w:firstLine="709"/>
        <w:rPr>
          <w:sz w:val="28"/>
          <w:szCs w:val="28"/>
        </w:rPr>
      </w:pPr>
      <w:r w:rsidRPr="009D21FD">
        <w:rPr>
          <w:sz w:val="28"/>
          <w:szCs w:val="28"/>
        </w:rPr>
        <w:t xml:space="preserve">В эксперименте использовали стандартную температуру денатурации 95°C в течение 5 минут, что обычно является типичным шагом для начальной денатурации в большинстве протоколов ПЦР. Также, короткие амплифицируемые фрагменты (не более 200 пар оснований) оправдывают использование короткого времени денатурации в циклах, равного 10 секундам при 94°C (таблица 17, рисунок 37). </w:t>
      </w:r>
    </w:p>
    <w:p w:rsidR="009D21FD" w:rsidRPr="009D21FD" w:rsidRDefault="009D21FD" w:rsidP="00053C28">
      <w:pPr>
        <w:ind w:firstLine="709"/>
        <w:rPr>
          <w:sz w:val="28"/>
          <w:szCs w:val="28"/>
        </w:rPr>
      </w:pPr>
      <w:r w:rsidRPr="009D21FD">
        <w:rPr>
          <w:sz w:val="28"/>
          <w:szCs w:val="28"/>
        </w:rPr>
        <w:t xml:space="preserve">В качестве матрицы использовали ДНК </w:t>
      </w:r>
      <w:r w:rsidR="007A7888" w:rsidRPr="007A7888">
        <w:rPr>
          <w:i/>
          <w:sz w:val="28"/>
          <w:szCs w:val="28"/>
        </w:rPr>
        <w:t>S. aureus</w:t>
      </w:r>
      <w:r w:rsidRPr="009D21FD">
        <w:rPr>
          <w:sz w:val="28"/>
          <w:szCs w:val="28"/>
        </w:rPr>
        <w:t>, в которых выявлены гены резистентности BlaZ, ermC, TetK.</w:t>
      </w:r>
    </w:p>
    <w:p w:rsidR="009D21FD" w:rsidRPr="009D21FD" w:rsidRDefault="009D21FD" w:rsidP="009D21FD">
      <w:pPr>
        <w:rPr>
          <w:sz w:val="28"/>
          <w:szCs w:val="28"/>
        </w:rPr>
      </w:pPr>
    </w:p>
    <w:p w:rsidR="009D21FD" w:rsidRDefault="009D21FD" w:rsidP="00345D2F">
      <w:pPr>
        <w:jc w:val="left"/>
        <w:rPr>
          <w:sz w:val="28"/>
          <w:szCs w:val="28"/>
        </w:rPr>
      </w:pPr>
      <w:r w:rsidRPr="009D21FD">
        <w:rPr>
          <w:sz w:val="28"/>
          <w:szCs w:val="28"/>
        </w:rPr>
        <w:t>Таблица 17 – Температурно-временной режим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2150"/>
        <w:gridCol w:w="1266"/>
        <w:gridCol w:w="1156"/>
        <w:gridCol w:w="4489"/>
      </w:tblGrid>
      <w:tr w:rsidR="009D21FD" w:rsidRPr="009D21FD" w:rsidTr="006F2F87">
        <w:trPr>
          <w:trHeight w:val="654"/>
        </w:trPr>
        <w:tc>
          <w:tcPr>
            <w:tcW w:w="0" w:type="auto"/>
            <w:shd w:val="clear" w:color="auto" w:fill="auto"/>
            <w:vAlign w:val="center"/>
            <w:hideMark/>
          </w:tcPr>
          <w:p w:rsidR="009D21FD" w:rsidRPr="009D21FD" w:rsidRDefault="009D21FD" w:rsidP="009D21FD">
            <w:pPr>
              <w:rPr>
                <w:sz w:val="28"/>
                <w:szCs w:val="28"/>
              </w:rPr>
            </w:pPr>
            <w:r w:rsidRPr="009D21FD">
              <w:rPr>
                <w:sz w:val="28"/>
                <w:szCs w:val="28"/>
              </w:rPr>
              <w:t>Блок</w:t>
            </w:r>
          </w:p>
        </w:tc>
        <w:tc>
          <w:tcPr>
            <w:tcW w:w="2150" w:type="dxa"/>
            <w:vAlign w:val="center"/>
          </w:tcPr>
          <w:p w:rsidR="009D21FD" w:rsidRPr="009D21FD" w:rsidRDefault="009D21FD" w:rsidP="009D21FD">
            <w:pPr>
              <w:rPr>
                <w:sz w:val="28"/>
                <w:szCs w:val="28"/>
              </w:rPr>
            </w:pPr>
            <w:r w:rsidRPr="009D21FD">
              <w:rPr>
                <w:sz w:val="28"/>
                <w:szCs w:val="28"/>
              </w:rPr>
              <w:t>Количество циклов</w:t>
            </w:r>
          </w:p>
        </w:tc>
        <w:tc>
          <w:tcPr>
            <w:tcW w:w="1266" w:type="dxa"/>
            <w:shd w:val="clear" w:color="auto" w:fill="auto"/>
            <w:vAlign w:val="center"/>
            <w:hideMark/>
          </w:tcPr>
          <w:p w:rsidR="009D21FD" w:rsidRPr="009D21FD" w:rsidRDefault="009D21FD" w:rsidP="009D21FD">
            <w:pPr>
              <w:rPr>
                <w:sz w:val="28"/>
                <w:szCs w:val="28"/>
              </w:rPr>
            </w:pPr>
            <w:r w:rsidRPr="009D21FD">
              <w:rPr>
                <w:sz w:val="28"/>
                <w:szCs w:val="28"/>
              </w:rPr>
              <w:t>Tm</w:t>
            </w:r>
          </w:p>
        </w:tc>
        <w:tc>
          <w:tcPr>
            <w:tcW w:w="0" w:type="auto"/>
            <w:shd w:val="clear" w:color="auto" w:fill="auto"/>
            <w:vAlign w:val="center"/>
            <w:hideMark/>
          </w:tcPr>
          <w:p w:rsidR="009D21FD" w:rsidRPr="009D21FD" w:rsidRDefault="009D21FD" w:rsidP="009D21FD">
            <w:pPr>
              <w:rPr>
                <w:sz w:val="28"/>
                <w:szCs w:val="28"/>
              </w:rPr>
            </w:pPr>
            <w:r w:rsidRPr="009D21FD">
              <w:rPr>
                <w:sz w:val="28"/>
                <w:szCs w:val="28"/>
              </w:rPr>
              <w:t>Время</w:t>
            </w:r>
          </w:p>
          <w:p w:rsidR="009D21FD" w:rsidRPr="009D21FD" w:rsidRDefault="009D21FD" w:rsidP="009D21FD">
            <w:pPr>
              <w:rPr>
                <w:sz w:val="28"/>
                <w:szCs w:val="28"/>
              </w:rPr>
            </w:pPr>
            <w:r w:rsidRPr="009D21FD">
              <w:rPr>
                <w:sz w:val="28"/>
                <w:szCs w:val="28"/>
              </w:rPr>
              <w:t>мин/сек</w:t>
            </w:r>
          </w:p>
        </w:tc>
        <w:tc>
          <w:tcPr>
            <w:tcW w:w="0" w:type="auto"/>
            <w:shd w:val="clear" w:color="auto" w:fill="auto"/>
            <w:vAlign w:val="center"/>
            <w:hideMark/>
          </w:tcPr>
          <w:p w:rsidR="009D21FD" w:rsidRPr="009D21FD" w:rsidRDefault="009D21FD" w:rsidP="009D21FD">
            <w:pPr>
              <w:jc w:val="left"/>
              <w:rPr>
                <w:sz w:val="28"/>
                <w:szCs w:val="28"/>
              </w:rPr>
            </w:pPr>
            <w:r w:rsidRPr="009D21FD">
              <w:rPr>
                <w:sz w:val="28"/>
                <w:szCs w:val="28"/>
              </w:rPr>
              <w:t>Система детекции (регистрации) сигнала</w:t>
            </w:r>
          </w:p>
        </w:tc>
      </w:tr>
      <w:tr w:rsidR="009D21FD" w:rsidRPr="009D21FD" w:rsidTr="006F2F87">
        <w:trPr>
          <w:trHeight w:val="288"/>
        </w:trPr>
        <w:tc>
          <w:tcPr>
            <w:tcW w:w="0" w:type="auto"/>
            <w:shd w:val="clear" w:color="auto" w:fill="auto"/>
            <w:vAlign w:val="center"/>
            <w:hideMark/>
          </w:tcPr>
          <w:p w:rsidR="009D21FD" w:rsidRPr="009D21FD" w:rsidRDefault="009D21FD" w:rsidP="009D21FD">
            <w:pPr>
              <w:rPr>
                <w:sz w:val="28"/>
                <w:szCs w:val="28"/>
              </w:rPr>
            </w:pPr>
            <w:r w:rsidRPr="009D21FD">
              <w:rPr>
                <w:sz w:val="28"/>
                <w:szCs w:val="28"/>
              </w:rPr>
              <w:t>№ 1</w:t>
            </w:r>
          </w:p>
        </w:tc>
        <w:tc>
          <w:tcPr>
            <w:tcW w:w="2150" w:type="dxa"/>
            <w:vAlign w:val="center"/>
          </w:tcPr>
          <w:p w:rsidR="009D21FD" w:rsidRPr="009D21FD" w:rsidRDefault="009D21FD" w:rsidP="009D21FD">
            <w:pPr>
              <w:rPr>
                <w:sz w:val="28"/>
                <w:szCs w:val="28"/>
              </w:rPr>
            </w:pPr>
            <w:r w:rsidRPr="009D21FD">
              <w:rPr>
                <w:sz w:val="28"/>
                <w:szCs w:val="28"/>
              </w:rPr>
              <w:t>1</w:t>
            </w:r>
          </w:p>
        </w:tc>
        <w:tc>
          <w:tcPr>
            <w:tcW w:w="1266" w:type="dxa"/>
            <w:shd w:val="clear" w:color="auto" w:fill="auto"/>
            <w:vAlign w:val="center"/>
            <w:hideMark/>
          </w:tcPr>
          <w:p w:rsidR="009D21FD" w:rsidRPr="009D21FD" w:rsidRDefault="009D21FD" w:rsidP="009D21FD">
            <w:pPr>
              <w:rPr>
                <w:sz w:val="28"/>
                <w:szCs w:val="28"/>
              </w:rPr>
            </w:pPr>
            <w:r w:rsidRPr="009D21FD">
              <w:rPr>
                <w:sz w:val="28"/>
                <w:szCs w:val="28"/>
              </w:rPr>
              <w:t>95⁰C</w:t>
            </w:r>
          </w:p>
        </w:tc>
        <w:tc>
          <w:tcPr>
            <w:tcW w:w="0" w:type="auto"/>
            <w:shd w:val="clear" w:color="auto" w:fill="auto"/>
            <w:vAlign w:val="center"/>
            <w:hideMark/>
          </w:tcPr>
          <w:p w:rsidR="009D21FD" w:rsidRPr="009D21FD" w:rsidRDefault="009D21FD" w:rsidP="009D21FD">
            <w:pPr>
              <w:rPr>
                <w:sz w:val="28"/>
                <w:szCs w:val="28"/>
              </w:rPr>
            </w:pPr>
            <w:r w:rsidRPr="009D21FD">
              <w:rPr>
                <w:sz w:val="28"/>
                <w:szCs w:val="28"/>
              </w:rPr>
              <w:t>5/0</w:t>
            </w:r>
          </w:p>
        </w:tc>
        <w:tc>
          <w:tcPr>
            <w:tcW w:w="0" w:type="auto"/>
            <w:shd w:val="clear" w:color="auto" w:fill="auto"/>
            <w:vAlign w:val="center"/>
            <w:hideMark/>
          </w:tcPr>
          <w:p w:rsidR="009D21FD" w:rsidRPr="009D21FD" w:rsidRDefault="009D21FD" w:rsidP="009D21FD">
            <w:pPr>
              <w:rPr>
                <w:sz w:val="28"/>
                <w:szCs w:val="28"/>
              </w:rPr>
            </w:pPr>
            <w:r w:rsidRPr="009D21FD">
              <w:rPr>
                <w:sz w:val="28"/>
                <w:szCs w:val="28"/>
              </w:rPr>
              <w:t>отсутствует</w:t>
            </w:r>
          </w:p>
        </w:tc>
      </w:tr>
      <w:tr w:rsidR="009D21FD" w:rsidRPr="009D21FD" w:rsidTr="006F2F87">
        <w:trPr>
          <w:trHeight w:val="288"/>
        </w:trPr>
        <w:tc>
          <w:tcPr>
            <w:tcW w:w="0" w:type="auto"/>
            <w:vMerge w:val="restart"/>
            <w:shd w:val="clear" w:color="auto" w:fill="auto"/>
            <w:vAlign w:val="center"/>
            <w:hideMark/>
          </w:tcPr>
          <w:p w:rsidR="009D21FD" w:rsidRPr="009D21FD" w:rsidRDefault="009D21FD" w:rsidP="009D21FD">
            <w:pPr>
              <w:rPr>
                <w:sz w:val="28"/>
                <w:szCs w:val="28"/>
              </w:rPr>
            </w:pPr>
            <w:r w:rsidRPr="009D21FD">
              <w:rPr>
                <w:sz w:val="28"/>
                <w:szCs w:val="28"/>
              </w:rPr>
              <w:t>№ 2</w:t>
            </w:r>
          </w:p>
        </w:tc>
        <w:tc>
          <w:tcPr>
            <w:tcW w:w="2150" w:type="dxa"/>
            <w:vMerge w:val="restart"/>
            <w:vAlign w:val="center"/>
          </w:tcPr>
          <w:p w:rsidR="009D21FD" w:rsidRPr="009D21FD" w:rsidRDefault="009D21FD" w:rsidP="009D21FD">
            <w:pPr>
              <w:rPr>
                <w:sz w:val="28"/>
                <w:szCs w:val="28"/>
              </w:rPr>
            </w:pPr>
            <w:r w:rsidRPr="009D21FD">
              <w:rPr>
                <w:sz w:val="28"/>
                <w:szCs w:val="28"/>
              </w:rPr>
              <w:t>40</w:t>
            </w:r>
          </w:p>
        </w:tc>
        <w:tc>
          <w:tcPr>
            <w:tcW w:w="1266" w:type="dxa"/>
            <w:shd w:val="clear" w:color="auto" w:fill="auto"/>
            <w:vAlign w:val="center"/>
            <w:hideMark/>
          </w:tcPr>
          <w:p w:rsidR="009D21FD" w:rsidRPr="009D21FD" w:rsidRDefault="009D21FD" w:rsidP="009D21FD">
            <w:pPr>
              <w:rPr>
                <w:sz w:val="28"/>
                <w:szCs w:val="28"/>
              </w:rPr>
            </w:pPr>
            <w:r w:rsidRPr="009D21FD">
              <w:rPr>
                <w:sz w:val="28"/>
                <w:szCs w:val="28"/>
              </w:rPr>
              <w:t>94⁰C</w:t>
            </w:r>
          </w:p>
        </w:tc>
        <w:tc>
          <w:tcPr>
            <w:tcW w:w="0" w:type="auto"/>
            <w:shd w:val="clear" w:color="auto" w:fill="auto"/>
            <w:vAlign w:val="center"/>
            <w:hideMark/>
          </w:tcPr>
          <w:p w:rsidR="009D21FD" w:rsidRPr="009D21FD" w:rsidRDefault="009D21FD" w:rsidP="009D21FD">
            <w:pPr>
              <w:rPr>
                <w:sz w:val="28"/>
                <w:szCs w:val="28"/>
              </w:rPr>
            </w:pPr>
            <w:r w:rsidRPr="009D21FD">
              <w:rPr>
                <w:sz w:val="28"/>
                <w:szCs w:val="28"/>
              </w:rPr>
              <w:t>0/10</w:t>
            </w:r>
          </w:p>
        </w:tc>
        <w:tc>
          <w:tcPr>
            <w:tcW w:w="0" w:type="auto"/>
            <w:shd w:val="clear" w:color="auto" w:fill="auto"/>
            <w:vAlign w:val="center"/>
            <w:hideMark/>
          </w:tcPr>
          <w:p w:rsidR="009D21FD" w:rsidRPr="009D21FD" w:rsidRDefault="009D21FD" w:rsidP="009D21FD">
            <w:pPr>
              <w:rPr>
                <w:sz w:val="28"/>
                <w:szCs w:val="28"/>
              </w:rPr>
            </w:pPr>
            <w:r w:rsidRPr="009D21FD">
              <w:rPr>
                <w:sz w:val="28"/>
                <w:szCs w:val="28"/>
              </w:rPr>
              <w:t>отсутствует</w:t>
            </w:r>
          </w:p>
        </w:tc>
      </w:tr>
      <w:tr w:rsidR="009D21FD" w:rsidRPr="009D21FD" w:rsidTr="006F2F87">
        <w:trPr>
          <w:trHeight w:val="288"/>
        </w:trPr>
        <w:tc>
          <w:tcPr>
            <w:tcW w:w="0" w:type="auto"/>
            <w:vMerge/>
            <w:hideMark/>
          </w:tcPr>
          <w:p w:rsidR="009D21FD" w:rsidRPr="009D21FD" w:rsidRDefault="009D21FD" w:rsidP="009D21FD">
            <w:pPr>
              <w:rPr>
                <w:sz w:val="28"/>
                <w:szCs w:val="28"/>
              </w:rPr>
            </w:pPr>
          </w:p>
        </w:tc>
        <w:tc>
          <w:tcPr>
            <w:tcW w:w="2150" w:type="dxa"/>
            <w:vMerge/>
          </w:tcPr>
          <w:p w:rsidR="009D21FD" w:rsidRPr="009D21FD" w:rsidRDefault="009D21FD" w:rsidP="009D21FD">
            <w:pPr>
              <w:rPr>
                <w:sz w:val="28"/>
                <w:szCs w:val="28"/>
              </w:rPr>
            </w:pPr>
          </w:p>
        </w:tc>
        <w:tc>
          <w:tcPr>
            <w:tcW w:w="1266" w:type="dxa"/>
            <w:shd w:val="clear" w:color="auto" w:fill="auto"/>
            <w:vAlign w:val="center"/>
            <w:hideMark/>
          </w:tcPr>
          <w:p w:rsidR="009D21FD" w:rsidRPr="009D21FD" w:rsidRDefault="009D21FD" w:rsidP="009D21FD">
            <w:pPr>
              <w:rPr>
                <w:sz w:val="28"/>
                <w:szCs w:val="28"/>
              </w:rPr>
            </w:pPr>
            <w:r w:rsidRPr="009D21FD">
              <w:rPr>
                <w:sz w:val="28"/>
                <w:szCs w:val="28"/>
              </w:rPr>
              <w:t>60-65⁰C</w:t>
            </w:r>
          </w:p>
        </w:tc>
        <w:tc>
          <w:tcPr>
            <w:tcW w:w="0" w:type="auto"/>
            <w:shd w:val="clear" w:color="auto" w:fill="auto"/>
            <w:vAlign w:val="center"/>
            <w:hideMark/>
          </w:tcPr>
          <w:p w:rsidR="009D21FD" w:rsidRPr="009D21FD" w:rsidRDefault="009D21FD" w:rsidP="009D21FD">
            <w:pPr>
              <w:rPr>
                <w:sz w:val="28"/>
                <w:szCs w:val="28"/>
              </w:rPr>
            </w:pPr>
            <w:r w:rsidRPr="009D21FD">
              <w:rPr>
                <w:sz w:val="28"/>
                <w:szCs w:val="28"/>
              </w:rPr>
              <w:t>0/20</w:t>
            </w:r>
          </w:p>
        </w:tc>
        <w:tc>
          <w:tcPr>
            <w:tcW w:w="0" w:type="auto"/>
            <w:shd w:val="clear" w:color="auto" w:fill="auto"/>
            <w:vAlign w:val="center"/>
            <w:hideMark/>
          </w:tcPr>
          <w:p w:rsidR="009D21FD" w:rsidRPr="009D21FD" w:rsidRDefault="009D21FD" w:rsidP="009D21FD">
            <w:pPr>
              <w:rPr>
                <w:sz w:val="28"/>
                <w:szCs w:val="28"/>
              </w:rPr>
            </w:pPr>
            <w:r w:rsidRPr="009D21FD">
              <w:rPr>
                <w:sz w:val="28"/>
                <w:szCs w:val="28"/>
              </w:rPr>
              <w:t xml:space="preserve">FAM, </w:t>
            </w:r>
            <w:r w:rsidR="001F2EB0">
              <w:rPr>
                <w:sz w:val="28"/>
                <w:szCs w:val="28"/>
              </w:rPr>
              <w:t>HEX</w:t>
            </w:r>
            <w:r w:rsidRPr="009D21FD">
              <w:rPr>
                <w:sz w:val="28"/>
                <w:szCs w:val="28"/>
              </w:rPr>
              <w:t xml:space="preserve">, ROX, </w:t>
            </w:r>
            <w:r w:rsidR="001F2EB0">
              <w:rPr>
                <w:sz w:val="28"/>
                <w:szCs w:val="28"/>
              </w:rPr>
              <w:t>CY5</w:t>
            </w:r>
          </w:p>
        </w:tc>
      </w:tr>
    </w:tbl>
    <w:p w:rsidR="009D21FD" w:rsidRDefault="009D21FD" w:rsidP="009D21FD">
      <w:pPr>
        <w:rPr>
          <w:sz w:val="28"/>
          <w:szCs w:val="28"/>
        </w:rPr>
      </w:pPr>
    </w:p>
    <w:p w:rsidR="009D21FD" w:rsidRPr="009D21FD" w:rsidRDefault="009D21FD" w:rsidP="00053C28">
      <w:pPr>
        <w:jc w:val="center"/>
        <w:rPr>
          <w:sz w:val="28"/>
        </w:rPr>
      </w:pPr>
      <w:r w:rsidRPr="009D21FD">
        <w:rPr>
          <w:noProof/>
          <w:sz w:val="28"/>
          <w:lang w:eastAsia="ru-RU"/>
        </w:rPr>
        <w:lastRenderedPageBreak/>
        <w:drawing>
          <wp:inline distT="0" distB="0" distL="0" distR="0" wp14:anchorId="7A94CF10" wp14:editId="39D8992A">
            <wp:extent cx="3920176" cy="3368040"/>
            <wp:effectExtent l="0" t="0" r="4445" b="3810"/>
            <wp:docPr id="10" name="Рисунок 10" descr="C:\Users\User\Моноблок\Байменов\2025 год\докторантура\материалы и методы\Рисунки\Рисунок 26 – Температурно-временной режим эксперимента.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Моноблок\Байменов\2025 год\докторантура\материалы и методы\Рисунки\Рисунок 26 – Температурно-временной режим эксперимента.tiff"/>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966969" cy="3408242"/>
                    </a:xfrm>
                    <a:prstGeom prst="rect">
                      <a:avLst/>
                    </a:prstGeom>
                    <a:noFill/>
                    <a:ln>
                      <a:noFill/>
                    </a:ln>
                  </pic:spPr>
                </pic:pic>
              </a:graphicData>
            </a:graphic>
          </wp:inline>
        </w:drawing>
      </w:r>
    </w:p>
    <w:p w:rsidR="009D21FD" w:rsidRPr="009D21FD" w:rsidRDefault="009D21FD" w:rsidP="00053C28">
      <w:pPr>
        <w:jc w:val="center"/>
        <w:rPr>
          <w:sz w:val="28"/>
        </w:rPr>
      </w:pPr>
      <w:r w:rsidRPr="009D21FD">
        <w:rPr>
          <w:sz w:val="28"/>
        </w:rPr>
        <w:t>Рисунок 37 – Температурно-временной режим эксперимента</w:t>
      </w:r>
    </w:p>
    <w:p w:rsidR="009D21FD" w:rsidRPr="009D21FD" w:rsidRDefault="009D21FD" w:rsidP="009D21FD">
      <w:pPr>
        <w:rPr>
          <w:sz w:val="28"/>
        </w:rPr>
      </w:pPr>
    </w:p>
    <w:p w:rsidR="009D21FD" w:rsidRPr="009D21FD" w:rsidRDefault="009D21FD" w:rsidP="00053C28">
      <w:pPr>
        <w:ind w:firstLine="709"/>
        <w:rPr>
          <w:sz w:val="28"/>
        </w:rPr>
      </w:pPr>
      <w:r w:rsidRPr="009D21FD">
        <w:rPr>
          <w:sz w:val="28"/>
        </w:rPr>
        <w:t>Расположение образцов в блоке представлено в таблице 18.</w:t>
      </w:r>
    </w:p>
    <w:p w:rsidR="009D21FD" w:rsidRPr="009D21FD" w:rsidRDefault="009D21FD" w:rsidP="009D21FD">
      <w:pPr>
        <w:rPr>
          <w:sz w:val="28"/>
        </w:rPr>
      </w:pPr>
    </w:p>
    <w:p w:rsidR="009D21FD" w:rsidRDefault="009D21FD" w:rsidP="009D21FD">
      <w:pPr>
        <w:rPr>
          <w:sz w:val="28"/>
        </w:rPr>
      </w:pPr>
      <w:r w:rsidRPr="009D21FD">
        <w:rPr>
          <w:sz w:val="28"/>
        </w:rPr>
        <w:t>Таблица 18 – Расположение образцов блоке VeriFlex</w:t>
      </w:r>
    </w:p>
    <w:tbl>
      <w:tblPr>
        <w:tblW w:w="5000" w:type="pct"/>
        <w:tblLook w:val="04A0" w:firstRow="1" w:lastRow="0" w:firstColumn="1" w:lastColumn="0" w:noHBand="0" w:noVBand="1"/>
      </w:tblPr>
      <w:tblGrid>
        <w:gridCol w:w="605"/>
        <w:gridCol w:w="1042"/>
        <w:gridCol w:w="439"/>
        <w:gridCol w:w="1045"/>
        <w:gridCol w:w="439"/>
        <w:gridCol w:w="1045"/>
        <w:gridCol w:w="439"/>
        <w:gridCol w:w="1045"/>
        <w:gridCol w:w="439"/>
        <w:gridCol w:w="1045"/>
        <w:gridCol w:w="615"/>
        <w:gridCol w:w="1045"/>
        <w:gridCol w:w="611"/>
      </w:tblGrid>
      <w:tr w:rsidR="009D21FD" w:rsidRPr="009D21FD" w:rsidTr="006F2F87">
        <w:trPr>
          <w:trHeight w:val="288"/>
        </w:trPr>
        <w:tc>
          <w:tcPr>
            <w:tcW w:w="3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29"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1</w:t>
            </w: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2</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3</w:t>
            </w: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4</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5</w:t>
            </w: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6</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7</w:t>
            </w: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8</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9</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10</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11</w:t>
            </w:r>
          </w:p>
        </w:tc>
        <w:tc>
          <w:tcPr>
            <w:tcW w:w="31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12</w:t>
            </w:r>
          </w:p>
        </w:tc>
      </w:tr>
      <w:tr w:rsidR="009D21FD" w:rsidRPr="009D21FD" w:rsidTr="006F2F87">
        <w:trPr>
          <w:trHeight w:val="288"/>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rsidR="009D21FD" w:rsidRPr="009D21FD" w:rsidRDefault="009D21FD" w:rsidP="009D21FD">
            <w:pPr>
              <w:rPr>
                <w:rFonts w:cs="Times New Roman"/>
                <w:sz w:val="28"/>
                <w:szCs w:val="28"/>
              </w:rPr>
            </w:pPr>
            <w:r w:rsidRPr="009D21FD">
              <w:rPr>
                <w:rFonts w:cs="Times New Roman"/>
                <w:sz w:val="28"/>
                <w:szCs w:val="28"/>
              </w:rPr>
              <w:t>A</w:t>
            </w:r>
          </w:p>
        </w:tc>
        <w:tc>
          <w:tcPr>
            <w:tcW w:w="529"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nuc</w:t>
            </w:r>
          </w:p>
        </w:tc>
        <w:tc>
          <w:tcPr>
            <w:tcW w:w="223"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nuc</w:t>
            </w:r>
          </w:p>
        </w:tc>
        <w:tc>
          <w:tcPr>
            <w:tcW w:w="223"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nuc</w:t>
            </w:r>
          </w:p>
        </w:tc>
        <w:tc>
          <w:tcPr>
            <w:tcW w:w="223"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nuc</w:t>
            </w:r>
          </w:p>
        </w:tc>
        <w:tc>
          <w:tcPr>
            <w:tcW w:w="223"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nuc</w:t>
            </w:r>
          </w:p>
        </w:tc>
        <w:tc>
          <w:tcPr>
            <w:tcW w:w="312"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nuc</w:t>
            </w:r>
          </w:p>
        </w:tc>
        <w:tc>
          <w:tcPr>
            <w:tcW w:w="310" w:type="pct"/>
            <w:tcBorders>
              <w:top w:val="nil"/>
              <w:left w:val="nil"/>
              <w:bottom w:val="single" w:sz="4" w:space="0" w:color="auto"/>
              <w:right w:val="single" w:sz="4" w:space="0" w:color="auto"/>
            </w:tcBorders>
            <w:shd w:val="clear" w:color="000000" w:fill="FF0000"/>
            <w:noWrap/>
            <w:vAlign w:val="bottom"/>
            <w:hideMark/>
          </w:tcPr>
          <w:p w:rsidR="009D21FD" w:rsidRPr="009D21FD" w:rsidRDefault="009D21FD" w:rsidP="009D21FD">
            <w:pPr>
              <w:jc w:val="center"/>
              <w:rPr>
                <w:rFonts w:cs="Times New Roman"/>
                <w:sz w:val="28"/>
                <w:szCs w:val="28"/>
              </w:rPr>
            </w:pPr>
          </w:p>
        </w:tc>
      </w:tr>
      <w:tr w:rsidR="009D21FD" w:rsidRPr="009D21FD" w:rsidTr="006F2F87">
        <w:trPr>
          <w:trHeight w:val="288"/>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rsidR="009D21FD" w:rsidRPr="009D21FD" w:rsidRDefault="009D21FD" w:rsidP="009D21FD">
            <w:pPr>
              <w:rPr>
                <w:rFonts w:cs="Times New Roman"/>
                <w:sz w:val="28"/>
                <w:szCs w:val="28"/>
              </w:rPr>
            </w:pPr>
            <w:r w:rsidRPr="009D21FD">
              <w:rPr>
                <w:rFonts w:cs="Times New Roman"/>
                <w:sz w:val="28"/>
                <w:szCs w:val="28"/>
              </w:rPr>
              <w:t>B</w:t>
            </w:r>
          </w:p>
        </w:tc>
        <w:tc>
          <w:tcPr>
            <w:tcW w:w="529"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BlaZ</w:t>
            </w:r>
          </w:p>
        </w:tc>
        <w:tc>
          <w:tcPr>
            <w:tcW w:w="223"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BlaZ</w:t>
            </w:r>
          </w:p>
        </w:tc>
        <w:tc>
          <w:tcPr>
            <w:tcW w:w="223"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BlaZ</w:t>
            </w:r>
          </w:p>
        </w:tc>
        <w:tc>
          <w:tcPr>
            <w:tcW w:w="223"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BlaZ</w:t>
            </w:r>
          </w:p>
        </w:tc>
        <w:tc>
          <w:tcPr>
            <w:tcW w:w="223"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BlaZ</w:t>
            </w:r>
          </w:p>
        </w:tc>
        <w:tc>
          <w:tcPr>
            <w:tcW w:w="312"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BlaZ</w:t>
            </w:r>
          </w:p>
        </w:tc>
        <w:tc>
          <w:tcPr>
            <w:tcW w:w="310" w:type="pct"/>
            <w:tcBorders>
              <w:top w:val="nil"/>
              <w:left w:val="nil"/>
              <w:bottom w:val="single" w:sz="4" w:space="0" w:color="auto"/>
              <w:right w:val="single" w:sz="4" w:space="0" w:color="auto"/>
            </w:tcBorders>
            <w:shd w:val="clear" w:color="000000" w:fill="00B0F0"/>
            <w:noWrap/>
            <w:vAlign w:val="bottom"/>
            <w:hideMark/>
          </w:tcPr>
          <w:p w:rsidR="009D21FD" w:rsidRPr="009D21FD" w:rsidRDefault="009D21FD" w:rsidP="009D21FD">
            <w:pPr>
              <w:jc w:val="center"/>
              <w:rPr>
                <w:rFonts w:cs="Times New Roman"/>
                <w:sz w:val="28"/>
                <w:szCs w:val="28"/>
              </w:rPr>
            </w:pPr>
          </w:p>
        </w:tc>
      </w:tr>
      <w:tr w:rsidR="009D21FD" w:rsidRPr="009D21FD" w:rsidTr="006F2F87">
        <w:trPr>
          <w:trHeight w:val="288"/>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rsidR="009D21FD" w:rsidRPr="009D21FD" w:rsidRDefault="009D21FD" w:rsidP="009D21FD">
            <w:pPr>
              <w:rPr>
                <w:rFonts w:cs="Times New Roman"/>
                <w:sz w:val="28"/>
                <w:szCs w:val="28"/>
              </w:rPr>
            </w:pPr>
            <w:r w:rsidRPr="009D21FD">
              <w:rPr>
                <w:rFonts w:cs="Times New Roman"/>
                <w:sz w:val="28"/>
                <w:szCs w:val="28"/>
              </w:rPr>
              <w:t>C</w:t>
            </w:r>
          </w:p>
        </w:tc>
        <w:tc>
          <w:tcPr>
            <w:tcW w:w="529"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ermC</w:t>
            </w:r>
          </w:p>
        </w:tc>
        <w:tc>
          <w:tcPr>
            <w:tcW w:w="223"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ermC</w:t>
            </w:r>
          </w:p>
        </w:tc>
        <w:tc>
          <w:tcPr>
            <w:tcW w:w="223"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ermC</w:t>
            </w:r>
          </w:p>
        </w:tc>
        <w:tc>
          <w:tcPr>
            <w:tcW w:w="223"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ermC</w:t>
            </w:r>
          </w:p>
        </w:tc>
        <w:tc>
          <w:tcPr>
            <w:tcW w:w="223"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ermC</w:t>
            </w:r>
          </w:p>
        </w:tc>
        <w:tc>
          <w:tcPr>
            <w:tcW w:w="312"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ermC</w:t>
            </w:r>
          </w:p>
        </w:tc>
        <w:tc>
          <w:tcPr>
            <w:tcW w:w="310" w:type="pct"/>
            <w:tcBorders>
              <w:top w:val="nil"/>
              <w:left w:val="nil"/>
              <w:bottom w:val="single" w:sz="4" w:space="0" w:color="auto"/>
              <w:right w:val="single" w:sz="4" w:space="0" w:color="auto"/>
            </w:tcBorders>
            <w:shd w:val="clear" w:color="000000" w:fill="00B050"/>
            <w:noWrap/>
            <w:vAlign w:val="bottom"/>
            <w:hideMark/>
          </w:tcPr>
          <w:p w:rsidR="009D21FD" w:rsidRPr="009D21FD" w:rsidRDefault="009D21FD" w:rsidP="009D21FD">
            <w:pPr>
              <w:jc w:val="center"/>
              <w:rPr>
                <w:rFonts w:cs="Times New Roman"/>
                <w:sz w:val="28"/>
                <w:szCs w:val="28"/>
              </w:rPr>
            </w:pPr>
          </w:p>
        </w:tc>
      </w:tr>
      <w:tr w:rsidR="009D21FD" w:rsidRPr="009D21FD" w:rsidTr="006F2F87">
        <w:trPr>
          <w:trHeight w:val="288"/>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rsidR="009D21FD" w:rsidRPr="009D21FD" w:rsidRDefault="009D21FD" w:rsidP="009D21FD">
            <w:pPr>
              <w:rPr>
                <w:rFonts w:cs="Times New Roman"/>
                <w:sz w:val="28"/>
                <w:szCs w:val="28"/>
              </w:rPr>
            </w:pPr>
            <w:r w:rsidRPr="009D21FD">
              <w:rPr>
                <w:rFonts w:cs="Times New Roman"/>
                <w:sz w:val="28"/>
                <w:szCs w:val="28"/>
              </w:rPr>
              <w:t>D</w:t>
            </w:r>
          </w:p>
        </w:tc>
        <w:tc>
          <w:tcPr>
            <w:tcW w:w="529"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TetK</w:t>
            </w:r>
          </w:p>
        </w:tc>
        <w:tc>
          <w:tcPr>
            <w:tcW w:w="223"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TetK</w:t>
            </w:r>
          </w:p>
        </w:tc>
        <w:tc>
          <w:tcPr>
            <w:tcW w:w="223"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TetK</w:t>
            </w:r>
          </w:p>
        </w:tc>
        <w:tc>
          <w:tcPr>
            <w:tcW w:w="223"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TetK</w:t>
            </w:r>
          </w:p>
        </w:tc>
        <w:tc>
          <w:tcPr>
            <w:tcW w:w="223"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TetK</w:t>
            </w:r>
          </w:p>
        </w:tc>
        <w:tc>
          <w:tcPr>
            <w:tcW w:w="312"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r w:rsidRPr="009D21FD">
              <w:rPr>
                <w:rFonts w:cs="Times New Roman"/>
                <w:sz w:val="28"/>
                <w:szCs w:val="28"/>
              </w:rPr>
              <w:t>TetK</w:t>
            </w:r>
          </w:p>
        </w:tc>
        <w:tc>
          <w:tcPr>
            <w:tcW w:w="310" w:type="pct"/>
            <w:tcBorders>
              <w:top w:val="nil"/>
              <w:left w:val="nil"/>
              <w:bottom w:val="single" w:sz="4" w:space="0" w:color="auto"/>
              <w:right w:val="single" w:sz="4" w:space="0" w:color="auto"/>
            </w:tcBorders>
            <w:shd w:val="clear" w:color="000000" w:fill="FFFF00"/>
            <w:noWrap/>
            <w:vAlign w:val="bottom"/>
            <w:hideMark/>
          </w:tcPr>
          <w:p w:rsidR="009D21FD" w:rsidRPr="009D21FD" w:rsidRDefault="009D21FD" w:rsidP="009D21FD">
            <w:pPr>
              <w:jc w:val="center"/>
              <w:rPr>
                <w:rFonts w:cs="Times New Roman"/>
                <w:sz w:val="28"/>
                <w:szCs w:val="28"/>
              </w:rPr>
            </w:pPr>
          </w:p>
        </w:tc>
      </w:tr>
      <w:tr w:rsidR="009D21FD" w:rsidRPr="009D21FD" w:rsidTr="006F2F87">
        <w:trPr>
          <w:trHeight w:val="288"/>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rsidR="009D21FD" w:rsidRPr="009D21FD" w:rsidRDefault="009D21FD" w:rsidP="009D21FD">
            <w:pPr>
              <w:rPr>
                <w:rFonts w:cs="Times New Roman"/>
                <w:sz w:val="28"/>
                <w:szCs w:val="28"/>
              </w:rPr>
            </w:pPr>
            <w:r w:rsidRPr="009D21FD">
              <w:rPr>
                <w:rFonts w:cs="Times New Roman"/>
                <w:sz w:val="28"/>
                <w:szCs w:val="28"/>
              </w:rPr>
              <w:t>E</w:t>
            </w:r>
          </w:p>
        </w:tc>
        <w:tc>
          <w:tcPr>
            <w:tcW w:w="529"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312"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31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r>
      <w:tr w:rsidR="009D21FD" w:rsidRPr="009D21FD" w:rsidTr="006F2F87">
        <w:trPr>
          <w:trHeight w:val="288"/>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rsidR="009D21FD" w:rsidRPr="009D21FD" w:rsidRDefault="009D21FD" w:rsidP="009D21FD">
            <w:pPr>
              <w:rPr>
                <w:rFonts w:cs="Times New Roman"/>
                <w:sz w:val="28"/>
                <w:szCs w:val="28"/>
              </w:rPr>
            </w:pPr>
            <w:r w:rsidRPr="009D21FD">
              <w:rPr>
                <w:rFonts w:cs="Times New Roman"/>
                <w:sz w:val="28"/>
                <w:szCs w:val="28"/>
              </w:rPr>
              <w:t>F</w:t>
            </w:r>
          </w:p>
        </w:tc>
        <w:tc>
          <w:tcPr>
            <w:tcW w:w="529"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312"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31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r>
      <w:tr w:rsidR="009D21FD" w:rsidRPr="009D21FD" w:rsidTr="006F2F87">
        <w:trPr>
          <w:trHeight w:val="288"/>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rsidR="009D21FD" w:rsidRPr="009D21FD" w:rsidRDefault="009D21FD" w:rsidP="009D21FD">
            <w:pPr>
              <w:rPr>
                <w:rFonts w:cs="Times New Roman"/>
                <w:sz w:val="28"/>
                <w:szCs w:val="28"/>
              </w:rPr>
            </w:pPr>
            <w:r w:rsidRPr="009D21FD">
              <w:rPr>
                <w:rFonts w:cs="Times New Roman"/>
                <w:sz w:val="28"/>
                <w:szCs w:val="28"/>
              </w:rPr>
              <w:t>G</w:t>
            </w:r>
          </w:p>
        </w:tc>
        <w:tc>
          <w:tcPr>
            <w:tcW w:w="529"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312"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310" w:type="pct"/>
            <w:tcBorders>
              <w:top w:val="nil"/>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r>
      <w:tr w:rsidR="009D21FD" w:rsidRPr="009D21FD" w:rsidTr="006F2F87">
        <w:trPr>
          <w:trHeight w:val="288"/>
        </w:trPr>
        <w:tc>
          <w:tcPr>
            <w:tcW w:w="30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21FD" w:rsidRPr="009D21FD" w:rsidRDefault="009D21FD" w:rsidP="009D21FD">
            <w:pPr>
              <w:rPr>
                <w:rFonts w:cs="Times New Roman"/>
                <w:sz w:val="28"/>
                <w:szCs w:val="28"/>
              </w:rPr>
            </w:pPr>
            <w:r w:rsidRPr="009D21FD">
              <w:rPr>
                <w:rFonts w:cs="Times New Roman"/>
                <w:sz w:val="28"/>
                <w:szCs w:val="28"/>
              </w:rPr>
              <w:t>H</w:t>
            </w:r>
          </w:p>
        </w:tc>
        <w:tc>
          <w:tcPr>
            <w:tcW w:w="529"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c>
          <w:tcPr>
            <w:tcW w:w="310" w:type="pct"/>
            <w:tcBorders>
              <w:top w:val="single" w:sz="4" w:space="0" w:color="auto"/>
              <w:left w:val="nil"/>
              <w:bottom w:val="single" w:sz="4" w:space="0" w:color="auto"/>
              <w:right w:val="single" w:sz="4" w:space="0" w:color="auto"/>
            </w:tcBorders>
            <w:shd w:val="clear" w:color="auto" w:fill="auto"/>
            <w:noWrap/>
            <w:vAlign w:val="bottom"/>
            <w:hideMark/>
          </w:tcPr>
          <w:p w:rsidR="009D21FD" w:rsidRPr="009D21FD" w:rsidRDefault="009D21FD" w:rsidP="009D21FD">
            <w:pPr>
              <w:jc w:val="center"/>
              <w:rPr>
                <w:rFonts w:cs="Times New Roman"/>
                <w:sz w:val="28"/>
                <w:szCs w:val="28"/>
              </w:rPr>
            </w:pPr>
          </w:p>
        </w:tc>
      </w:tr>
      <w:tr w:rsidR="009D21FD" w:rsidRPr="009D21FD" w:rsidTr="006F2F87">
        <w:trPr>
          <w:trHeight w:val="288"/>
        </w:trPr>
        <w:tc>
          <w:tcPr>
            <w:tcW w:w="307" w:type="pct"/>
            <w:tcBorders>
              <w:top w:val="single" w:sz="4" w:space="0" w:color="auto"/>
              <w:left w:val="single" w:sz="4" w:space="0" w:color="auto"/>
              <w:bottom w:val="single" w:sz="4" w:space="0" w:color="auto"/>
              <w:right w:val="single" w:sz="4" w:space="0" w:color="auto"/>
            </w:tcBorders>
            <w:shd w:val="clear" w:color="auto" w:fill="auto"/>
            <w:noWrap/>
            <w:vAlign w:val="bottom"/>
          </w:tcPr>
          <w:p w:rsidR="009D21FD" w:rsidRPr="009D21FD" w:rsidRDefault="009D21FD" w:rsidP="009D21FD">
            <w:pPr>
              <w:rPr>
                <w:rFonts w:cs="Times New Roman"/>
                <w:sz w:val="28"/>
                <w:szCs w:val="28"/>
              </w:rPr>
            </w:pPr>
            <w:r w:rsidRPr="009D21FD">
              <w:rPr>
                <w:rFonts w:cs="Times New Roman"/>
                <w:sz w:val="28"/>
                <w:szCs w:val="28"/>
              </w:rPr>
              <w:t>Tm</w:t>
            </w:r>
          </w:p>
        </w:tc>
        <w:tc>
          <w:tcPr>
            <w:tcW w:w="751" w:type="pct"/>
            <w:gridSpan w:val="2"/>
            <w:tcBorders>
              <w:top w:val="single" w:sz="4" w:space="0" w:color="auto"/>
              <w:left w:val="nil"/>
              <w:bottom w:val="single" w:sz="4" w:space="0" w:color="auto"/>
              <w:right w:val="single" w:sz="4" w:space="0" w:color="auto"/>
            </w:tcBorders>
            <w:shd w:val="clear" w:color="auto" w:fill="auto"/>
            <w:noWrap/>
            <w:vAlign w:val="bottom"/>
          </w:tcPr>
          <w:p w:rsidR="009D21FD" w:rsidRPr="009D21FD" w:rsidRDefault="009D21FD" w:rsidP="009D21FD">
            <w:pPr>
              <w:jc w:val="center"/>
              <w:rPr>
                <w:rFonts w:cs="Times New Roman"/>
                <w:sz w:val="28"/>
                <w:szCs w:val="28"/>
              </w:rPr>
            </w:pPr>
            <w:r w:rsidRPr="009D21FD">
              <w:rPr>
                <w:rFonts w:cs="Times New Roman"/>
                <w:sz w:val="28"/>
                <w:szCs w:val="28"/>
              </w:rPr>
              <w:t>60⁰C</w:t>
            </w:r>
          </w:p>
        </w:tc>
        <w:tc>
          <w:tcPr>
            <w:tcW w:w="753" w:type="pct"/>
            <w:gridSpan w:val="2"/>
            <w:tcBorders>
              <w:top w:val="single" w:sz="4" w:space="0" w:color="auto"/>
              <w:left w:val="nil"/>
              <w:bottom w:val="single" w:sz="4" w:space="0" w:color="auto"/>
              <w:right w:val="single" w:sz="4" w:space="0" w:color="auto"/>
            </w:tcBorders>
            <w:shd w:val="clear" w:color="auto" w:fill="auto"/>
            <w:noWrap/>
            <w:vAlign w:val="bottom"/>
          </w:tcPr>
          <w:p w:rsidR="009D21FD" w:rsidRPr="009D21FD" w:rsidRDefault="009D21FD" w:rsidP="009D21FD">
            <w:pPr>
              <w:jc w:val="center"/>
              <w:rPr>
                <w:rFonts w:cs="Times New Roman"/>
                <w:sz w:val="28"/>
                <w:szCs w:val="28"/>
              </w:rPr>
            </w:pPr>
            <w:r w:rsidRPr="009D21FD">
              <w:rPr>
                <w:rFonts w:cs="Times New Roman"/>
                <w:sz w:val="28"/>
                <w:szCs w:val="28"/>
              </w:rPr>
              <w:t>61⁰C</w:t>
            </w:r>
          </w:p>
        </w:tc>
        <w:tc>
          <w:tcPr>
            <w:tcW w:w="753" w:type="pct"/>
            <w:gridSpan w:val="2"/>
            <w:tcBorders>
              <w:top w:val="single" w:sz="4" w:space="0" w:color="auto"/>
              <w:left w:val="nil"/>
              <w:bottom w:val="single" w:sz="4" w:space="0" w:color="auto"/>
              <w:right w:val="single" w:sz="4" w:space="0" w:color="auto"/>
            </w:tcBorders>
            <w:shd w:val="clear" w:color="auto" w:fill="auto"/>
            <w:noWrap/>
            <w:vAlign w:val="bottom"/>
          </w:tcPr>
          <w:p w:rsidR="009D21FD" w:rsidRPr="009D21FD" w:rsidRDefault="009D21FD" w:rsidP="009D21FD">
            <w:pPr>
              <w:jc w:val="center"/>
              <w:rPr>
                <w:rFonts w:cs="Times New Roman"/>
                <w:sz w:val="28"/>
                <w:szCs w:val="28"/>
              </w:rPr>
            </w:pPr>
            <w:r w:rsidRPr="009D21FD">
              <w:rPr>
                <w:rFonts w:cs="Times New Roman"/>
                <w:sz w:val="28"/>
                <w:szCs w:val="28"/>
              </w:rPr>
              <w:t>62⁰C</w:t>
            </w:r>
          </w:p>
        </w:tc>
        <w:tc>
          <w:tcPr>
            <w:tcW w:w="753" w:type="pct"/>
            <w:gridSpan w:val="2"/>
            <w:tcBorders>
              <w:top w:val="single" w:sz="4" w:space="0" w:color="auto"/>
              <w:left w:val="nil"/>
              <w:bottom w:val="single" w:sz="4" w:space="0" w:color="auto"/>
              <w:right w:val="single" w:sz="4" w:space="0" w:color="auto"/>
            </w:tcBorders>
            <w:shd w:val="clear" w:color="auto" w:fill="auto"/>
            <w:noWrap/>
            <w:vAlign w:val="bottom"/>
          </w:tcPr>
          <w:p w:rsidR="009D21FD" w:rsidRPr="009D21FD" w:rsidRDefault="009D21FD" w:rsidP="009D21FD">
            <w:pPr>
              <w:jc w:val="center"/>
              <w:rPr>
                <w:rFonts w:cs="Times New Roman"/>
                <w:sz w:val="28"/>
                <w:szCs w:val="28"/>
              </w:rPr>
            </w:pPr>
            <w:r w:rsidRPr="009D21FD">
              <w:rPr>
                <w:rFonts w:cs="Times New Roman"/>
                <w:sz w:val="28"/>
                <w:szCs w:val="28"/>
              </w:rPr>
              <w:t>63⁰C</w:t>
            </w:r>
          </w:p>
        </w:tc>
        <w:tc>
          <w:tcPr>
            <w:tcW w:w="842" w:type="pct"/>
            <w:gridSpan w:val="2"/>
            <w:tcBorders>
              <w:top w:val="single" w:sz="4" w:space="0" w:color="auto"/>
              <w:left w:val="nil"/>
              <w:bottom w:val="single" w:sz="4" w:space="0" w:color="auto"/>
              <w:right w:val="single" w:sz="4" w:space="0" w:color="auto"/>
            </w:tcBorders>
            <w:shd w:val="clear" w:color="auto" w:fill="auto"/>
            <w:noWrap/>
            <w:vAlign w:val="bottom"/>
          </w:tcPr>
          <w:p w:rsidR="009D21FD" w:rsidRPr="009D21FD" w:rsidRDefault="009D21FD" w:rsidP="009D21FD">
            <w:pPr>
              <w:jc w:val="center"/>
              <w:rPr>
                <w:rFonts w:cs="Times New Roman"/>
                <w:sz w:val="28"/>
                <w:szCs w:val="28"/>
              </w:rPr>
            </w:pPr>
            <w:r w:rsidRPr="009D21FD">
              <w:rPr>
                <w:rFonts w:cs="Times New Roman"/>
                <w:sz w:val="28"/>
                <w:szCs w:val="28"/>
              </w:rPr>
              <w:t>64⁰C</w:t>
            </w:r>
          </w:p>
        </w:tc>
        <w:tc>
          <w:tcPr>
            <w:tcW w:w="840" w:type="pct"/>
            <w:gridSpan w:val="2"/>
            <w:tcBorders>
              <w:top w:val="single" w:sz="4" w:space="0" w:color="auto"/>
              <w:left w:val="nil"/>
              <w:bottom w:val="single" w:sz="4" w:space="0" w:color="auto"/>
              <w:right w:val="single" w:sz="4" w:space="0" w:color="auto"/>
            </w:tcBorders>
            <w:shd w:val="clear" w:color="auto" w:fill="auto"/>
            <w:noWrap/>
            <w:vAlign w:val="bottom"/>
          </w:tcPr>
          <w:p w:rsidR="009D21FD" w:rsidRPr="009D21FD" w:rsidRDefault="009D21FD" w:rsidP="009D21FD">
            <w:pPr>
              <w:jc w:val="center"/>
              <w:rPr>
                <w:rFonts w:cs="Times New Roman"/>
                <w:sz w:val="28"/>
                <w:szCs w:val="28"/>
              </w:rPr>
            </w:pPr>
            <w:r w:rsidRPr="009D21FD">
              <w:rPr>
                <w:rFonts w:cs="Times New Roman"/>
                <w:sz w:val="28"/>
                <w:szCs w:val="28"/>
              </w:rPr>
              <w:t>65⁰C</w:t>
            </w:r>
          </w:p>
        </w:tc>
      </w:tr>
    </w:tbl>
    <w:p w:rsidR="009D21FD" w:rsidRDefault="009D21FD" w:rsidP="009D21FD">
      <w:pPr>
        <w:rPr>
          <w:sz w:val="28"/>
        </w:rPr>
      </w:pPr>
    </w:p>
    <w:p w:rsidR="009D21FD" w:rsidRPr="00053C28" w:rsidRDefault="009D21FD" w:rsidP="00053C28">
      <w:pPr>
        <w:ind w:firstLine="709"/>
        <w:rPr>
          <w:sz w:val="32"/>
          <w:szCs w:val="28"/>
        </w:rPr>
      </w:pPr>
      <w:r w:rsidRPr="00053C28">
        <w:rPr>
          <w:sz w:val="28"/>
        </w:rPr>
        <w:t>Результаты интерпретировались путем анализа кривых накопления флуоресцентного сигнала, связанного с увеличением количества ампликонов. В данном эксперименте наблюдались следующие фазы: экспоненциальная фаза, когда количество ампликонов удваивается и флуоресцентный сигнал увеличивается быстро; плато, когда количество доступных реагентов уменьшается, и скорость удвоения замедляется, что приводит к плато на кривой; насыщение, когда реагенты исчерпываются, флуоресцентный сигнал перестает увеличиваться (рисунок 38-43).</w:t>
      </w:r>
    </w:p>
    <w:p w:rsidR="009D21FD" w:rsidRPr="009D21FD" w:rsidRDefault="009D21FD" w:rsidP="009D21FD">
      <w:pPr>
        <w:rPr>
          <w:sz w:val="28"/>
          <w:szCs w:val="28"/>
        </w:rPr>
      </w:pPr>
    </w:p>
    <w:p w:rsidR="009D21FD" w:rsidRPr="009D21FD" w:rsidRDefault="009D21FD" w:rsidP="00053C28">
      <w:pPr>
        <w:jc w:val="center"/>
        <w:rPr>
          <w:sz w:val="28"/>
          <w:szCs w:val="28"/>
        </w:rPr>
      </w:pPr>
      <w:r w:rsidRPr="009D21FD">
        <w:rPr>
          <w:noProof/>
          <w:sz w:val="28"/>
          <w:szCs w:val="28"/>
          <w:lang w:eastAsia="ru-RU"/>
        </w:rPr>
        <w:lastRenderedPageBreak/>
        <w:drawing>
          <wp:inline distT="0" distB="0" distL="0" distR="0" wp14:anchorId="4578BFF1" wp14:editId="446858AB">
            <wp:extent cx="3437255" cy="2148820"/>
            <wp:effectExtent l="0" t="0" r="0" b="4445"/>
            <wp:docPr id="20" name="Рисунок 20" descr="C:\Users\User\Моноблок\Байменов\2025 год\докторантура\материалы и методы\Рисунки\Рисунок 27 – Результат анализа оптических измерений исследуемых генов S. aureus 6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Рисунки\Рисунок 27 – Результат анализа оптических измерений исследуемых генов S. aureus 60.tiff"/>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488161" cy="2180644"/>
                    </a:xfrm>
                    <a:prstGeom prst="rect">
                      <a:avLst/>
                    </a:prstGeom>
                    <a:noFill/>
                    <a:ln>
                      <a:noFill/>
                    </a:ln>
                  </pic:spPr>
                </pic:pic>
              </a:graphicData>
            </a:graphic>
          </wp:inline>
        </w:drawing>
      </w:r>
    </w:p>
    <w:p w:rsidR="009D21FD" w:rsidRPr="009D21FD" w:rsidRDefault="009D21FD" w:rsidP="00053C28">
      <w:pPr>
        <w:jc w:val="center"/>
        <w:rPr>
          <w:sz w:val="28"/>
          <w:szCs w:val="28"/>
        </w:rPr>
      </w:pPr>
      <w:r w:rsidRPr="009D21FD">
        <w:rPr>
          <w:sz w:val="28"/>
          <w:szCs w:val="28"/>
        </w:rPr>
        <w:t xml:space="preserve">Рисунок 38 – Результат анализа оптических измерений исследуемых генов </w:t>
      </w:r>
      <w:r w:rsidR="007A7888" w:rsidRPr="007A7888">
        <w:rPr>
          <w:i/>
          <w:sz w:val="28"/>
          <w:szCs w:val="28"/>
        </w:rPr>
        <w:t>S. aureus</w:t>
      </w:r>
      <w:r w:rsidRPr="009D21FD">
        <w:rPr>
          <w:sz w:val="28"/>
          <w:szCs w:val="28"/>
        </w:rPr>
        <w:t xml:space="preserve">: nuc (Target1, канал FAM), BlaZ (Target2, канал </w:t>
      </w:r>
      <w:r w:rsidR="001F2EB0">
        <w:rPr>
          <w:sz w:val="28"/>
          <w:szCs w:val="28"/>
        </w:rPr>
        <w:t>HEX</w:t>
      </w:r>
      <w:r w:rsidRPr="009D21FD">
        <w:rPr>
          <w:sz w:val="28"/>
          <w:szCs w:val="28"/>
        </w:rPr>
        <w:t xml:space="preserve">), ermC (Target3, канал ROX) и TetK (Target4, канал </w:t>
      </w:r>
      <w:r w:rsidR="001F2EB0">
        <w:rPr>
          <w:sz w:val="28"/>
          <w:szCs w:val="28"/>
        </w:rPr>
        <w:t>CY5</w:t>
      </w:r>
      <w:r w:rsidRPr="009D21FD">
        <w:rPr>
          <w:sz w:val="28"/>
          <w:szCs w:val="28"/>
        </w:rPr>
        <w:t>). Температура отжига праймеров 60⁰C</w:t>
      </w:r>
    </w:p>
    <w:p w:rsidR="009D21FD" w:rsidRPr="009D21FD" w:rsidRDefault="009D21FD" w:rsidP="00053C28">
      <w:pPr>
        <w:jc w:val="center"/>
        <w:rPr>
          <w:sz w:val="28"/>
          <w:szCs w:val="28"/>
        </w:rPr>
      </w:pPr>
    </w:p>
    <w:p w:rsidR="009D21FD" w:rsidRPr="009D21FD" w:rsidRDefault="009D21FD" w:rsidP="00053C28">
      <w:pPr>
        <w:jc w:val="center"/>
        <w:rPr>
          <w:sz w:val="28"/>
          <w:szCs w:val="28"/>
        </w:rPr>
      </w:pPr>
      <w:r w:rsidRPr="009D21FD">
        <w:rPr>
          <w:noProof/>
          <w:sz w:val="28"/>
          <w:szCs w:val="28"/>
          <w:lang w:eastAsia="ru-RU"/>
        </w:rPr>
        <w:drawing>
          <wp:inline distT="0" distB="0" distL="0" distR="0" wp14:anchorId="721E62F9" wp14:editId="12C7D5E8">
            <wp:extent cx="3449476" cy="2156460"/>
            <wp:effectExtent l="0" t="0" r="0" b="0"/>
            <wp:docPr id="21" name="Рисунок 21" descr="C:\Users\User\Моноблок\Байменов\2025 год\докторантура\материалы и методы\Рисунки\Рисунок 28 – Результат анализа оптических измерений S. aureus 6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Моноблок\Байменов\2025 год\докторантура\материалы и методы\Рисунки\Рисунок 28 – Результат анализа оптических измерений S. aureus 61.tiff"/>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515384" cy="2197663"/>
                    </a:xfrm>
                    <a:prstGeom prst="rect">
                      <a:avLst/>
                    </a:prstGeom>
                    <a:noFill/>
                    <a:ln>
                      <a:noFill/>
                    </a:ln>
                  </pic:spPr>
                </pic:pic>
              </a:graphicData>
            </a:graphic>
          </wp:inline>
        </w:drawing>
      </w:r>
    </w:p>
    <w:p w:rsidR="009D21FD" w:rsidRPr="009D21FD" w:rsidRDefault="009D21FD" w:rsidP="00053C28">
      <w:pPr>
        <w:jc w:val="center"/>
        <w:rPr>
          <w:sz w:val="28"/>
          <w:szCs w:val="28"/>
        </w:rPr>
      </w:pPr>
      <w:r w:rsidRPr="009D21FD">
        <w:rPr>
          <w:sz w:val="28"/>
          <w:szCs w:val="28"/>
        </w:rPr>
        <w:t xml:space="preserve">Рисунок 39 – Результат анализа оптических измерений </w:t>
      </w:r>
      <w:r w:rsidR="007A7888" w:rsidRPr="007A7888">
        <w:rPr>
          <w:i/>
          <w:sz w:val="28"/>
          <w:szCs w:val="28"/>
        </w:rPr>
        <w:t>S. aureus</w:t>
      </w:r>
      <w:r w:rsidRPr="009D21FD">
        <w:rPr>
          <w:sz w:val="28"/>
          <w:szCs w:val="28"/>
        </w:rPr>
        <w:t xml:space="preserve">: nuc (Target1, канал FAM), BlaZ (Target2, канал </w:t>
      </w:r>
      <w:r w:rsidR="001F2EB0">
        <w:rPr>
          <w:sz w:val="28"/>
          <w:szCs w:val="28"/>
        </w:rPr>
        <w:t>HEX</w:t>
      </w:r>
      <w:r w:rsidRPr="009D21FD">
        <w:rPr>
          <w:sz w:val="28"/>
          <w:szCs w:val="28"/>
        </w:rPr>
        <w:t xml:space="preserve">), ermC (Target3, канал ROX) и TetK (Target4, канал </w:t>
      </w:r>
      <w:r w:rsidR="001F2EB0">
        <w:rPr>
          <w:sz w:val="28"/>
          <w:szCs w:val="28"/>
        </w:rPr>
        <w:t>CY5</w:t>
      </w:r>
      <w:r w:rsidRPr="009D21FD">
        <w:rPr>
          <w:sz w:val="28"/>
          <w:szCs w:val="28"/>
        </w:rPr>
        <w:t>). Температура отжига праймеров 61⁰C</w:t>
      </w:r>
    </w:p>
    <w:p w:rsidR="009D21FD" w:rsidRPr="009D21FD" w:rsidRDefault="009D21FD" w:rsidP="00053C28">
      <w:pPr>
        <w:jc w:val="center"/>
        <w:rPr>
          <w:sz w:val="28"/>
          <w:szCs w:val="28"/>
        </w:rPr>
      </w:pPr>
    </w:p>
    <w:p w:rsidR="009D21FD" w:rsidRPr="009D21FD" w:rsidRDefault="009D21FD" w:rsidP="00053C28">
      <w:pPr>
        <w:jc w:val="center"/>
        <w:rPr>
          <w:sz w:val="28"/>
          <w:szCs w:val="28"/>
        </w:rPr>
      </w:pPr>
      <w:r w:rsidRPr="009D21FD">
        <w:rPr>
          <w:noProof/>
          <w:sz w:val="28"/>
          <w:szCs w:val="28"/>
          <w:lang w:eastAsia="ru-RU"/>
        </w:rPr>
        <w:drawing>
          <wp:inline distT="0" distB="0" distL="0" distR="0" wp14:anchorId="1765EB0B" wp14:editId="3BF6BC98">
            <wp:extent cx="3473853" cy="2171700"/>
            <wp:effectExtent l="0" t="0" r="0" b="0"/>
            <wp:docPr id="22" name="Рисунок 22" descr="C:\Users\User\Моноблок\Байменов\2025 год\докторантура\материалы и методы\Рисунки\Рисунок 29 – Результат анализа оптических измерений S. aureus 6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Моноблок\Байменов\2025 год\докторантура\материалы и методы\Рисунки\Рисунок 29 – Результат анализа оптических измерений S. aureus 62.tiff"/>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516279" cy="2198223"/>
                    </a:xfrm>
                    <a:prstGeom prst="rect">
                      <a:avLst/>
                    </a:prstGeom>
                    <a:noFill/>
                    <a:ln>
                      <a:noFill/>
                    </a:ln>
                  </pic:spPr>
                </pic:pic>
              </a:graphicData>
            </a:graphic>
          </wp:inline>
        </w:drawing>
      </w:r>
    </w:p>
    <w:p w:rsidR="009D21FD" w:rsidRPr="009D21FD" w:rsidRDefault="009D21FD" w:rsidP="00053C28">
      <w:pPr>
        <w:jc w:val="center"/>
        <w:rPr>
          <w:sz w:val="28"/>
          <w:szCs w:val="28"/>
        </w:rPr>
      </w:pPr>
      <w:r w:rsidRPr="009D21FD">
        <w:rPr>
          <w:sz w:val="28"/>
          <w:szCs w:val="28"/>
        </w:rPr>
        <w:t xml:space="preserve">Рисунок 40 – Результат анализа оптических измерений </w:t>
      </w:r>
      <w:r w:rsidR="007A7888" w:rsidRPr="007A7888">
        <w:rPr>
          <w:i/>
          <w:sz w:val="28"/>
          <w:szCs w:val="28"/>
        </w:rPr>
        <w:t>S. aureus</w:t>
      </w:r>
      <w:r w:rsidRPr="009D21FD">
        <w:rPr>
          <w:sz w:val="28"/>
          <w:szCs w:val="28"/>
        </w:rPr>
        <w:t xml:space="preserve">: nuc (Target1, канал FAM), BlaZ (Target2, канал </w:t>
      </w:r>
      <w:r w:rsidR="001F2EB0">
        <w:rPr>
          <w:sz w:val="28"/>
          <w:szCs w:val="28"/>
        </w:rPr>
        <w:t>HEX</w:t>
      </w:r>
      <w:r w:rsidRPr="009D21FD">
        <w:rPr>
          <w:sz w:val="28"/>
          <w:szCs w:val="28"/>
        </w:rPr>
        <w:t xml:space="preserve">), ermC (Target3, канал ROX) и TetK (Target4, канал </w:t>
      </w:r>
      <w:r w:rsidR="001F2EB0">
        <w:rPr>
          <w:sz w:val="28"/>
          <w:szCs w:val="28"/>
        </w:rPr>
        <w:t>CY5</w:t>
      </w:r>
      <w:r w:rsidRPr="009D21FD">
        <w:rPr>
          <w:sz w:val="28"/>
          <w:szCs w:val="28"/>
        </w:rPr>
        <w:t>). Температура отжига праймеров 62⁰C</w:t>
      </w:r>
    </w:p>
    <w:p w:rsidR="009D21FD" w:rsidRPr="009D21FD" w:rsidRDefault="009D21FD" w:rsidP="00053C28">
      <w:pPr>
        <w:jc w:val="center"/>
        <w:rPr>
          <w:sz w:val="28"/>
          <w:szCs w:val="28"/>
        </w:rPr>
      </w:pPr>
    </w:p>
    <w:p w:rsidR="009D21FD" w:rsidRPr="009D21FD" w:rsidRDefault="009D21FD" w:rsidP="00053C28">
      <w:pPr>
        <w:jc w:val="center"/>
        <w:rPr>
          <w:sz w:val="28"/>
          <w:szCs w:val="28"/>
        </w:rPr>
      </w:pPr>
      <w:r w:rsidRPr="009D21FD">
        <w:rPr>
          <w:noProof/>
          <w:sz w:val="28"/>
          <w:szCs w:val="28"/>
          <w:lang w:eastAsia="ru-RU"/>
        </w:rPr>
        <w:lastRenderedPageBreak/>
        <w:drawing>
          <wp:inline distT="0" distB="0" distL="0" distR="0" wp14:anchorId="03ADE485" wp14:editId="412478DD">
            <wp:extent cx="3486043" cy="2179320"/>
            <wp:effectExtent l="0" t="0" r="635" b="0"/>
            <wp:docPr id="23" name="Рисунок 23" descr="C:\Users\User\Моноблок\Байменов\2025 год\докторантура\материалы и методы\Рисунки\Рисунок 30 – Результат анализа оптических измерений S. aureus 6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Моноблок\Байменов\2025 год\докторантура\материалы и методы\Рисунки\Рисунок 30 – Результат анализа оптических измерений S. aureus 63.tiff"/>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540323" cy="2213254"/>
                    </a:xfrm>
                    <a:prstGeom prst="rect">
                      <a:avLst/>
                    </a:prstGeom>
                    <a:noFill/>
                    <a:ln>
                      <a:noFill/>
                    </a:ln>
                  </pic:spPr>
                </pic:pic>
              </a:graphicData>
            </a:graphic>
          </wp:inline>
        </w:drawing>
      </w:r>
    </w:p>
    <w:p w:rsidR="009D21FD" w:rsidRPr="009D21FD" w:rsidRDefault="009D21FD" w:rsidP="00053C28">
      <w:pPr>
        <w:jc w:val="center"/>
        <w:rPr>
          <w:sz w:val="28"/>
          <w:szCs w:val="28"/>
        </w:rPr>
      </w:pPr>
      <w:r w:rsidRPr="009D21FD">
        <w:rPr>
          <w:sz w:val="28"/>
          <w:szCs w:val="28"/>
        </w:rPr>
        <w:t xml:space="preserve">Рисунок 41 – Результат анализа оптических измерений </w:t>
      </w:r>
      <w:r w:rsidR="007A7888" w:rsidRPr="007A7888">
        <w:rPr>
          <w:i/>
          <w:sz w:val="28"/>
          <w:szCs w:val="28"/>
        </w:rPr>
        <w:t>S. aureus</w:t>
      </w:r>
      <w:r w:rsidRPr="009D21FD">
        <w:rPr>
          <w:sz w:val="28"/>
          <w:szCs w:val="28"/>
        </w:rPr>
        <w:t xml:space="preserve">: nuc (Target1, канал FAM), BlaZ (Target2, канал </w:t>
      </w:r>
      <w:r w:rsidR="001F2EB0">
        <w:rPr>
          <w:sz w:val="28"/>
          <w:szCs w:val="28"/>
        </w:rPr>
        <w:t>HEX</w:t>
      </w:r>
      <w:r w:rsidRPr="009D21FD">
        <w:rPr>
          <w:sz w:val="28"/>
          <w:szCs w:val="28"/>
        </w:rPr>
        <w:t xml:space="preserve">), ermC (Target3, канал ROX) и TetK (Target4, канал </w:t>
      </w:r>
      <w:r w:rsidR="001F2EB0">
        <w:rPr>
          <w:sz w:val="28"/>
          <w:szCs w:val="28"/>
        </w:rPr>
        <w:t>CY5</w:t>
      </w:r>
      <w:r w:rsidRPr="009D21FD">
        <w:rPr>
          <w:sz w:val="28"/>
          <w:szCs w:val="28"/>
        </w:rPr>
        <w:t>). Температура отжига праймеров 63⁰C</w:t>
      </w:r>
    </w:p>
    <w:p w:rsidR="009D21FD" w:rsidRPr="009D21FD" w:rsidRDefault="009D21FD" w:rsidP="00053C28">
      <w:pPr>
        <w:jc w:val="center"/>
        <w:rPr>
          <w:sz w:val="28"/>
          <w:szCs w:val="28"/>
        </w:rPr>
      </w:pPr>
    </w:p>
    <w:p w:rsidR="009D21FD" w:rsidRPr="009D21FD" w:rsidRDefault="009D21FD" w:rsidP="00053C28">
      <w:pPr>
        <w:jc w:val="center"/>
        <w:rPr>
          <w:sz w:val="28"/>
          <w:szCs w:val="28"/>
        </w:rPr>
      </w:pPr>
      <w:r w:rsidRPr="009D21FD">
        <w:rPr>
          <w:noProof/>
          <w:sz w:val="28"/>
          <w:szCs w:val="28"/>
          <w:lang w:eastAsia="ru-RU"/>
        </w:rPr>
        <w:drawing>
          <wp:inline distT="0" distB="0" distL="0" distR="0" wp14:anchorId="2F3D991E" wp14:editId="6927DDC7">
            <wp:extent cx="3465830" cy="2166683"/>
            <wp:effectExtent l="0" t="0" r="1270" b="5080"/>
            <wp:docPr id="24" name="Рисунок 24" descr="C:\Users\User\Моноблок\Байменов\2025 год\докторантура\материалы и методы\Рисунки\Рисунок 31 – Результат анализа оптических измерений S. aureus 6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Моноблок\Байменов\2025 год\докторантура\материалы и методы\Рисунки\Рисунок 31 – Результат анализа оптических измерений S. aureus 64.tiff"/>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495593" cy="2185290"/>
                    </a:xfrm>
                    <a:prstGeom prst="rect">
                      <a:avLst/>
                    </a:prstGeom>
                    <a:noFill/>
                    <a:ln>
                      <a:noFill/>
                    </a:ln>
                  </pic:spPr>
                </pic:pic>
              </a:graphicData>
            </a:graphic>
          </wp:inline>
        </w:drawing>
      </w:r>
    </w:p>
    <w:p w:rsidR="009D21FD" w:rsidRPr="009D21FD" w:rsidRDefault="009D21FD" w:rsidP="00053C28">
      <w:pPr>
        <w:jc w:val="center"/>
        <w:rPr>
          <w:sz w:val="28"/>
          <w:szCs w:val="28"/>
        </w:rPr>
      </w:pPr>
      <w:r w:rsidRPr="009D21FD">
        <w:rPr>
          <w:sz w:val="28"/>
          <w:szCs w:val="28"/>
        </w:rPr>
        <w:t xml:space="preserve">Рисунок 42 – Результат анализа оптических измерений </w:t>
      </w:r>
      <w:r w:rsidR="007A7888" w:rsidRPr="007A7888">
        <w:rPr>
          <w:i/>
          <w:sz w:val="28"/>
          <w:szCs w:val="28"/>
        </w:rPr>
        <w:t>S. aureus</w:t>
      </w:r>
      <w:r w:rsidRPr="009D21FD">
        <w:rPr>
          <w:sz w:val="28"/>
          <w:szCs w:val="28"/>
        </w:rPr>
        <w:t xml:space="preserve">: nuc (Target1, канал FAM), BlaZ (Target2, канал </w:t>
      </w:r>
      <w:r w:rsidR="001F2EB0">
        <w:rPr>
          <w:sz w:val="28"/>
          <w:szCs w:val="28"/>
        </w:rPr>
        <w:t>HEX</w:t>
      </w:r>
      <w:r w:rsidRPr="009D21FD">
        <w:rPr>
          <w:sz w:val="28"/>
          <w:szCs w:val="28"/>
        </w:rPr>
        <w:t xml:space="preserve">), ermC (Target3, канал ROX) и TetK (Target4, канал </w:t>
      </w:r>
      <w:r w:rsidR="001F2EB0">
        <w:rPr>
          <w:sz w:val="28"/>
          <w:szCs w:val="28"/>
        </w:rPr>
        <w:t>CY5</w:t>
      </w:r>
      <w:r w:rsidRPr="009D21FD">
        <w:rPr>
          <w:sz w:val="28"/>
          <w:szCs w:val="28"/>
        </w:rPr>
        <w:t>). Температура отжига праймеров 64⁰C</w:t>
      </w:r>
    </w:p>
    <w:p w:rsidR="009D21FD" w:rsidRPr="009D21FD" w:rsidRDefault="009D21FD" w:rsidP="00053C28">
      <w:pPr>
        <w:jc w:val="center"/>
        <w:rPr>
          <w:sz w:val="28"/>
          <w:szCs w:val="28"/>
        </w:rPr>
      </w:pPr>
    </w:p>
    <w:p w:rsidR="009D21FD" w:rsidRPr="009D21FD" w:rsidRDefault="009D21FD" w:rsidP="00053C28">
      <w:pPr>
        <w:jc w:val="center"/>
        <w:rPr>
          <w:sz w:val="28"/>
          <w:szCs w:val="28"/>
        </w:rPr>
      </w:pPr>
      <w:r w:rsidRPr="009D21FD">
        <w:rPr>
          <w:noProof/>
          <w:sz w:val="28"/>
          <w:szCs w:val="28"/>
          <w:lang w:eastAsia="ru-RU"/>
        </w:rPr>
        <w:drawing>
          <wp:inline distT="0" distB="0" distL="0" distR="0" wp14:anchorId="3973F8E1" wp14:editId="311FA48F">
            <wp:extent cx="3498233" cy="2186940"/>
            <wp:effectExtent l="0" t="0" r="6985" b="3810"/>
            <wp:docPr id="25" name="Рисунок 25" descr="C:\Users\User\Моноблок\Байменов\2025 год\докторантура\материалы и методы\Рисунки\Рисунок 32 – Результат анализа оптических измерений S. aureus 6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Моноблок\Байменов\2025 год\докторантура\материалы и методы\Рисунки\Рисунок 32 – Результат анализа оптических измерений S. aureus 65.tiff"/>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550500" cy="2219615"/>
                    </a:xfrm>
                    <a:prstGeom prst="rect">
                      <a:avLst/>
                    </a:prstGeom>
                    <a:noFill/>
                    <a:ln>
                      <a:noFill/>
                    </a:ln>
                  </pic:spPr>
                </pic:pic>
              </a:graphicData>
            </a:graphic>
          </wp:inline>
        </w:drawing>
      </w:r>
    </w:p>
    <w:p w:rsidR="009D21FD" w:rsidRPr="009D21FD" w:rsidRDefault="009D21FD" w:rsidP="00053C28">
      <w:pPr>
        <w:jc w:val="center"/>
        <w:rPr>
          <w:sz w:val="28"/>
          <w:szCs w:val="28"/>
        </w:rPr>
      </w:pPr>
      <w:r w:rsidRPr="009D21FD">
        <w:rPr>
          <w:sz w:val="28"/>
          <w:szCs w:val="28"/>
        </w:rPr>
        <w:t xml:space="preserve">Рисунок 43 – Результат анализа оптических измерений </w:t>
      </w:r>
      <w:r w:rsidR="007A7888" w:rsidRPr="007A7888">
        <w:rPr>
          <w:i/>
          <w:sz w:val="28"/>
          <w:szCs w:val="28"/>
        </w:rPr>
        <w:t>S. aureus</w:t>
      </w:r>
      <w:r w:rsidRPr="009D21FD">
        <w:rPr>
          <w:sz w:val="28"/>
          <w:szCs w:val="28"/>
        </w:rPr>
        <w:t xml:space="preserve">: nuc (Target1, канал FAM), BlaZ (Target2, канал </w:t>
      </w:r>
      <w:r w:rsidR="001F2EB0">
        <w:rPr>
          <w:sz w:val="28"/>
          <w:szCs w:val="28"/>
        </w:rPr>
        <w:t>HEX</w:t>
      </w:r>
      <w:r w:rsidRPr="009D21FD">
        <w:rPr>
          <w:sz w:val="28"/>
          <w:szCs w:val="28"/>
        </w:rPr>
        <w:t xml:space="preserve">), ermC (Target3, канал ROX) и TetK (Target4, канал </w:t>
      </w:r>
      <w:r w:rsidR="001F2EB0">
        <w:rPr>
          <w:sz w:val="28"/>
          <w:szCs w:val="28"/>
        </w:rPr>
        <w:t>CY5</w:t>
      </w:r>
      <w:r w:rsidRPr="009D21FD">
        <w:rPr>
          <w:sz w:val="28"/>
          <w:szCs w:val="28"/>
        </w:rPr>
        <w:t>). Температура отжига праймеров 65⁰C</w:t>
      </w:r>
    </w:p>
    <w:p w:rsidR="009D21FD" w:rsidRPr="009D21FD" w:rsidRDefault="009D21FD" w:rsidP="009D21FD">
      <w:pPr>
        <w:rPr>
          <w:sz w:val="28"/>
          <w:szCs w:val="28"/>
        </w:rPr>
      </w:pPr>
    </w:p>
    <w:p w:rsidR="009D21FD" w:rsidRPr="009D21FD" w:rsidRDefault="009D21FD" w:rsidP="00053C28">
      <w:pPr>
        <w:ind w:firstLine="709"/>
        <w:rPr>
          <w:sz w:val="28"/>
          <w:szCs w:val="28"/>
        </w:rPr>
      </w:pPr>
      <w:r w:rsidRPr="009D21FD">
        <w:rPr>
          <w:sz w:val="28"/>
          <w:szCs w:val="28"/>
        </w:rPr>
        <w:lastRenderedPageBreak/>
        <w:t xml:space="preserve">Пороговый цикл Ct определялся как количество циклов, необходимых для достижения установленного уровня флуоресценции (обычно выше уровня фонового шума) в экспоненциальной фазе. На графике кривой накопления этот момент часто представляет собой точку пересечения кривой с установленным пороговым уровнем.  Анализируя кинетику амплификации для каждого образца и целевого гена, необходимых для достижения порогового значения, получали информацию об эффективности реакции на основе кривой накопления (приложение </w:t>
      </w:r>
      <w:r w:rsidR="001A43AE">
        <w:rPr>
          <w:sz w:val="28"/>
          <w:szCs w:val="28"/>
        </w:rPr>
        <w:t>У</w:t>
      </w:r>
      <w:r w:rsidRPr="009D21FD">
        <w:rPr>
          <w:sz w:val="28"/>
          <w:szCs w:val="28"/>
        </w:rPr>
        <w:t>).</w:t>
      </w:r>
      <w:r w:rsidR="00053C28">
        <w:rPr>
          <w:sz w:val="28"/>
          <w:szCs w:val="28"/>
        </w:rPr>
        <w:t xml:space="preserve"> </w:t>
      </w:r>
      <w:r w:rsidRPr="009D21FD">
        <w:rPr>
          <w:sz w:val="28"/>
          <w:szCs w:val="28"/>
        </w:rPr>
        <w:t>Анализ кривых накопления флуоресцентного сигнала представлен в таблицах 19, 20.</w:t>
      </w:r>
    </w:p>
    <w:p w:rsidR="009D21FD" w:rsidRPr="009D21FD" w:rsidRDefault="009D21FD" w:rsidP="009D21FD">
      <w:pPr>
        <w:rPr>
          <w:sz w:val="28"/>
          <w:szCs w:val="28"/>
        </w:rPr>
      </w:pPr>
    </w:p>
    <w:p w:rsidR="009D21FD" w:rsidRDefault="009D21FD" w:rsidP="009D21FD">
      <w:pPr>
        <w:rPr>
          <w:sz w:val="28"/>
          <w:szCs w:val="28"/>
        </w:rPr>
      </w:pPr>
      <w:r w:rsidRPr="009D21FD">
        <w:rPr>
          <w:sz w:val="28"/>
          <w:szCs w:val="28"/>
        </w:rPr>
        <w:t>Таблица 19 – Результат анализа оптических измерений с указанием позиций образцов в температурном блоке</w:t>
      </w:r>
    </w:p>
    <w:tbl>
      <w:tblPr>
        <w:tblW w:w="5000" w:type="pct"/>
        <w:tblLook w:val="04A0" w:firstRow="1" w:lastRow="0" w:firstColumn="1" w:lastColumn="0" w:noHBand="0" w:noVBand="1"/>
      </w:tblPr>
      <w:tblGrid>
        <w:gridCol w:w="564"/>
        <w:gridCol w:w="1417"/>
        <w:gridCol w:w="1596"/>
        <w:gridCol w:w="952"/>
        <w:gridCol w:w="1914"/>
        <w:gridCol w:w="1393"/>
        <w:gridCol w:w="2018"/>
      </w:tblGrid>
      <w:tr w:rsidR="001C1E30" w:rsidRPr="001C1E30" w:rsidTr="006F2F87">
        <w:trPr>
          <w:trHeight w:val="288"/>
        </w:trPr>
        <w:tc>
          <w:tcPr>
            <w:tcW w:w="28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w:t>
            </w:r>
          </w:p>
        </w:tc>
        <w:tc>
          <w:tcPr>
            <w:tcW w:w="719" w:type="pct"/>
            <w:tcBorders>
              <w:top w:val="single" w:sz="4" w:space="0" w:color="auto"/>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Позиция</w:t>
            </w:r>
          </w:p>
        </w:tc>
        <w:tc>
          <w:tcPr>
            <w:tcW w:w="810" w:type="pct"/>
            <w:tcBorders>
              <w:top w:val="single" w:sz="4" w:space="0" w:color="auto"/>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Образец</w:t>
            </w:r>
          </w:p>
        </w:tc>
        <w:tc>
          <w:tcPr>
            <w:tcW w:w="483" w:type="pct"/>
            <w:tcBorders>
              <w:top w:val="single" w:sz="4" w:space="0" w:color="auto"/>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Ген</w:t>
            </w:r>
          </w:p>
        </w:tc>
        <w:tc>
          <w:tcPr>
            <w:tcW w:w="971" w:type="pct"/>
            <w:tcBorders>
              <w:top w:val="single" w:sz="4" w:space="0" w:color="auto"/>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Name</w:t>
            </w:r>
          </w:p>
        </w:tc>
        <w:tc>
          <w:tcPr>
            <w:tcW w:w="707" w:type="pct"/>
            <w:tcBorders>
              <w:top w:val="single" w:sz="4" w:space="0" w:color="auto"/>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Reporter</w:t>
            </w:r>
          </w:p>
        </w:tc>
        <w:tc>
          <w:tcPr>
            <w:tcW w:w="1024" w:type="pct"/>
            <w:tcBorders>
              <w:top w:val="single" w:sz="4" w:space="0" w:color="auto"/>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CT</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A1</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nuc</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1</w:t>
            </w:r>
          </w:p>
        </w:tc>
        <w:tc>
          <w:tcPr>
            <w:tcW w:w="707" w:type="pct"/>
            <w:tcBorders>
              <w:top w:val="nil"/>
              <w:left w:val="nil"/>
              <w:bottom w:val="single" w:sz="4" w:space="0" w:color="auto"/>
              <w:right w:val="single" w:sz="4" w:space="0" w:color="auto"/>
            </w:tcBorders>
            <w:shd w:val="clear" w:color="000000" w:fill="FF0000"/>
            <w:noWrap/>
            <w:vAlign w:val="bottom"/>
            <w:hideMark/>
          </w:tcPr>
          <w:p w:rsidR="001C1E30" w:rsidRPr="001C1E30" w:rsidRDefault="001C1E30" w:rsidP="001C1E30">
            <w:pPr>
              <w:rPr>
                <w:rFonts w:cs="Times New Roman"/>
                <w:sz w:val="28"/>
                <w:szCs w:val="28"/>
              </w:rPr>
            </w:pPr>
            <w:r w:rsidRPr="001C1E30">
              <w:rPr>
                <w:rFonts w:cs="Times New Roman"/>
                <w:sz w:val="28"/>
                <w:szCs w:val="28"/>
              </w:rPr>
              <w:t>FAM</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13,674</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2</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A3</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2</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nuc</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1</w:t>
            </w:r>
          </w:p>
        </w:tc>
        <w:tc>
          <w:tcPr>
            <w:tcW w:w="707" w:type="pct"/>
            <w:tcBorders>
              <w:top w:val="nil"/>
              <w:left w:val="nil"/>
              <w:bottom w:val="single" w:sz="4" w:space="0" w:color="auto"/>
              <w:right w:val="single" w:sz="4" w:space="0" w:color="auto"/>
            </w:tcBorders>
            <w:shd w:val="clear" w:color="000000" w:fill="FF0000"/>
            <w:noWrap/>
            <w:vAlign w:val="bottom"/>
            <w:hideMark/>
          </w:tcPr>
          <w:p w:rsidR="001C1E30" w:rsidRPr="001C1E30" w:rsidRDefault="001C1E30" w:rsidP="001C1E30">
            <w:pPr>
              <w:rPr>
                <w:rFonts w:cs="Times New Roman"/>
                <w:sz w:val="28"/>
                <w:szCs w:val="28"/>
              </w:rPr>
            </w:pPr>
            <w:r w:rsidRPr="001C1E30">
              <w:rPr>
                <w:rFonts w:cs="Times New Roman"/>
                <w:sz w:val="28"/>
                <w:szCs w:val="28"/>
              </w:rPr>
              <w:t>FAM</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11,193</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3</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A5</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3</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nuc</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1</w:t>
            </w:r>
          </w:p>
        </w:tc>
        <w:tc>
          <w:tcPr>
            <w:tcW w:w="707" w:type="pct"/>
            <w:tcBorders>
              <w:top w:val="nil"/>
              <w:left w:val="nil"/>
              <w:bottom w:val="single" w:sz="4" w:space="0" w:color="auto"/>
              <w:right w:val="single" w:sz="4" w:space="0" w:color="auto"/>
            </w:tcBorders>
            <w:shd w:val="clear" w:color="000000" w:fill="FF0000"/>
            <w:noWrap/>
            <w:vAlign w:val="bottom"/>
            <w:hideMark/>
          </w:tcPr>
          <w:p w:rsidR="001C1E30" w:rsidRPr="001C1E30" w:rsidRDefault="001C1E30" w:rsidP="001C1E30">
            <w:pPr>
              <w:rPr>
                <w:rFonts w:cs="Times New Roman"/>
                <w:sz w:val="28"/>
                <w:szCs w:val="28"/>
              </w:rPr>
            </w:pPr>
            <w:r w:rsidRPr="001C1E30">
              <w:rPr>
                <w:rFonts w:cs="Times New Roman"/>
                <w:sz w:val="28"/>
                <w:szCs w:val="28"/>
              </w:rPr>
              <w:t>FAM</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15,169</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4</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A7</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4</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nuc</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1</w:t>
            </w:r>
          </w:p>
        </w:tc>
        <w:tc>
          <w:tcPr>
            <w:tcW w:w="707" w:type="pct"/>
            <w:tcBorders>
              <w:top w:val="nil"/>
              <w:left w:val="nil"/>
              <w:bottom w:val="single" w:sz="4" w:space="0" w:color="auto"/>
              <w:right w:val="single" w:sz="4" w:space="0" w:color="auto"/>
            </w:tcBorders>
            <w:shd w:val="clear" w:color="000000" w:fill="FF0000"/>
            <w:noWrap/>
            <w:vAlign w:val="bottom"/>
            <w:hideMark/>
          </w:tcPr>
          <w:p w:rsidR="001C1E30" w:rsidRPr="001C1E30" w:rsidRDefault="001C1E30" w:rsidP="001C1E30">
            <w:pPr>
              <w:rPr>
                <w:rFonts w:cs="Times New Roman"/>
                <w:sz w:val="28"/>
                <w:szCs w:val="28"/>
              </w:rPr>
            </w:pPr>
            <w:r w:rsidRPr="001C1E30">
              <w:rPr>
                <w:rFonts w:cs="Times New Roman"/>
                <w:sz w:val="28"/>
                <w:szCs w:val="28"/>
              </w:rPr>
              <w:t>FAM</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14,671</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5</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A9</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5</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nuc</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1</w:t>
            </w:r>
          </w:p>
        </w:tc>
        <w:tc>
          <w:tcPr>
            <w:tcW w:w="707" w:type="pct"/>
            <w:tcBorders>
              <w:top w:val="nil"/>
              <w:left w:val="nil"/>
              <w:bottom w:val="single" w:sz="4" w:space="0" w:color="auto"/>
              <w:right w:val="single" w:sz="4" w:space="0" w:color="auto"/>
            </w:tcBorders>
            <w:shd w:val="clear" w:color="000000" w:fill="FF0000"/>
            <w:noWrap/>
            <w:vAlign w:val="bottom"/>
            <w:hideMark/>
          </w:tcPr>
          <w:p w:rsidR="001C1E30" w:rsidRPr="001C1E30" w:rsidRDefault="001C1E30" w:rsidP="001C1E30">
            <w:pPr>
              <w:rPr>
                <w:rFonts w:cs="Times New Roman"/>
                <w:sz w:val="28"/>
                <w:szCs w:val="28"/>
              </w:rPr>
            </w:pPr>
            <w:r w:rsidRPr="001C1E30">
              <w:rPr>
                <w:rFonts w:cs="Times New Roman"/>
                <w:sz w:val="28"/>
                <w:szCs w:val="28"/>
              </w:rPr>
              <w:t>FAM</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12,083</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6</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A11</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6</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nuc</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1</w:t>
            </w:r>
          </w:p>
        </w:tc>
        <w:tc>
          <w:tcPr>
            <w:tcW w:w="707" w:type="pct"/>
            <w:tcBorders>
              <w:top w:val="nil"/>
              <w:left w:val="nil"/>
              <w:bottom w:val="single" w:sz="4" w:space="0" w:color="auto"/>
              <w:right w:val="single" w:sz="4" w:space="0" w:color="auto"/>
            </w:tcBorders>
            <w:shd w:val="clear" w:color="000000" w:fill="FF0000"/>
            <w:noWrap/>
            <w:vAlign w:val="bottom"/>
            <w:hideMark/>
          </w:tcPr>
          <w:p w:rsidR="001C1E30" w:rsidRPr="001C1E30" w:rsidRDefault="001C1E30" w:rsidP="001C1E30">
            <w:pPr>
              <w:rPr>
                <w:rFonts w:cs="Times New Roman"/>
                <w:sz w:val="28"/>
                <w:szCs w:val="28"/>
              </w:rPr>
            </w:pPr>
            <w:r w:rsidRPr="001C1E30">
              <w:rPr>
                <w:rFonts w:cs="Times New Roman"/>
                <w:sz w:val="28"/>
                <w:szCs w:val="28"/>
              </w:rPr>
              <w:t>FAM</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16,938</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7</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B1</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7</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BlaZ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2</w:t>
            </w:r>
          </w:p>
        </w:tc>
        <w:tc>
          <w:tcPr>
            <w:tcW w:w="707" w:type="pct"/>
            <w:tcBorders>
              <w:top w:val="nil"/>
              <w:left w:val="nil"/>
              <w:bottom w:val="single" w:sz="4" w:space="0" w:color="auto"/>
              <w:right w:val="single" w:sz="4" w:space="0" w:color="auto"/>
            </w:tcBorders>
            <w:shd w:val="clear" w:color="000000" w:fill="00B0F0"/>
            <w:noWrap/>
            <w:vAlign w:val="bottom"/>
            <w:hideMark/>
          </w:tcPr>
          <w:p w:rsidR="001C1E30" w:rsidRPr="001C1E30" w:rsidRDefault="001F2EB0" w:rsidP="001C1E30">
            <w:pPr>
              <w:rPr>
                <w:rFonts w:cs="Times New Roman"/>
                <w:sz w:val="28"/>
                <w:szCs w:val="28"/>
              </w:rPr>
            </w:pPr>
            <w:r>
              <w:rPr>
                <w:rFonts w:cs="Times New Roman"/>
                <w:sz w:val="28"/>
                <w:szCs w:val="28"/>
              </w:rPr>
              <w:t>HEX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16,288</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8</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B3</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8</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BlaZ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2</w:t>
            </w:r>
          </w:p>
        </w:tc>
        <w:tc>
          <w:tcPr>
            <w:tcW w:w="707" w:type="pct"/>
            <w:tcBorders>
              <w:top w:val="nil"/>
              <w:left w:val="nil"/>
              <w:bottom w:val="single" w:sz="4" w:space="0" w:color="auto"/>
              <w:right w:val="single" w:sz="4" w:space="0" w:color="auto"/>
            </w:tcBorders>
            <w:shd w:val="clear" w:color="000000" w:fill="00B0F0"/>
            <w:noWrap/>
            <w:vAlign w:val="bottom"/>
            <w:hideMark/>
          </w:tcPr>
          <w:p w:rsidR="001C1E30" w:rsidRPr="001C1E30" w:rsidRDefault="001F2EB0" w:rsidP="001C1E30">
            <w:pPr>
              <w:rPr>
                <w:rFonts w:cs="Times New Roman"/>
                <w:sz w:val="28"/>
                <w:szCs w:val="28"/>
              </w:rPr>
            </w:pPr>
            <w:r>
              <w:rPr>
                <w:rFonts w:cs="Times New Roman"/>
                <w:sz w:val="28"/>
                <w:szCs w:val="28"/>
              </w:rPr>
              <w:t>HEX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18,427</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9</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B5</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9</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BlaZ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2</w:t>
            </w:r>
          </w:p>
        </w:tc>
        <w:tc>
          <w:tcPr>
            <w:tcW w:w="707" w:type="pct"/>
            <w:tcBorders>
              <w:top w:val="nil"/>
              <w:left w:val="nil"/>
              <w:bottom w:val="single" w:sz="4" w:space="0" w:color="auto"/>
              <w:right w:val="single" w:sz="4" w:space="0" w:color="auto"/>
            </w:tcBorders>
            <w:shd w:val="clear" w:color="000000" w:fill="00B0F0"/>
            <w:noWrap/>
            <w:vAlign w:val="bottom"/>
            <w:hideMark/>
          </w:tcPr>
          <w:p w:rsidR="001C1E30" w:rsidRPr="001C1E30" w:rsidRDefault="001F2EB0" w:rsidP="001C1E30">
            <w:pPr>
              <w:rPr>
                <w:rFonts w:cs="Times New Roman"/>
                <w:sz w:val="28"/>
                <w:szCs w:val="28"/>
              </w:rPr>
            </w:pPr>
            <w:r>
              <w:rPr>
                <w:rFonts w:cs="Times New Roman"/>
                <w:sz w:val="28"/>
                <w:szCs w:val="28"/>
              </w:rPr>
              <w:t>HEX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17,872</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10</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B7</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10</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BlaZ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2</w:t>
            </w:r>
          </w:p>
        </w:tc>
        <w:tc>
          <w:tcPr>
            <w:tcW w:w="707" w:type="pct"/>
            <w:tcBorders>
              <w:top w:val="nil"/>
              <w:left w:val="nil"/>
              <w:bottom w:val="single" w:sz="4" w:space="0" w:color="auto"/>
              <w:right w:val="single" w:sz="4" w:space="0" w:color="auto"/>
            </w:tcBorders>
            <w:shd w:val="clear" w:color="000000" w:fill="00B0F0"/>
            <w:noWrap/>
            <w:vAlign w:val="bottom"/>
            <w:hideMark/>
          </w:tcPr>
          <w:p w:rsidR="001C1E30" w:rsidRPr="001C1E30" w:rsidRDefault="001F2EB0" w:rsidP="001C1E30">
            <w:pPr>
              <w:rPr>
                <w:rFonts w:cs="Times New Roman"/>
                <w:sz w:val="28"/>
                <w:szCs w:val="28"/>
              </w:rPr>
            </w:pPr>
            <w:r>
              <w:rPr>
                <w:rFonts w:cs="Times New Roman"/>
                <w:sz w:val="28"/>
                <w:szCs w:val="28"/>
              </w:rPr>
              <w:t>HEX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18,662</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11</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B9</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11</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BlaZ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2</w:t>
            </w:r>
          </w:p>
        </w:tc>
        <w:tc>
          <w:tcPr>
            <w:tcW w:w="707" w:type="pct"/>
            <w:tcBorders>
              <w:top w:val="nil"/>
              <w:left w:val="nil"/>
              <w:bottom w:val="single" w:sz="4" w:space="0" w:color="auto"/>
              <w:right w:val="single" w:sz="4" w:space="0" w:color="auto"/>
            </w:tcBorders>
            <w:shd w:val="clear" w:color="000000" w:fill="00B0F0"/>
            <w:noWrap/>
            <w:vAlign w:val="bottom"/>
            <w:hideMark/>
          </w:tcPr>
          <w:p w:rsidR="001C1E30" w:rsidRPr="001C1E30" w:rsidRDefault="001F2EB0" w:rsidP="001C1E30">
            <w:pPr>
              <w:rPr>
                <w:rFonts w:cs="Times New Roman"/>
                <w:sz w:val="28"/>
                <w:szCs w:val="28"/>
              </w:rPr>
            </w:pPr>
            <w:r>
              <w:rPr>
                <w:rFonts w:cs="Times New Roman"/>
                <w:sz w:val="28"/>
                <w:szCs w:val="28"/>
              </w:rPr>
              <w:t>HEX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19,805</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12</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B11</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12</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BlaZ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2</w:t>
            </w:r>
          </w:p>
        </w:tc>
        <w:tc>
          <w:tcPr>
            <w:tcW w:w="707" w:type="pct"/>
            <w:tcBorders>
              <w:top w:val="nil"/>
              <w:left w:val="nil"/>
              <w:bottom w:val="single" w:sz="4" w:space="0" w:color="auto"/>
              <w:right w:val="single" w:sz="4" w:space="0" w:color="auto"/>
            </w:tcBorders>
            <w:shd w:val="clear" w:color="000000" w:fill="00B0F0"/>
            <w:noWrap/>
            <w:vAlign w:val="bottom"/>
            <w:hideMark/>
          </w:tcPr>
          <w:p w:rsidR="001C1E30" w:rsidRPr="001C1E30" w:rsidRDefault="001F2EB0" w:rsidP="001C1E30">
            <w:pPr>
              <w:rPr>
                <w:rFonts w:cs="Times New Roman"/>
                <w:sz w:val="28"/>
                <w:szCs w:val="28"/>
              </w:rPr>
            </w:pPr>
            <w:r>
              <w:rPr>
                <w:rFonts w:cs="Times New Roman"/>
                <w:sz w:val="28"/>
                <w:szCs w:val="28"/>
              </w:rPr>
              <w:t>HEX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20,633</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13</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C1</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13</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ermC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3</w:t>
            </w:r>
          </w:p>
        </w:tc>
        <w:tc>
          <w:tcPr>
            <w:tcW w:w="707" w:type="pct"/>
            <w:tcBorders>
              <w:top w:val="nil"/>
              <w:left w:val="nil"/>
              <w:bottom w:val="single" w:sz="4" w:space="0" w:color="auto"/>
              <w:right w:val="single" w:sz="4" w:space="0" w:color="auto"/>
            </w:tcBorders>
            <w:shd w:val="clear" w:color="000000" w:fill="00B050"/>
            <w:noWrap/>
            <w:vAlign w:val="bottom"/>
            <w:hideMark/>
          </w:tcPr>
          <w:p w:rsidR="001C1E30" w:rsidRPr="001C1E30" w:rsidRDefault="001C1E30" w:rsidP="001C1E30">
            <w:pPr>
              <w:rPr>
                <w:rFonts w:cs="Times New Roman"/>
                <w:sz w:val="28"/>
                <w:szCs w:val="28"/>
              </w:rPr>
            </w:pPr>
            <w:r w:rsidRPr="001C1E30">
              <w:rPr>
                <w:rFonts w:cs="Times New Roman"/>
                <w:sz w:val="28"/>
                <w:szCs w:val="28"/>
              </w:rPr>
              <w:t>ROX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17,136</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14</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C3</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14</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ermC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3</w:t>
            </w:r>
          </w:p>
        </w:tc>
        <w:tc>
          <w:tcPr>
            <w:tcW w:w="707" w:type="pct"/>
            <w:tcBorders>
              <w:top w:val="nil"/>
              <w:left w:val="nil"/>
              <w:bottom w:val="single" w:sz="4" w:space="0" w:color="auto"/>
              <w:right w:val="single" w:sz="4" w:space="0" w:color="auto"/>
            </w:tcBorders>
            <w:shd w:val="clear" w:color="000000" w:fill="00B050"/>
            <w:noWrap/>
            <w:vAlign w:val="bottom"/>
            <w:hideMark/>
          </w:tcPr>
          <w:p w:rsidR="001C1E30" w:rsidRPr="001C1E30" w:rsidRDefault="001C1E30" w:rsidP="001C1E30">
            <w:pPr>
              <w:rPr>
                <w:rFonts w:cs="Times New Roman"/>
                <w:sz w:val="28"/>
                <w:szCs w:val="28"/>
              </w:rPr>
            </w:pPr>
            <w:r w:rsidRPr="001C1E30">
              <w:rPr>
                <w:rFonts w:cs="Times New Roman"/>
                <w:sz w:val="28"/>
                <w:szCs w:val="28"/>
              </w:rPr>
              <w:t>ROX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16,849</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15</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C5</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15</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ermC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3</w:t>
            </w:r>
          </w:p>
        </w:tc>
        <w:tc>
          <w:tcPr>
            <w:tcW w:w="707" w:type="pct"/>
            <w:tcBorders>
              <w:top w:val="nil"/>
              <w:left w:val="nil"/>
              <w:bottom w:val="single" w:sz="4" w:space="0" w:color="auto"/>
              <w:right w:val="single" w:sz="4" w:space="0" w:color="auto"/>
            </w:tcBorders>
            <w:shd w:val="clear" w:color="000000" w:fill="00B050"/>
            <w:noWrap/>
            <w:vAlign w:val="bottom"/>
            <w:hideMark/>
          </w:tcPr>
          <w:p w:rsidR="001C1E30" w:rsidRPr="001C1E30" w:rsidRDefault="001C1E30" w:rsidP="001C1E30">
            <w:pPr>
              <w:rPr>
                <w:rFonts w:cs="Times New Roman"/>
                <w:sz w:val="28"/>
                <w:szCs w:val="28"/>
              </w:rPr>
            </w:pPr>
            <w:r w:rsidRPr="001C1E30">
              <w:rPr>
                <w:rFonts w:cs="Times New Roman"/>
                <w:sz w:val="28"/>
                <w:szCs w:val="28"/>
              </w:rPr>
              <w:t>ROX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19,411</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16</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C7</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16</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ermC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3</w:t>
            </w:r>
          </w:p>
        </w:tc>
        <w:tc>
          <w:tcPr>
            <w:tcW w:w="707" w:type="pct"/>
            <w:tcBorders>
              <w:top w:val="nil"/>
              <w:left w:val="nil"/>
              <w:bottom w:val="single" w:sz="4" w:space="0" w:color="auto"/>
              <w:right w:val="single" w:sz="4" w:space="0" w:color="auto"/>
            </w:tcBorders>
            <w:shd w:val="clear" w:color="000000" w:fill="00B050"/>
            <w:noWrap/>
            <w:vAlign w:val="bottom"/>
            <w:hideMark/>
          </w:tcPr>
          <w:p w:rsidR="001C1E30" w:rsidRPr="001C1E30" w:rsidRDefault="001C1E30" w:rsidP="001C1E30">
            <w:pPr>
              <w:rPr>
                <w:rFonts w:cs="Times New Roman"/>
                <w:sz w:val="28"/>
                <w:szCs w:val="28"/>
              </w:rPr>
            </w:pPr>
            <w:r w:rsidRPr="001C1E30">
              <w:rPr>
                <w:rFonts w:cs="Times New Roman"/>
                <w:sz w:val="28"/>
                <w:szCs w:val="28"/>
              </w:rPr>
              <w:t>ROX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22,991</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17</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C9</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17</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ermC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3</w:t>
            </w:r>
          </w:p>
        </w:tc>
        <w:tc>
          <w:tcPr>
            <w:tcW w:w="707" w:type="pct"/>
            <w:tcBorders>
              <w:top w:val="nil"/>
              <w:left w:val="nil"/>
              <w:bottom w:val="single" w:sz="4" w:space="0" w:color="auto"/>
              <w:right w:val="single" w:sz="4" w:space="0" w:color="auto"/>
            </w:tcBorders>
            <w:shd w:val="clear" w:color="000000" w:fill="00B050"/>
            <w:noWrap/>
            <w:vAlign w:val="bottom"/>
            <w:hideMark/>
          </w:tcPr>
          <w:p w:rsidR="001C1E30" w:rsidRPr="001C1E30" w:rsidRDefault="001C1E30" w:rsidP="001C1E30">
            <w:pPr>
              <w:rPr>
                <w:rFonts w:cs="Times New Roman"/>
                <w:sz w:val="28"/>
                <w:szCs w:val="28"/>
              </w:rPr>
            </w:pPr>
            <w:r w:rsidRPr="001C1E30">
              <w:rPr>
                <w:rFonts w:cs="Times New Roman"/>
                <w:sz w:val="28"/>
                <w:szCs w:val="28"/>
              </w:rPr>
              <w:t>ROX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21,766</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18</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C11</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18</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ermC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3</w:t>
            </w:r>
          </w:p>
        </w:tc>
        <w:tc>
          <w:tcPr>
            <w:tcW w:w="707" w:type="pct"/>
            <w:tcBorders>
              <w:top w:val="nil"/>
              <w:left w:val="nil"/>
              <w:bottom w:val="single" w:sz="4" w:space="0" w:color="auto"/>
              <w:right w:val="single" w:sz="4" w:space="0" w:color="auto"/>
            </w:tcBorders>
            <w:shd w:val="clear" w:color="000000" w:fill="00B050"/>
            <w:noWrap/>
            <w:vAlign w:val="bottom"/>
            <w:hideMark/>
          </w:tcPr>
          <w:p w:rsidR="001C1E30" w:rsidRPr="001C1E30" w:rsidRDefault="001C1E30" w:rsidP="001C1E30">
            <w:pPr>
              <w:rPr>
                <w:rFonts w:cs="Times New Roman"/>
                <w:sz w:val="28"/>
                <w:szCs w:val="28"/>
              </w:rPr>
            </w:pPr>
            <w:r w:rsidRPr="001C1E30">
              <w:rPr>
                <w:rFonts w:cs="Times New Roman"/>
                <w:sz w:val="28"/>
                <w:szCs w:val="28"/>
              </w:rPr>
              <w:t>ROX</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Не определен</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19</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D1</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19</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TetK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4</w:t>
            </w:r>
          </w:p>
        </w:tc>
        <w:tc>
          <w:tcPr>
            <w:tcW w:w="707" w:type="pct"/>
            <w:tcBorders>
              <w:top w:val="nil"/>
              <w:left w:val="nil"/>
              <w:bottom w:val="single" w:sz="4" w:space="0" w:color="auto"/>
              <w:right w:val="single" w:sz="4" w:space="0" w:color="auto"/>
            </w:tcBorders>
            <w:shd w:val="clear" w:color="000000" w:fill="FFFF00"/>
            <w:noWrap/>
            <w:vAlign w:val="bottom"/>
            <w:hideMark/>
          </w:tcPr>
          <w:p w:rsidR="001C1E30" w:rsidRPr="001C1E30" w:rsidRDefault="001F2EB0" w:rsidP="001C1E30">
            <w:pPr>
              <w:rPr>
                <w:rFonts w:cs="Times New Roman"/>
                <w:sz w:val="28"/>
                <w:szCs w:val="28"/>
              </w:rPr>
            </w:pPr>
            <w:r>
              <w:rPr>
                <w:rFonts w:cs="Times New Roman"/>
                <w:sz w:val="28"/>
                <w:szCs w:val="28"/>
              </w:rPr>
              <w:t>CY5</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11,974</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20</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D3</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20</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TetK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4</w:t>
            </w:r>
          </w:p>
        </w:tc>
        <w:tc>
          <w:tcPr>
            <w:tcW w:w="707" w:type="pct"/>
            <w:tcBorders>
              <w:top w:val="nil"/>
              <w:left w:val="nil"/>
              <w:bottom w:val="single" w:sz="4" w:space="0" w:color="auto"/>
              <w:right w:val="single" w:sz="4" w:space="0" w:color="auto"/>
            </w:tcBorders>
            <w:shd w:val="clear" w:color="000000" w:fill="FFFF00"/>
            <w:noWrap/>
            <w:vAlign w:val="bottom"/>
            <w:hideMark/>
          </w:tcPr>
          <w:p w:rsidR="001C1E30" w:rsidRPr="001C1E30" w:rsidRDefault="001F2EB0" w:rsidP="001C1E30">
            <w:pPr>
              <w:rPr>
                <w:rFonts w:cs="Times New Roman"/>
                <w:sz w:val="28"/>
                <w:szCs w:val="28"/>
              </w:rPr>
            </w:pPr>
            <w:r>
              <w:rPr>
                <w:rFonts w:cs="Times New Roman"/>
                <w:sz w:val="28"/>
                <w:szCs w:val="28"/>
              </w:rPr>
              <w:t>CY5</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12,765</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21</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D5</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21</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TetK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4</w:t>
            </w:r>
          </w:p>
        </w:tc>
        <w:tc>
          <w:tcPr>
            <w:tcW w:w="707" w:type="pct"/>
            <w:tcBorders>
              <w:top w:val="nil"/>
              <w:left w:val="nil"/>
              <w:bottom w:val="single" w:sz="4" w:space="0" w:color="auto"/>
              <w:right w:val="single" w:sz="4" w:space="0" w:color="auto"/>
            </w:tcBorders>
            <w:shd w:val="clear" w:color="000000" w:fill="FFFF00"/>
            <w:noWrap/>
            <w:vAlign w:val="bottom"/>
            <w:hideMark/>
          </w:tcPr>
          <w:p w:rsidR="001C1E30" w:rsidRPr="001C1E30" w:rsidRDefault="001F2EB0" w:rsidP="001C1E30">
            <w:pPr>
              <w:rPr>
                <w:rFonts w:cs="Times New Roman"/>
                <w:sz w:val="28"/>
                <w:szCs w:val="28"/>
              </w:rPr>
            </w:pPr>
            <w:r>
              <w:rPr>
                <w:rFonts w:cs="Times New Roman"/>
                <w:sz w:val="28"/>
                <w:szCs w:val="28"/>
              </w:rPr>
              <w:t>CY5</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12,480</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22</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D7</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22</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TetK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4</w:t>
            </w:r>
          </w:p>
        </w:tc>
        <w:tc>
          <w:tcPr>
            <w:tcW w:w="707" w:type="pct"/>
            <w:tcBorders>
              <w:top w:val="nil"/>
              <w:left w:val="nil"/>
              <w:bottom w:val="single" w:sz="4" w:space="0" w:color="auto"/>
              <w:right w:val="single" w:sz="4" w:space="0" w:color="auto"/>
            </w:tcBorders>
            <w:shd w:val="clear" w:color="000000" w:fill="FFFF00"/>
            <w:noWrap/>
            <w:vAlign w:val="bottom"/>
            <w:hideMark/>
          </w:tcPr>
          <w:p w:rsidR="001C1E30" w:rsidRPr="001C1E30" w:rsidRDefault="001F2EB0" w:rsidP="001C1E30">
            <w:pPr>
              <w:rPr>
                <w:rFonts w:cs="Times New Roman"/>
                <w:sz w:val="28"/>
                <w:szCs w:val="28"/>
              </w:rPr>
            </w:pPr>
            <w:r>
              <w:rPr>
                <w:rFonts w:cs="Times New Roman"/>
                <w:sz w:val="28"/>
                <w:szCs w:val="28"/>
              </w:rPr>
              <w:t>CY5</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13,425</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23</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D9</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23</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TetK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4</w:t>
            </w:r>
          </w:p>
        </w:tc>
        <w:tc>
          <w:tcPr>
            <w:tcW w:w="707" w:type="pct"/>
            <w:tcBorders>
              <w:top w:val="nil"/>
              <w:left w:val="nil"/>
              <w:bottom w:val="single" w:sz="4" w:space="0" w:color="auto"/>
              <w:right w:val="single" w:sz="4" w:space="0" w:color="auto"/>
            </w:tcBorders>
            <w:shd w:val="clear" w:color="000000" w:fill="FFFF00"/>
            <w:noWrap/>
            <w:vAlign w:val="bottom"/>
            <w:hideMark/>
          </w:tcPr>
          <w:p w:rsidR="001C1E30" w:rsidRPr="001C1E30" w:rsidRDefault="001F2EB0" w:rsidP="001C1E30">
            <w:pPr>
              <w:rPr>
                <w:rFonts w:cs="Times New Roman"/>
                <w:sz w:val="28"/>
                <w:szCs w:val="28"/>
              </w:rPr>
            </w:pPr>
            <w:r>
              <w:rPr>
                <w:rFonts w:cs="Times New Roman"/>
                <w:sz w:val="28"/>
                <w:szCs w:val="28"/>
              </w:rPr>
              <w:t>CY5</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14,612</w:t>
            </w:r>
          </w:p>
        </w:tc>
      </w:tr>
      <w:tr w:rsidR="001C1E30" w:rsidRPr="001C1E30" w:rsidTr="006F2F87">
        <w:trPr>
          <w:trHeight w:val="288"/>
        </w:trPr>
        <w:tc>
          <w:tcPr>
            <w:tcW w:w="286" w:type="pct"/>
            <w:tcBorders>
              <w:top w:val="nil"/>
              <w:left w:val="single" w:sz="4" w:space="0" w:color="auto"/>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24</w:t>
            </w:r>
          </w:p>
        </w:tc>
        <w:tc>
          <w:tcPr>
            <w:tcW w:w="719"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D11</w:t>
            </w:r>
          </w:p>
        </w:tc>
        <w:tc>
          <w:tcPr>
            <w:tcW w:w="810"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Sample 24</w:t>
            </w:r>
          </w:p>
        </w:tc>
        <w:tc>
          <w:tcPr>
            <w:tcW w:w="483"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 xml:space="preserve">TetK </w:t>
            </w:r>
          </w:p>
        </w:tc>
        <w:tc>
          <w:tcPr>
            <w:tcW w:w="971"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Target 4</w:t>
            </w:r>
          </w:p>
        </w:tc>
        <w:tc>
          <w:tcPr>
            <w:tcW w:w="707" w:type="pct"/>
            <w:tcBorders>
              <w:top w:val="nil"/>
              <w:left w:val="nil"/>
              <w:bottom w:val="single" w:sz="4" w:space="0" w:color="auto"/>
              <w:right w:val="single" w:sz="4" w:space="0" w:color="auto"/>
            </w:tcBorders>
            <w:shd w:val="clear" w:color="000000" w:fill="FFFF00"/>
            <w:noWrap/>
            <w:vAlign w:val="bottom"/>
            <w:hideMark/>
          </w:tcPr>
          <w:p w:rsidR="001C1E30" w:rsidRPr="001C1E30" w:rsidRDefault="001F2EB0" w:rsidP="001C1E30">
            <w:pPr>
              <w:rPr>
                <w:rFonts w:cs="Times New Roman"/>
                <w:sz w:val="28"/>
                <w:szCs w:val="28"/>
              </w:rPr>
            </w:pPr>
            <w:r>
              <w:rPr>
                <w:rFonts w:cs="Times New Roman"/>
                <w:sz w:val="28"/>
                <w:szCs w:val="28"/>
              </w:rPr>
              <w:t>CY5</w:t>
            </w:r>
          </w:p>
        </w:tc>
        <w:tc>
          <w:tcPr>
            <w:tcW w:w="1024" w:type="pct"/>
            <w:tcBorders>
              <w:top w:val="nil"/>
              <w:left w:val="nil"/>
              <w:bottom w:val="single" w:sz="4" w:space="0" w:color="auto"/>
              <w:right w:val="single" w:sz="4" w:space="0" w:color="auto"/>
            </w:tcBorders>
            <w:shd w:val="clear" w:color="auto" w:fill="auto"/>
            <w:noWrap/>
            <w:vAlign w:val="bottom"/>
            <w:hideMark/>
          </w:tcPr>
          <w:p w:rsidR="001C1E30" w:rsidRPr="001C1E30" w:rsidRDefault="001C1E30" w:rsidP="001C1E30">
            <w:pPr>
              <w:rPr>
                <w:rFonts w:cs="Times New Roman"/>
                <w:sz w:val="28"/>
                <w:szCs w:val="28"/>
              </w:rPr>
            </w:pPr>
            <w:r w:rsidRPr="001C1E30">
              <w:rPr>
                <w:rFonts w:cs="Times New Roman"/>
                <w:sz w:val="28"/>
                <w:szCs w:val="28"/>
              </w:rPr>
              <w:t>14,714</w:t>
            </w:r>
          </w:p>
        </w:tc>
      </w:tr>
    </w:tbl>
    <w:p w:rsidR="001C1E30" w:rsidRDefault="001C1E30" w:rsidP="009D21FD">
      <w:pPr>
        <w:rPr>
          <w:sz w:val="28"/>
          <w:szCs w:val="28"/>
        </w:rPr>
      </w:pPr>
    </w:p>
    <w:p w:rsidR="00FE1507" w:rsidRDefault="00FE1507" w:rsidP="001C1E30">
      <w:pPr>
        <w:rPr>
          <w:rFonts w:cs="Times New Roman"/>
          <w:sz w:val="28"/>
          <w:szCs w:val="28"/>
        </w:rPr>
      </w:pPr>
    </w:p>
    <w:p w:rsidR="00FE1507" w:rsidRDefault="00FE1507" w:rsidP="001C1E30">
      <w:pPr>
        <w:rPr>
          <w:rFonts w:cs="Times New Roman"/>
          <w:sz w:val="28"/>
          <w:szCs w:val="28"/>
        </w:rPr>
      </w:pPr>
    </w:p>
    <w:p w:rsidR="001C1E30" w:rsidRPr="001C1E30" w:rsidRDefault="001C1E30" w:rsidP="001C1E30">
      <w:pPr>
        <w:rPr>
          <w:rFonts w:cs="Times New Roman"/>
          <w:sz w:val="28"/>
          <w:szCs w:val="28"/>
        </w:rPr>
      </w:pPr>
      <w:r w:rsidRPr="001C1E30">
        <w:rPr>
          <w:rFonts w:cs="Times New Roman"/>
          <w:sz w:val="28"/>
          <w:szCs w:val="28"/>
        </w:rPr>
        <w:lastRenderedPageBreak/>
        <w:t xml:space="preserve">Таблица 20 – Результат анализа оптических измерений в диапазоне от 60⁰C до 65⁰C генов </w:t>
      </w:r>
      <w:r w:rsidR="007A7888" w:rsidRPr="007A7888">
        <w:rPr>
          <w:rFonts w:cs="Times New Roman"/>
          <w:i/>
          <w:sz w:val="28"/>
          <w:szCs w:val="28"/>
        </w:rPr>
        <w:t>S. aureus</w:t>
      </w:r>
      <w:r w:rsidRPr="001C1E30">
        <w:rPr>
          <w:rFonts w:cs="Times New Roman"/>
          <w:sz w:val="28"/>
          <w:szCs w:val="28"/>
        </w:rPr>
        <w:t xml:space="preserve"> и локусов антибиотикоустойчивости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839"/>
        <w:gridCol w:w="1403"/>
        <w:gridCol w:w="1405"/>
        <w:gridCol w:w="1406"/>
        <w:gridCol w:w="1406"/>
        <w:gridCol w:w="1406"/>
        <w:gridCol w:w="1406"/>
      </w:tblGrid>
      <w:tr w:rsidR="001C1E30" w:rsidRPr="001C1E30" w:rsidTr="006F2F87">
        <w:trPr>
          <w:jc w:val="center"/>
        </w:trPr>
        <w:tc>
          <w:tcPr>
            <w:tcW w:w="301" w:type="pct"/>
            <w:vMerge w:val="restart"/>
          </w:tcPr>
          <w:p w:rsidR="001C1E30" w:rsidRPr="001C1E30" w:rsidRDefault="001C1E30" w:rsidP="001C1E30">
            <w:pPr>
              <w:rPr>
                <w:rFonts w:cs="Times New Roman"/>
                <w:sz w:val="28"/>
                <w:szCs w:val="28"/>
              </w:rPr>
            </w:pPr>
            <w:r w:rsidRPr="001C1E30">
              <w:rPr>
                <w:rFonts w:cs="Times New Roman"/>
                <w:sz w:val="28"/>
                <w:szCs w:val="28"/>
              </w:rPr>
              <w:t>№</w:t>
            </w:r>
          </w:p>
        </w:tc>
        <w:tc>
          <w:tcPr>
            <w:tcW w:w="392" w:type="pct"/>
            <w:vMerge w:val="restart"/>
          </w:tcPr>
          <w:p w:rsidR="001C1E30" w:rsidRPr="001C1E30" w:rsidRDefault="001C1E30" w:rsidP="001C1E30">
            <w:pPr>
              <w:rPr>
                <w:rFonts w:cs="Times New Roman"/>
                <w:sz w:val="28"/>
                <w:szCs w:val="28"/>
              </w:rPr>
            </w:pPr>
            <w:r w:rsidRPr="001C1E30">
              <w:rPr>
                <w:rFonts w:cs="Times New Roman"/>
                <w:sz w:val="28"/>
                <w:szCs w:val="28"/>
              </w:rPr>
              <w:t>Ген</w:t>
            </w:r>
          </w:p>
        </w:tc>
        <w:tc>
          <w:tcPr>
            <w:tcW w:w="4306" w:type="pct"/>
            <w:gridSpan w:val="6"/>
          </w:tcPr>
          <w:p w:rsidR="001C1E30" w:rsidRPr="001C1E30" w:rsidRDefault="001C1E30" w:rsidP="001C1E30">
            <w:pPr>
              <w:rPr>
                <w:rFonts w:cs="Times New Roman"/>
                <w:sz w:val="28"/>
                <w:szCs w:val="28"/>
              </w:rPr>
            </w:pPr>
            <w:r w:rsidRPr="001C1E30">
              <w:rPr>
                <w:rFonts w:cs="Times New Roman"/>
                <w:sz w:val="28"/>
                <w:szCs w:val="28"/>
              </w:rPr>
              <w:t>Диапазон температур, величина порогового цикла (Ct)</w:t>
            </w:r>
          </w:p>
        </w:tc>
      </w:tr>
      <w:tr w:rsidR="001C1E30" w:rsidRPr="001C1E30" w:rsidTr="006F2F87">
        <w:trPr>
          <w:jc w:val="center"/>
        </w:trPr>
        <w:tc>
          <w:tcPr>
            <w:tcW w:w="301" w:type="pct"/>
            <w:vMerge/>
          </w:tcPr>
          <w:p w:rsidR="001C1E30" w:rsidRPr="001C1E30" w:rsidRDefault="001C1E30" w:rsidP="001C1E30">
            <w:pPr>
              <w:rPr>
                <w:rFonts w:cs="Times New Roman"/>
                <w:sz w:val="28"/>
                <w:szCs w:val="28"/>
              </w:rPr>
            </w:pPr>
          </w:p>
        </w:tc>
        <w:tc>
          <w:tcPr>
            <w:tcW w:w="392" w:type="pct"/>
            <w:vMerge/>
          </w:tcPr>
          <w:p w:rsidR="001C1E30" w:rsidRPr="001C1E30" w:rsidRDefault="001C1E30" w:rsidP="001C1E30">
            <w:pPr>
              <w:rPr>
                <w:rFonts w:cs="Times New Roman"/>
                <w:sz w:val="28"/>
                <w:szCs w:val="28"/>
              </w:rPr>
            </w:pPr>
          </w:p>
        </w:tc>
        <w:tc>
          <w:tcPr>
            <w:tcW w:w="717" w:type="pct"/>
          </w:tcPr>
          <w:p w:rsidR="001C1E30" w:rsidRPr="001C1E30" w:rsidRDefault="001C1E30" w:rsidP="001C1E30">
            <w:pPr>
              <w:rPr>
                <w:rFonts w:cs="Times New Roman"/>
                <w:sz w:val="28"/>
                <w:szCs w:val="28"/>
              </w:rPr>
            </w:pPr>
            <w:r w:rsidRPr="001C1E30">
              <w:rPr>
                <w:rFonts w:cs="Times New Roman"/>
                <w:sz w:val="28"/>
                <w:szCs w:val="28"/>
              </w:rPr>
              <w:t>60⁰C</w:t>
            </w:r>
          </w:p>
        </w:tc>
        <w:tc>
          <w:tcPr>
            <w:tcW w:w="718" w:type="pct"/>
          </w:tcPr>
          <w:p w:rsidR="001C1E30" w:rsidRPr="001C1E30" w:rsidRDefault="001C1E30" w:rsidP="001C1E30">
            <w:pPr>
              <w:rPr>
                <w:rFonts w:cs="Times New Roman"/>
                <w:sz w:val="28"/>
                <w:szCs w:val="28"/>
              </w:rPr>
            </w:pPr>
            <w:r w:rsidRPr="001C1E30">
              <w:rPr>
                <w:rFonts w:cs="Times New Roman"/>
                <w:sz w:val="28"/>
                <w:szCs w:val="28"/>
              </w:rPr>
              <w:t>61⁰C</w:t>
            </w:r>
          </w:p>
        </w:tc>
        <w:tc>
          <w:tcPr>
            <w:tcW w:w="718" w:type="pct"/>
          </w:tcPr>
          <w:p w:rsidR="001C1E30" w:rsidRPr="001C1E30" w:rsidRDefault="001C1E30" w:rsidP="001C1E30">
            <w:pPr>
              <w:rPr>
                <w:rFonts w:cs="Times New Roman"/>
                <w:sz w:val="28"/>
                <w:szCs w:val="28"/>
              </w:rPr>
            </w:pPr>
            <w:r w:rsidRPr="001C1E30">
              <w:rPr>
                <w:rFonts w:cs="Times New Roman"/>
                <w:sz w:val="28"/>
                <w:szCs w:val="28"/>
              </w:rPr>
              <w:t>62⁰C</w:t>
            </w:r>
          </w:p>
        </w:tc>
        <w:tc>
          <w:tcPr>
            <w:tcW w:w="718" w:type="pct"/>
          </w:tcPr>
          <w:p w:rsidR="001C1E30" w:rsidRPr="001C1E30" w:rsidRDefault="001C1E30" w:rsidP="001C1E30">
            <w:pPr>
              <w:rPr>
                <w:rFonts w:cs="Times New Roman"/>
                <w:sz w:val="28"/>
                <w:szCs w:val="28"/>
              </w:rPr>
            </w:pPr>
            <w:r w:rsidRPr="001C1E30">
              <w:rPr>
                <w:rFonts w:cs="Times New Roman"/>
                <w:sz w:val="28"/>
                <w:szCs w:val="28"/>
              </w:rPr>
              <w:t>63⁰C</w:t>
            </w:r>
          </w:p>
        </w:tc>
        <w:tc>
          <w:tcPr>
            <w:tcW w:w="718" w:type="pct"/>
          </w:tcPr>
          <w:p w:rsidR="001C1E30" w:rsidRPr="001C1E30" w:rsidRDefault="001C1E30" w:rsidP="001C1E30">
            <w:pPr>
              <w:rPr>
                <w:rFonts w:cs="Times New Roman"/>
                <w:sz w:val="28"/>
                <w:szCs w:val="28"/>
              </w:rPr>
            </w:pPr>
            <w:r w:rsidRPr="001C1E30">
              <w:rPr>
                <w:rFonts w:cs="Times New Roman"/>
                <w:sz w:val="28"/>
                <w:szCs w:val="28"/>
              </w:rPr>
              <w:t>64⁰C</w:t>
            </w:r>
          </w:p>
        </w:tc>
        <w:tc>
          <w:tcPr>
            <w:tcW w:w="718" w:type="pct"/>
          </w:tcPr>
          <w:p w:rsidR="001C1E30" w:rsidRPr="001C1E30" w:rsidRDefault="001C1E30" w:rsidP="001C1E30">
            <w:pPr>
              <w:rPr>
                <w:rFonts w:cs="Times New Roman"/>
                <w:sz w:val="28"/>
                <w:szCs w:val="28"/>
              </w:rPr>
            </w:pPr>
            <w:r w:rsidRPr="001C1E30">
              <w:rPr>
                <w:rFonts w:cs="Times New Roman"/>
                <w:sz w:val="28"/>
                <w:szCs w:val="28"/>
              </w:rPr>
              <w:t>65⁰C</w:t>
            </w:r>
          </w:p>
        </w:tc>
      </w:tr>
      <w:tr w:rsidR="001C1E30" w:rsidRPr="001C1E30" w:rsidTr="006F2F87">
        <w:trPr>
          <w:jc w:val="center"/>
        </w:trPr>
        <w:tc>
          <w:tcPr>
            <w:tcW w:w="301" w:type="pct"/>
          </w:tcPr>
          <w:p w:rsidR="001C1E30" w:rsidRPr="001C1E30" w:rsidRDefault="001C1E30" w:rsidP="001C1E30">
            <w:pPr>
              <w:rPr>
                <w:rFonts w:cs="Times New Roman"/>
                <w:sz w:val="28"/>
                <w:szCs w:val="28"/>
              </w:rPr>
            </w:pPr>
            <w:r w:rsidRPr="001C1E30">
              <w:rPr>
                <w:rFonts w:cs="Times New Roman"/>
                <w:sz w:val="28"/>
                <w:szCs w:val="28"/>
              </w:rPr>
              <w:t>1</w:t>
            </w:r>
          </w:p>
        </w:tc>
        <w:tc>
          <w:tcPr>
            <w:tcW w:w="392" w:type="pct"/>
            <w:shd w:val="clear" w:color="auto" w:fill="FF0000"/>
          </w:tcPr>
          <w:p w:rsidR="001C1E30" w:rsidRPr="001C1E30" w:rsidRDefault="001C1E30" w:rsidP="001C1E30">
            <w:pPr>
              <w:rPr>
                <w:rFonts w:cs="Times New Roman"/>
                <w:sz w:val="28"/>
                <w:szCs w:val="28"/>
              </w:rPr>
            </w:pPr>
            <w:r w:rsidRPr="001C1E30">
              <w:rPr>
                <w:rFonts w:cs="Times New Roman"/>
                <w:sz w:val="28"/>
                <w:szCs w:val="28"/>
              </w:rPr>
              <w:t>nuc</w:t>
            </w:r>
          </w:p>
        </w:tc>
        <w:tc>
          <w:tcPr>
            <w:tcW w:w="717" w:type="pct"/>
            <w:shd w:val="clear" w:color="auto" w:fill="FF0000"/>
          </w:tcPr>
          <w:p w:rsidR="001C1E30" w:rsidRPr="001C1E30" w:rsidRDefault="001C1E30" w:rsidP="001C1E30">
            <w:pPr>
              <w:rPr>
                <w:rFonts w:cs="Times New Roman"/>
                <w:sz w:val="28"/>
                <w:szCs w:val="28"/>
              </w:rPr>
            </w:pPr>
            <w:r w:rsidRPr="001C1E30">
              <w:rPr>
                <w:rFonts w:cs="Times New Roman"/>
                <w:sz w:val="28"/>
                <w:szCs w:val="28"/>
              </w:rPr>
              <w:t>13,674</w:t>
            </w:r>
          </w:p>
        </w:tc>
        <w:tc>
          <w:tcPr>
            <w:tcW w:w="718" w:type="pct"/>
            <w:shd w:val="clear" w:color="auto" w:fill="FF0000"/>
          </w:tcPr>
          <w:p w:rsidR="001C1E30" w:rsidRPr="001C1E30" w:rsidRDefault="001C1E30" w:rsidP="001C1E30">
            <w:pPr>
              <w:rPr>
                <w:rFonts w:cs="Times New Roman"/>
                <w:sz w:val="28"/>
                <w:szCs w:val="28"/>
              </w:rPr>
            </w:pPr>
            <w:r w:rsidRPr="001C1E30">
              <w:rPr>
                <w:rFonts w:cs="Times New Roman"/>
                <w:sz w:val="28"/>
                <w:szCs w:val="28"/>
              </w:rPr>
              <w:t>11,193</w:t>
            </w:r>
          </w:p>
        </w:tc>
        <w:tc>
          <w:tcPr>
            <w:tcW w:w="718" w:type="pct"/>
            <w:shd w:val="clear" w:color="auto" w:fill="FF0000"/>
          </w:tcPr>
          <w:p w:rsidR="001C1E30" w:rsidRPr="001C1E30" w:rsidRDefault="001C1E30" w:rsidP="001C1E30">
            <w:pPr>
              <w:rPr>
                <w:rFonts w:cs="Times New Roman"/>
                <w:sz w:val="28"/>
                <w:szCs w:val="28"/>
              </w:rPr>
            </w:pPr>
            <w:r w:rsidRPr="001C1E30">
              <w:rPr>
                <w:rFonts w:cs="Times New Roman"/>
                <w:sz w:val="28"/>
                <w:szCs w:val="28"/>
              </w:rPr>
              <w:t>15,169</w:t>
            </w:r>
          </w:p>
        </w:tc>
        <w:tc>
          <w:tcPr>
            <w:tcW w:w="718" w:type="pct"/>
            <w:shd w:val="clear" w:color="auto" w:fill="FF0000"/>
          </w:tcPr>
          <w:p w:rsidR="001C1E30" w:rsidRPr="001C1E30" w:rsidRDefault="001C1E30" w:rsidP="001C1E30">
            <w:pPr>
              <w:rPr>
                <w:rFonts w:cs="Times New Roman"/>
                <w:sz w:val="28"/>
                <w:szCs w:val="28"/>
              </w:rPr>
            </w:pPr>
            <w:r w:rsidRPr="001C1E30">
              <w:rPr>
                <w:rFonts w:cs="Times New Roman"/>
                <w:sz w:val="28"/>
                <w:szCs w:val="28"/>
              </w:rPr>
              <w:t>14,671</w:t>
            </w:r>
          </w:p>
        </w:tc>
        <w:tc>
          <w:tcPr>
            <w:tcW w:w="718" w:type="pct"/>
            <w:shd w:val="clear" w:color="auto" w:fill="FF0000"/>
          </w:tcPr>
          <w:p w:rsidR="001C1E30" w:rsidRPr="001C1E30" w:rsidRDefault="001C1E30" w:rsidP="001C1E30">
            <w:pPr>
              <w:rPr>
                <w:rFonts w:cs="Times New Roman"/>
                <w:sz w:val="28"/>
                <w:szCs w:val="28"/>
              </w:rPr>
            </w:pPr>
            <w:r w:rsidRPr="001C1E30">
              <w:rPr>
                <w:rFonts w:cs="Times New Roman"/>
                <w:sz w:val="28"/>
                <w:szCs w:val="28"/>
              </w:rPr>
              <w:t>12,083</w:t>
            </w:r>
          </w:p>
        </w:tc>
        <w:tc>
          <w:tcPr>
            <w:tcW w:w="718" w:type="pct"/>
            <w:shd w:val="clear" w:color="auto" w:fill="FF0000"/>
          </w:tcPr>
          <w:p w:rsidR="001C1E30" w:rsidRPr="001C1E30" w:rsidRDefault="001C1E30" w:rsidP="001C1E30">
            <w:pPr>
              <w:rPr>
                <w:rFonts w:cs="Times New Roman"/>
                <w:sz w:val="28"/>
                <w:szCs w:val="28"/>
              </w:rPr>
            </w:pPr>
            <w:r w:rsidRPr="001C1E30">
              <w:rPr>
                <w:rFonts w:cs="Times New Roman"/>
                <w:sz w:val="28"/>
                <w:szCs w:val="28"/>
              </w:rPr>
              <w:t>16,938</w:t>
            </w:r>
          </w:p>
        </w:tc>
      </w:tr>
      <w:tr w:rsidR="001C1E30" w:rsidRPr="001C1E30" w:rsidTr="006F2F87">
        <w:trPr>
          <w:jc w:val="center"/>
        </w:trPr>
        <w:tc>
          <w:tcPr>
            <w:tcW w:w="301" w:type="pct"/>
          </w:tcPr>
          <w:p w:rsidR="001C1E30" w:rsidRPr="001C1E30" w:rsidRDefault="001C1E30" w:rsidP="001C1E30">
            <w:pPr>
              <w:rPr>
                <w:rFonts w:cs="Times New Roman"/>
                <w:sz w:val="28"/>
                <w:szCs w:val="28"/>
              </w:rPr>
            </w:pPr>
            <w:r w:rsidRPr="001C1E30">
              <w:rPr>
                <w:rFonts w:cs="Times New Roman"/>
                <w:sz w:val="28"/>
                <w:szCs w:val="28"/>
              </w:rPr>
              <w:t>2</w:t>
            </w:r>
          </w:p>
        </w:tc>
        <w:tc>
          <w:tcPr>
            <w:tcW w:w="392" w:type="pct"/>
            <w:shd w:val="clear" w:color="auto" w:fill="00B0F0"/>
          </w:tcPr>
          <w:p w:rsidR="001C1E30" w:rsidRPr="001C1E30" w:rsidRDefault="001C1E30" w:rsidP="001C1E30">
            <w:pPr>
              <w:rPr>
                <w:rFonts w:cs="Times New Roman"/>
                <w:sz w:val="28"/>
                <w:szCs w:val="28"/>
              </w:rPr>
            </w:pPr>
            <w:r w:rsidRPr="001C1E30">
              <w:rPr>
                <w:rFonts w:cs="Times New Roman"/>
                <w:sz w:val="28"/>
                <w:szCs w:val="28"/>
              </w:rPr>
              <w:t>BlaZ</w:t>
            </w:r>
          </w:p>
        </w:tc>
        <w:tc>
          <w:tcPr>
            <w:tcW w:w="717" w:type="pct"/>
            <w:shd w:val="clear" w:color="auto" w:fill="00B0F0"/>
          </w:tcPr>
          <w:p w:rsidR="001C1E30" w:rsidRPr="001C1E30" w:rsidRDefault="001C1E30" w:rsidP="001C1E30">
            <w:pPr>
              <w:rPr>
                <w:rFonts w:cs="Times New Roman"/>
                <w:sz w:val="28"/>
                <w:szCs w:val="28"/>
              </w:rPr>
            </w:pPr>
            <w:r w:rsidRPr="001C1E30">
              <w:rPr>
                <w:rFonts w:cs="Times New Roman"/>
                <w:sz w:val="28"/>
                <w:szCs w:val="28"/>
              </w:rPr>
              <w:t>16,288</w:t>
            </w:r>
          </w:p>
        </w:tc>
        <w:tc>
          <w:tcPr>
            <w:tcW w:w="718" w:type="pct"/>
            <w:shd w:val="clear" w:color="auto" w:fill="00B0F0"/>
          </w:tcPr>
          <w:p w:rsidR="001C1E30" w:rsidRPr="001C1E30" w:rsidRDefault="001C1E30" w:rsidP="001C1E30">
            <w:pPr>
              <w:rPr>
                <w:rFonts w:cs="Times New Roman"/>
                <w:sz w:val="28"/>
                <w:szCs w:val="28"/>
              </w:rPr>
            </w:pPr>
            <w:r w:rsidRPr="001C1E30">
              <w:rPr>
                <w:rFonts w:cs="Times New Roman"/>
                <w:sz w:val="28"/>
                <w:szCs w:val="28"/>
              </w:rPr>
              <w:t>18,427</w:t>
            </w:r>
          </w:p>
        </w:tc>
        <w:tc>
          <w:tcPr>
            <w:tcW w:w="718" w:type="pct"/>
            <w:shd w:val="clear" w:color="auto" w:fill="00B0F0"/>
          </w:tcPr>
          <w:p w:rsidR="001C1E30" w:rsidRPr="001C1E30" w:rsidRDefault="001C1E30" w:rsidP="001C1E30">
            <w:pPr>
              <w:rPr>
                <w:rFonts w:cs="Times New Roman"/>
                <w:sz w:val="28"/>
                <w:szCs w:val="28"/>
              </w:rPr>
            </w:pPr>
            <w:r w:rsidRPr="001C1E30">
              <w:rPr>
                <w:rFonts w:cs="Times New Roman"/>
                <w:sz w:val="28"/>
                <w:szCs w:val="28"/>
              </w:rPr>
              <w:t>17,872</w:t>
            </w:r>
          </w:p>
        </w:tc>
        <w:tc>
          <w:tcPr>
            <w:tcW w:w="718" w:type="pct"/>
            <w:shd w:val="clear" w:color="auto" w:fill="00B0F0"/>
          </w:tcPr>
          <w:p w:rsidR="001C1E30" w:rsidRPr="001C1E30" w:rsidRDefault="001C1E30" w:rsidP="001C1E30">
            <w:pPr>
              <w:rPr>
                <w:rFonts w:cs="Times New Roman"/>
                <w:sz w:val="28"/>
                <w:szCs w:val="28"/>
              </w:rPr>
            </w:pPr>
            <w:r w:rsidRPr="001C1E30">
              <w:rPr>
                <w:rFonts w:cs="Times New Roman"/>
                <w:sz w:val="28"/>
                <w:szCs w:val="28"/>
              </w:rPr>
              <w:t>18,662</w:t>
            </w:r>
          </w:p>
        </w:tc>
        <w:tc>
          <w:tcPr>
            <w:tcW w:w="718" w:type="pct"/>
            <w:shd w:val="clear" w:color="auto" w:fill="00B0F0"/>
          </w:tcPr>
          <w:p w:rsidR="001C1E30" w:rsidRPr="001C1E30" w:rsidRDefault="001C1E30" w:rsidP="001C1E30">
            <w:pPr>
              <w:rPr>
                <w:rFonts w:cs="Times New Roman"/>
                <w:sz w:val="28"/>
                <w:szCs w:val="28"/>
              </w:rPr>
            </w:pPr>
            <w:r w:rsidRPr="001C1E30">
              <w:rPr>
                <w:rFonts w:cs="Times New Roman"/>
                <w:sz w:val="28"/>
                <w:szCs w:val="28"/>
              </w:rPr>
              <w:t>19,805</w:t>
            </w:r>
          </w:p>
        </w:tc>
        <w:tc>
          <w:tcPr>
            <w:tcW w:w="718" w:type="pct"/>
            <w:shd w:val="clear" w:color="auto" w:fill="00B0F0"/>
          </w:tcPr>
          <w:p w:rsidR="001C1E30" w:rsidRPr="001C1E30" w:rsidRDefault="001C1E30" w:rsidP="001C1E30">
            <w:pPr>
              <w:rPr>
                <w:rFonts w:cs="Times New Roman"/>
                <w:sz w:val="28"/>
                <w:szCs w:val="28"/>
              </w:rPr>
            </w:pPr>
            <w:r w:rsidRPr="001C1E30">
              <w:rPr>
                <w:rFonts w:cs="Times New Roman"/>
                <w:sz w:val="28"/>
                <w:szCs w:val="28"/>
              </w:rPr>
              <w:t>20,633</w:t>
            </w:r>
          </w:p>
        </w:tc>
      </w:tr>
      <w:tr w:rsidR="001C1E30" w:rsidRPr="001C1E30" w:rsidTr="006F2F87">
        <w:trPr>
          <w:jc w:val="center"/>
        </w:trPr>
        <w:tc>
          <w:tcPr>
            <w:tcW w:w="301" w:type="pct"/>
          </w:tcPr>
          <w:p w:rsidR="001C1E30" w:rsidRPr="001C1E30" w:rsidRDefault="001C1E30" w:rsidP="001C1E30">
            <w:pPr>
              <w:rPr>
                <w:rFonts w:cs="Times New Roman"/>
                <w:sz w:val="28"/>
                <w:szCs w:val="28"/>
              </w:rPr>
            </w:pPr>
            <w:r w:rsidRPr="001C1E30">
              <w:rPr>
                <w:rFonts w:cs="Times New Roman"/>
                <w:sz w:val="28"/>
                <w:szCs w:val="28"/>
              </w:rPr>
              <w:t>3</w:t>
            </w:r>
          </w:p>
        </w:tc>
        <w:tc>
          <w:tcPr>
            <w:tcW w:w="392" w:type="pct"/>
            <w:shd w:val="clear" w:color="auto" w:fill="00B050"/>
          </w:tcPr>
          <w:p w:rsidR="001C1E30" w:rsidRPr="001C1E30" w:rsidRDefault="001C1E30" w:rsidP="001C1E30">
            <w:pPr>
              <w:rPr>
                <w:rFonts w:cs="Times New Roman"/>
                <w:sz w:val="28"/>
                <w:szCs w:val="28"/>
              </w:rPr>
            </w:pPr>
            <w:r w:rsidRPr="001C1E30">
              <w:rPr>
                <w:rFonts w:cs="Times New Roman"/>
                <w:sz w:val="28"/>
                <w:szCs w:val="28"/>
              </w:rPr>
              <w:t>ermC</w:t>
            </w:r>
          </w:p>
        </w:tc>
        <w:tc>
          <w:tcPr>
            <w:tcW w:w="717" w:type="pct"/>
            <w:shd w:val="clear" w:color="auto" w:fill="00B050"/>
          </w:tcPr>
          <w:p w:rsidR="001C1E30" w:rsidRPr="001C1E30" w:rsidRDefault="001C1E30" w:rsidP="001C1E30">
            <w:pPr>
              <w:rPr>
                <w:rFonts w:cs="Times New Roman"/>
                <w:sz w:val="28"/>
                <w:szCs w:val="28"/>
              </w:rPr>
            </w:pPr>
            <w:r w:rsidRPr="001C1E30">
              <w:rPr>
                <w:rFonts w:cs="Times New Roman"/>
                <w:sz w:val="28"/>
                <w:szCs w:val="28"/>
              </w:rPr>
              <w:t>17,136</w:t>
            </w:r>
          </w:p>
        </w:tc>
        <w:tc>
          <w:tcPr>
            <w:tcW w:w="718" w:type="pct"/>
            <w:shd w:val="clear" w:color="auto" w:fill="00B050"/>
          </w:tcPr>
          <w:p w:rsidR="001C1E30" w:rsidRPr="001C1E30" w:rsidRDefault="001C1E30" w:rsidP="001C1E30">
            <w:pPr>
              <w:rPr>
                <w:rFonts w:cs="Times New Roman"/>
                <w:sz w:val="28"/>
                <w:szCs w:val="28"/>
              </w:rPr>
            </w:pPr>
            <w:r w:rsidRPr="001C1E30">
              <w:rPr>
                <w:rFonts w:cs="Times New Roman"/>
                <w:sz w:val="28"/>
                <w:szCs w:val="28"/>
              </w:rPr>
              <w:t>16,849</w:t>
            </w:r>
          </w:p>
        </w:tc>
        <w:tc>
          <w:tcPr>
            <w:tcW w:w="718" w:type="pct"/>
            <w:shd w:val="clear" w:color="auto" w:fill="00B050"/>
          </w:tcPr>
          <w:p w:rsidR="001C1E30" w:rsidRPr="001C1E30" w:rsidRDefault="001C1E30" w:rsidP="001C1E30">
            <w:pPr>
              <w:rPr>
                <w:rFonts w:cs="Times New Roman"/>
                <w:sz w:val="28"/>
                <w:szCs w:val="28"/>
              </w:rPr>
            </w:pPr>
            <w:r w:rsidRPr="001C1E30">
              <w:rPr>
                <w:rFonts w:cs="Times New Roman"/>
                <w:sz w:val="28"/>
                <w:szCs w:val="28"/>
              </w:rPr>
              <w:t>19,411</w:t>
            </w:r>
          </w:p>
        </w:tc>
        <w:tc>
          <w:tcPr>
            <w:tcW w:w="718" w:type="pct"/>
            <w:shd w:val="clear" w:color="auto" w:fill="00B050"/>
          </w:tcPr>
          <w:p w:rsidR="001C1E30" w:rsidRPr="001C1E30" w:rsidRDefault="001C1E30" w:rsidP="001C1E30">
            <w:pPr>
              <w:rPr>
                <w:rFonts w:cs="Times New Roman"/>
                <w:sz w:val="28"/>
                <w:szCs w:val="28"/>
              </w:rPr>
            </w:pPr>
            <w:r w:rsidRPr="001C1E30">
              <w:rPr>
                <w:rFonts w:cs="Times New Roman"/>
                <w:sz w:val="28"/>
                <w:szCs w:val="28"/>
              </w:rPr>
              <w:t>22,991</w:t>
            </w:r>
          </w:p>
        </w:tc>
        <w:tc>
          <w:tcPr>
            <w:tcW w:w="718" w:type="pct"/>
            <w:shd w:val="clear" w:color="auto" w:fill="00B050"/>
          </w:tcPr>
          <w:p w:rsidR="001C1E30" w:rsidRPr="001C1E30" w:rsidRDefault="001C1E30" w:rsidP="001C1E30">
            <w:pPr>
              <w:rPr>
                <w:rFonts w:cs="Times New Roman"/>
                <w:sz w:val="28"/>
                <w:szCs w:val="28"/>
              </w:rPr>
            </w:pPr>
            <w:r w:rsidRPr="001C1E30">
              <w:rPr>
                <w:rFonts w:cs="Times New Roman"/>
                <w:sz w:val="28"/>
                <w:szCs w:val="28"/>
              </w:rPr>
              <w:t>21,766</w:t>
            </w:r>
          </w:p>
        </w:tc>
        <w:tc>
          <w:tcPr>
            <w:tcW w:w="718" w:type="pct"/>
            <w:shd w:val="clear" w:color="auto" w:fill="00B050"/>
          </w:tcPr>
          <w:p w:rsidR="001C1E30" w:rsidRPr="001C1E30" w:rsidRDefault="001C1E30" w:rsidP="001C1E30">
            <w:pPr>
              <w:rPr>
                <w:rFonts w:cs="Times New Roman"/>
                <w:sz w:val="28"/>
                <w:szCs w:val="28"/>
              </w:rPr>
            </w:pPr>
            <w:r w:rsidRPr="001C1E30">
              <w:rPr>
                <w:rFonts w:cs="Times New Roman"/>
                <w:sz w:val="28"/>
                <w:szCs w:val="28"/>
              </w:rPr>
              <w:t>-</w:t>
            </w:r>
          </w:p>
        </w:tc>
      </w:tr>
      <w:tr w:rsidR="001C1E30" w:rsidRPr="001C1E30" w:rsidTr="006F2F87">
        <w:trPr>
          <w:jc w:val="center"/>
        </w:trPr>
        <w:tc>
          <w:tcPr>
            <w:tcW w:w="301" w:type="pct"/>
          </w:tcPr>
          <w:p w:rsidR="001C1E30" w:rsidRPr="001C1E30" w:rsidRDefault="001C1E30" w:rsidP="001C1E30">
            <w:pPr>
              <w:rPr>
                <w:rFonts w:cs="Times New Roman"/>
                <w:sz w:val="28"/>
                <w:szCs w:val="28"/>
              </w:rPr>
            </w:pPr>
            <w:r w:rsidRPr="001C1E30">
              <w:rPr>
                <w:rFonts w:cs="Times New Roman"/>
                <w:sz w:val="28"/>
                <w:szCs w:val="28"/>
              </w:rPr>
              <w:t>4</w:t>
            </w:r>
          </w:p>
        </w:tc>
        <w:tc>
          <w:tcPr>
            <w:tcW w:w="392" w:type="pct"/>
            <w:shd w:val="clear" w:color="auto" w:fill="FFFF00"/>
          </w:tcPr>
          <w:p w:rsidR="001C1E30" w:rsidRPr="001C1E30" w:rsidRDefault="001C1E30" w:rsidP="001C1E30">
            <w:pPr>
              <w:rPr>
                <w:rFonts w:cs="Times New Roman"/>
                <w:sz w:val="28"/>
                <w:szCs w:val="28"/>
              </w:rPr>
            </w:pPr>
            <w:r w:rsidRPr="001C1E30">
              <w:rPr>
                <w:rFonts w:cs="Times New Roman"/>
                <w:sz w:val="28"/>
                <w:szCs w:val="28"/>
              </w:rPr>
              <w:t>TetK</w:t>
            </w:r>
          </w:p>
        </w:tc>
        <w:tc>
          <w:tcPr>
            <w:tcW w:w="717" w:type="pct"/>
            <w:shd w:val="clear" w:color="auto" w:fill="FFFF00"/>
          </w:tcPr>
          <w:p w:rsidR="001C1E30" w:rsidRPr="001C1E30" w:rsidRDefault="001C1E30" w:rsidP="001C1E30">
            <w:pPr>
              <w:rPr>
                <w:rFonts w:cs="Times New Roman"/>
                <w:sz w:val="28"/>
                <w:szCs w:val="28"/>
              </w:rPr>
            </w:pPr>
            <w:r w:rsidRPr="001C1E30">
              <w:rPr>
                <w:rFonts w:cs="Times New Roman"/>
                <w:sz w:val="28"/>
                <w:szCs w:val="28"/>
              </w:rPr>
              <w:t>11,974</w:t>
            </w:r>
          </w:p>
        </w:tc>
        <w:tc>
          <w:tcPr>
            <w:tcW w:w="718" w:type="pct"/>
            <w:shd w:val="clear" w:color="auto" w:fill="FFFF00"/>
          </w:tcPr>
          <w:p w:rsidR="001C1E30" w:rsidRPr="001C1E30" w:rsidRDefault="001C1E30" w:rsidP="001C1E30">
            <w:pPr>
              <w:rPr>
                <w:rFonts w:cs="Times New Roman"/>
                <w:sz w:val="28"/>
                <w:szCs w:val="28"/>
              </w:rPr>
            </w:pPr>
            <w:r w:rsidRPr="001C1E30">
              <w:rPr>
                <w:rFonts w:cs="Times New Roman"/>
                <w:sz w:val="28"/>
                <w:szCs w:val="28"/>
              </w:rPr>
              <w:t>12,765</w:t>
            </w:r>
          </w:p>
        </w:tc>
        <w:tc>
          <w:tcPr>
            <w:tcW w:w="718" w:type="pct"/>
            <w:shd w:val="clear" w:color="auto" w:fill="FFFF00"/>
          </w:tcPr>
          <w:p w:rsidR="001C1E30" w:rsidRPr="001C1E30" w:rsidRDefault="001C1E30" w:rsidP="001C1E30">
            <w:pPr>
              <w:rPr>
                <w:rFonts w:cs="Times New Roman"/>
                <w:sz w:val="28"/>
                <w:szCs w:val="28"/>
              </w:rPr>
            </w:pPr>
            <w:r w:rsidRPr="001C1E30">
              <w:rPr>
                <w:rFonts w:cs="Times New Roman"/>
                <w:sz w:val="28"/>
                <w:szCs w:val="28"/>
              </w:rPr>
              <w:t>12,480</w:t>
            </w:r>
          </w:p>
        </w:tc>
        <w:tc>
          <w:tcPr>
            <w:tcW w:w="718" w:type="pct"/>
            <w:shd w:val="clear" w:color="auto" w:fill="FFFF00"/>
          </w:tcPr>
          <w:p w:rsidR="001C1E30" w:rsidRPr="001C1E30" w:rsidRDefault="001C1E30" w:rsidP="001C1E30">
            <w:pPr>
              <w:rPr>
                <w:rFonts w:cs="Times New Roman"/>
                <w:sz w:val="28"/>
                <w:szCs w:val="28"/>
              </w:rPr>
            </w:pPr>
            <w:r w:rsidRPr="001C1E30">
              <w:rPr>
                <w:rFonts w:cs="Times New Roman"/>
                <w:sz w:val="28"/>
                <w:szCs w:val="28"/>
              </w:rPr>
              <w:t>13,425</w:t>
            </w:r>
          </w:p>
        </w:tc>
        <w:tc>
          <w:tcPr>
            <w:tcW w:w="718" w:type="pct"/>
            <w:shd w:val="clear" w:color="auto" w:fill="FFFF00"/>
          </w:tcPr>
          <w:p w:rsidR="001C1E30" w:rsidRPr="001C1E30" w:rsidRDefault="001C1E30" w:rsidP="001C1E30">
            <w:pPr>
              <w:rPr>
                <w:rFonts w:cs="Times New Roman"/>
                <w:sz w:val="28"/>
                <w:szCs w:val="28"/>
              </w:rPr>
            </w:pPr>
            <w:r w:rsidRPr="001C1E30">
              <w:rPr>
                <w:rFonts w:cs="Times New Roman"/>
                <w:sz w:val="28"/>
                <w:szCs w:val="28"/>
              </w:rPr>
              <w:t>14,612</w:t>
            </w:r>
          </w:p>
        </w:tc>
        <w:tc>
          <w:tcPr>
            <w:tcW w:w="718" w:type="pct"/>
            <w:shd w:val="clear" w:color="auto" w:fill="FFFF00"/>
          </w:tcPr>
          <w:p w:rsidR="001C1E30" w:rsidRPr="001C1E30" w:rsidRDefault="001C1E30" w:rsidP="001C1E30">
            <w:pPr>
              <w:rPr>
                <w:rFonts w:cs="Times New Roman"/>
                <w:sz w:val="28"/>
                <w:szCs w:val="28"/>
              </w:rPr>
            </w:pPr>
            <w:r w:rsidRPr="001C1E30">
              <w:rPr>
                <w:rFonts w:cs="Times New Roman"/>
                <w:sz w:val="28"/>
                <w:szCs w:val="28"/>
              </w:rPr>
              <w:t>14,714</w:t>
            </w:r>
          </w:p>
        </w:tc>
      </w:tr>
    </w:tbl>
    <w:p w:rsidR="001C1E30" w:rsidRDefault="001C1E30" w:rsidP="001C1E30">
      <w:pPr>
        <w:rPr>
          <w:rFonts w:cs="Times New Roman"/>
          <w:sz w:val="28"/>
          <w:szCs w:val="28"/>
        </w:rPr>
      </w:pPr>
    </w:p>
    <w:p w:rsidR="001C1E30" w:rsidRDefault="001C1E30" w:rsidP="00053C28">
      <w:pPr>
        <w:ind w:firstLine="709"/>
        <w:rPr>
          <w:sz w:val="28"/>
          <w:szCs w:val="28"/>
        </w:rPr>
      </w:pPr>
      <w:r w:rsidRPr="001C1E30">
        <w:rPr>
          <w:sz w:val="28"/>
          <w:szCs w:val="28"/>
        </w:rPr>
        <w:t>Как видно из таблиц, для участка гена nuc, кривые накопления флуоресцентного сигнала наблюдались во всем диапазоне температур от 60ºC до 65ºC с приемлемым уровнем Ct. При температуре 61ºC – наблюдалась наилучшая эффективность ПЦР. Для генов BlaZ и TetK, также наблюдались кривые накопления флуоресцентного сигнала во всем диапазоне температур от 60ºC до 65ºC с приемлемым уровнем Ct. Наилучшая эффективность ПЦР отмечалась при температуре 60ºC. Для гена ermC наилучшая эффективность ПЦР наблюдалась при 61ºC, а при 65ºC флуоресцентный сигнал не достиг порогового уровня. При этом оптимальные значения эффективности амплификации и минимальные значения между выходами на пороговый цикл для всех мишеней (nuc, BlaZ, ermC, TetK), отмечались при температуре отжига 60ºC (рисунок 44).</w:t>
      </w:r>
    </w:p>
    <w:p w:rsidR="001C1E30" w:rsidRDefault="001C1E30" w:rsidP="001C1E30">
      <w:pPr>
        <w:rPr>
          <w:sz w:val="28"/>
          <w:szCs w:val="28"/>
        </w:rPr>
      </w:pPr>
    </w:p>
    <w:p w:rsidR="001C1E30" w:rsidRDefault="001C1E30" w:rsidP="00053C28">
      <w:pPr>
        <w:jc w:val="center"/>
        <w:rPr>
          <w:sz w:val="28"/>
          <w:szCs w:val="28"/>
        </w:rPr>
      </w:pPr>
      <w:r w:rsidRPr="001C1E30">
        <w:rPr>
          <w:noProof/>
          <w:sz w:val="28"/>
          <w:szCs w:val="28"/>
          <w:lang w:eastAsia="ru-RU"/>
        </w:rPr>
        <w:drawing>
          <wp:inline distT="0" distB="0" distL="0" distR="0" wp14:anchorId="25F8CD1B" wp14:editId="54E13F67">
            <wp:extent cx="3924174" cy="2278380"/>
            <wp:effectExtent l="0" t="0" r="635"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993235" cy="2318477"/>
                    </a:xfrm>
                    <a:prstGeom prst="rect">
                      <a:avLst/>
                    </a:prstGeom>
                  </pic:spPr>
                </pic:pic>
              </a:graphicData>
            </a:graphic>
          </wp:inline>
        </w:drawing>
      </w:r>
    </w:p>
    <w:p w:rsidR="001C1E30" w:rsidRPr="001C1E30" w:rsidRDefault="001C1E30" w:rsidP="00053C28">
      <w:pPr>
        <w:jc w:val="center"/>
        <w:rPr>
          <w:sz w:val="28"/>
          <w:szCs w:val="28"/>
        </w:rPr>
      </w:pPr>
      <w:r w:rsidRPr="001C1E30">
        <w:rPr>
          <w:sz w:val="28"/>
          <w:szCs w:val="28"/>
        </w:rPr>
        <w:t xml:space="preserve">Рисунок 44 – Результат анализа оптических измерений в диапазоне от 60⁰C до 65⁰C генов </w:t>
      </w:r>
      <w:r w:rsidR="007A7888" w:rsidRPr="007A7888">
        <w:rPr>
          <w:i/>
          <w:sz w:val="28"/>
          <w:szCs w:val="28"/>
        </w:rPr>
        <w:t>S. aureus</w:t>
      </w:r>
      <w:r w:rsidRPr="001C1E30">
        <w:rPr>
          <w:sz w:val="28"/>
          <w:szCs w:val="28"/>
        </w:rPr>
        <w:t xml:space="preserve"> и локусов антибиотикоустойчивости</w:t>
      </w:r>
    </w:p>
    <w:p w:rsidR="001C1E30" w:rsidRPr="001C1E30" w:rsidRDefault="001C1E30" w:rsidP="001C1E30">
      <w:pPr>
        <w:rPr>
          <w:sz w:val="28"/>
          <w:szCs w:val="28"/>
        </w:rPr>
      </w:pPr>
    </w:p>
    <w:p w:rsidR="001C1E30" w:rsidRPr="001C1E30" w:rsidRDefault="001C1E30" w:rsidP="00053C28">
      <w:pPr>
        <w:ind w:firstLine="709"/>
        <w:rPr>
          <w:sz w:val="28"/>
          <w:szCs w:val="28"/>
        </w:rPr>
      </w:pPr>
      <w:r w:rsidRPr="001C1E30">
        <w:rPr>
          <w:sz w:val="28"/>
          <w:szCs w:val="28"/>
        </w:rPr>
        <w:t>Таким образом, исходя из результатов проведенного эксперимента и анализа оптических измерений кривых накопления флуоресцентного сигнала с использованием температурного градиента с вертикальным перепадом температур, установлен оптимальный температурный режим отжига праймеров - 60⁰C (таблица 21).</w:t>
      </w:r>
    </w:p>
    <w:p w:rsidR="001C1E30" w:rsidRPr="001C1E30" w:rsidRDefault="001C1E30" w:rsidP="001C1E30">
      <w:pPr>
        <w:rPr>
          <w:sz w:val="28"/>
          <w:szCs w:val="28"/>
        </w:rPr>
      </w:pPr>
    </w:p>
    <w:p w:rsidR="00345D2F" w:rsidRDefault="00345D2F" w:rsidP="001C1E30">
      <w:pPr>
        <w:rPr>
          <w:sz w:val="28"/>
          <w:szCs w:val="28"/>
        </w:rPr>
      </w:pPr>
    </w:p>
    <w:p w:rsidR="001C1E30" w:rsidRDefault="001C1E30" w:rsidP="00345D2F">
      <w:pPr>
        <w:jc w:val="left"/>
        <w:rPr>
          <w:sz w:val="28"/>
          <w:szCs w:val="28"/>
        </w:rPr>
      </w:pPr>
      <w:r w:rsidRPr="001C1E30">
        <w:rPr>
          <w:sz w:val="28"/>
          <w:szCs w:val="28"/>
        </w:rPr>
        <w:t>Таблица 21 – Оптимизированный температурно-временной режим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2050"/>
        <w:gridCol w:w="972"/>
        <w:gridCol w:w="1464"/>
        <w:gridCol w:w="4131"/>
      </w:tblGrid>
      <w:tr w:rsidR="001C1E30" w:rsidRPr="001C1E30" w:rsidTr="006F2F87">
        <w:trPr>
          <w:trHeight w:val="654"/>
        </w:trPr>
        <w:tc>
          <w:tcPr>
            <w:tcW w:w="628" w:type="pct"/>
            <w:shd w:val="clear" w:color="auto" w:fill="auto"/>
            <w:vAlign w:val="center"/>
            <w:hideMark/>
          </w:tcPr>
          <w:p w:rsidR="001C1E30" w:rsidRPr="001C1E30" w:rsidRDefault="001C1E30" w:rsidP="001C1E30">
            <w:pPr>
              <w:rPr>
                <w:sz w:val="28"/>
              </w:rPr>
            </w:pPr>
            <w:r w:rsidRPr="001C1E30">
              <w:rPr>
                <w:sz w:val="28"/>
              </w:rPr>
              <w:t>Блок</w:t>
            </w:r>
          </w:p>
        </w:tc>
        <w:tc>
          <w:tcPr>
            <w:tcW w:w="1040" w:type="pct"/>
            <w:vAlign w:val="center"/>
          </w:tcPr>
          <w:p w:rsidR="001C1E30" w:rsidRPr="001C1E30" w:rsidRDefault="001C1E30" w:rsidP="001C1E30">
            <w:pPr>
              <w:rPr>
                <w:sz w:val="28"/>
              </w:rPr>
            </w:pPr>
            <w:r w:rsidRPr="001C1E30">
              <w:rPr>
                <w:sz w:val="28"/>
              </w:rPr>
              <w:t>Количество циклов</w:t>
            </w:r>
          </w:p>
        </w:tc>
        <w:tc>
          <w:tcPr>
            <w:tcW w:w="493" w:type="pct"/>
            <w:shd w:val="clear" w:color="auto" w:fill="auto"/>
            <w:vAlign w:val="center"/>
            <w:hideMark/>
          </w:tcPr>
          <w:p w:rsidR="001C1E30" w:rsidRPr="001C1E30" w:rsidRDefault="001C1E30" w:rsidP="001C1E30">
            <w:pPr>
              <w:rPr>
                <w:sz w:val="28"/>
              </w:rPr>
            </w:pPr>
            <w:r w:rsidRPr="001C1E30">
              <w:rPr>
                <w:sz w:val="28"/>
              </w:rPr>
              <w:t>Tm</w:t>
            </w:r>
          </w:p>
        </w:tc>
        <w:tc>
          <w:tcPr>
            <w:tcW w:w="743" w:type="pct"/>
            <w:shd w:val="clear" w:color="auto" w:fill="auto"/>
            <w:vAlign w:val="center"/>
            <w:hideMark/>
          </w:tcPr>
          <w:p w:rsidR="001C1E30" w:rsidRPr="001C1E30" w:rsidRDefault="001C1E30" w:rsidP="001C1E30">
            <w:pPr>
              <w:rPr>
                <w:sz w:val="28"/>
              </w:rPr>
            </w:pPr>
            <w:r w:rsidRPr="001C1E30">
              <w:rPr>
                <w:sz w:val="28"/>
              </w:rPr>
              <w:t>Время</w:t>
            </w:r>
          </w:p>
          <w:p w:rsidR="001C1E30" w:rsidRPr="001C1E30" w:rsidRDefault="001C1E30" w:rsidP="001C1E30">
            <w:pPr>
              <w:rPr>
                <w:sz w:val="28"/>
              </w:rPr>
            </w:pPr>
            <w:r w:rsidRPr="001C1E30">
              <w:rPr>
                <w:sz w:val="28"/>
              </w:rPr>
              <w:t>мин/сек</w:t>
            </w:r>
          </w:p>
        </w:tc>
        <w:tc>
          <w:tcPr>
            <w:tcW w:w="2096" w:type="pct"/>
            <w:shd w:val="clear" w:color="auto" w:fill="auto"/>
            <w:vAlign w:val="center"/>
            <w:hideMark/>
          </w:tcPr>
          <w:p w:rsidR="001C1E30" w:rsidRPr="001C1E30" w:rsidRDefault="001C1E30" w:rsidP="001C1E30">
            <w:pPr>
              <w:rPr>
                <w:sz w:val="28"/>
              </w:rPr>
            </w:pPr>
            <w:r w:rsidRPr="001C1E30">
              <w:rPr>
                <w:sz w:val="28"/>
              </w:rPr>
              <w:t>Система детекции (регистрации) сигнала</w:t>
            </w:r>
          </w:p>
        </w:tc>
      </w:tr>
      <w:tr w:rsidR="001C1E30" w:rsidRPr="001C1E30" w:rsidTr="006F2F87">
        <w:trPr>
          <w:trHeight w:val="288"/>
        </w:trPr>
        <w:tc>
          <w:tcPr>
            <w:tcW w:w="628" w:type="pct"/>
            <w:shd w:val="clear" w:color="auto" w:fill="auto"/>
            <w:vAlign w:val="center"/>
            <w:hideMark/>
          </w:tcPr>
          <w:p w:rsidR="001C1E30" w:rsidRPr="001C1E30" w:rsidRDefault="001C1E30" w:rsidP="001C1E30">
            <w:pPr>
              <w:rPr>
                <w:sz w:val="28"/>
              </w:rPr>
            </w:pPr>
            <w:r w:rsidRPr="001C1E30">
              <w:rPr>
                <w:sz w:val="28"/>
              </w:rPr>
              <w:t>№ 1</w:t>
            </w:r>
          </w:p>
        </w:tc>
        <w:tc>
          <w:tcPr>
            <w:tcW w:w="1040" w:type="pct"/>
            <w:vAlign w:val="center"/>
          </w:tcPr>
          <w:p w:rsidR="001C1E30" w:rsidRPr="001C1E30" w:rsidRDefault="001C1E30" w:rsidP="001C1E30">
            <w:pPr>
              <w:rPr>
                <w:sz w:val="28"/>
              </w:rPr>
            </w:pPr>
            <w:r w:rsidRPr="001C1E30">
              <w:rPr>
                <w:sz w:val="28"/>
              </w:rPr>
              <w:t>1</w:t>
            </w:r>
          </w:p>
        </w:tc>
        <w:tc>
          <w:tcPr>
            <w:tcW w:w="493" w:type="pct"/>
            <w:shd w:val="clear" w:color="auto" w:fill="auto"/>
            <w:vAlign w:val="center"/>
            <w:hideMark/>
          </w:tcPr>
          <w:p w:rsidR="001C1E30" w:rsidRPr="001C1E30" w:rsidRDefault="001C1E30" w:rsidP="001C1E30">
            <w:pPr>
              <w:rPr>
                <w:sz w:val="28"/>
              </w:rPr>
            </w:pPr>
            <w:r w:rsidRPr="001C1E30">
              <w:rPr>
                <w:sz w:val="28"/>
              </w:rPr>
              <w:t>95⁰C</w:t>
            </w:r>
          </w:p>
        </w:tc>
        <w:tc>
          <w:tcPr>
            <w:tcW w:w="743" w:type="pct"/>
            <w:shd w:val="clear" w:color="auto" w:fill="auto"/>
            <w:vAlign w:val="center"/>
            <w:hideMark/>
          </w:tcPr>
          <w:p w:rsidR="001C1E30" w:rsidRPr="001C1E30" w:rsidRDefault="001C1E30" w:rsidP="001C1E30">
            <w:pPr>
              <w:rPr>
                <w:sz w:val="28"/>
              </w:rPr>
            </w:pPr>
            <w:r w:rsidRPr="001C1E30">
              <w:rPr>
                <w:sz w:val="28"/>
              </w:rPr>
              <w:t>5/0</w:t>
            </w:r>
          </w:p>
        </w:tc>
        <w:tc>
          <w:tcPr>
            <w:tcW w:w="2096" w:type="pct"/>
            <w:shd w:val="clear" w:color="auto" w:fill="auto"/>
            <w:vAlign w:val="center"/>
            <w:hideMark/>
          </w:tcPr>
          <w:p w:rsidR="001C1E30" w:rsidRPr="001C1E30" w:rsidRDefault="001C1E30" w:rsidP="001C1E30">
            <w:pPr>
              <w:rPr>
                <w:sz w:val="28"/>
              </w:rPr>
            </w:pPr>
            <w:r w:rsidRPr="001C1E30">
              <w:rPr>
                <w:sz w:val="28"/>
              </w:rPr>
              <w:t>отсутствует</w:t>
            </w:r>
          </w:p>
        </w:tc>
      </w:tr>
      <w:tr w:rsidR="001C1E30" w:rsidRPr="001C1E30" w:rsidTr="006F2F87">
        <w:trPr>
          <w:trHeight w:val="288"/>
        </w:trPr>
        <w:tc>
          <w:tcPr>
            <w:tcW w:w="628" w:type="pct"/>
            <w:vMerge w:val="restart"/>
            <w:shd w:val="clear" w:color="auto" w:fill="auto"/>
            <w:vAlign w:val="center"/>
            <w:hideMark/>
          </w:tcPr>
          <w:p w:rsidR="001C1E30" w:rsidRPr="001C1E30" w:rsidRDefault="001C1E30" w:rsidP="001C1E30">
            <w:pPr>
              <w:rPr>
                <w:sz w:val="28"/>
              </w:rPr>
            </w:pPr>
            <w:r w:rsidRPr="001C1E30">
              <w:rPr>
                <w:sz w:val="28"/>
              </w:rPr>
              <w:t>№ 2</w:t>
            </w:r>
          </w:p>
        </w:tc>
        <w:tc>
          <w:tcPr>
            <w:tcW w:w="1040" w:type="pct"/>
            <w:vMerge w:val="restart"/>
            <w:vAlign w:val="center"/>
          </w:tcPr>
          <w:p w:rsidR="001C1E30" w:rsidRPr="001C1E30" w:rsidRDefault="001C1E30" w:rsidP="001C1E30">
            <w:pPr>
              <w:rPr>
                <w:sz w:val="28"/>
              </w:rPr>
            </w:pPr>
            <w:r w:rsidRPr="001C1E30">
              <w:rPr>
                <w:sz w:val="28"/>
              </w:rPr>
              <w:t>40</w:t>
            </w:r>
          </w:p>
        </w:tc>
        <w:tc>
          <w:tcPr>
            <w:tcW w:w="493" w:type="pct"/>
            <w:shd w:val="clear" w:color="auto" w:fill="auto"/>
            <w:vAlign w:val="center"/>
            <w:hideMark/>
          </w:tcPr>
          <w:p w:rsidR="001C1E30" w:rsidRPr="001C1E30" w:rsidRDefault="001C1E30" w:rsidP="001C1E30">
            <w:pPr>
              <w:rPr>
                <w:sz w:val="28"/>
              </w:rPr>
            </w:pPr>
            <w:r w:rsidRPr="001C1E30">
              <w:rPr>
                <w:sz w:val="28"/>
              </w:rPr>
              <w:t>94⁰C</w:t>
            </w:r>
          </w:p>
        </w:tc>
        <w:tc>
          <w:tcPr>
            <w:tcW w:w="743" w:type="pct"/>
            <w:shd w:val="clear" w:color="auto" w:fill="auto"/>
            <w:vAlign w:val="center"/>
            <w:hideMark/>
          </w:tcPr>
          <w:p w:rsidR="001C1E30" w:rsidRPr="001C1E30" w:rsidRDefault="001C1E30" w:rsidP="001C1E30">
            <w:pPr>
              <w:rPr>
                <w:sz w:val="28"/>
              </w:rPr>
            </w:pPr>
            <w:r w:rsidRPr="001C1E30">
              <w:rPr>
                <w:sz w:val="28"/>
              </w:rPr>
              <w:t>0/10</w:t>
            </w:r>
          </w:p>
        </w:tc>
        <w:tc>
          <w:tcPr>
            <w:tcW w:w="2096" w:type="pct"/>
            <w:shd w:val="clear" w:color="auto" w:fill="auto"/>
            <w:vAlign w:val="center"/>
            <w:hideMark/>
          </w:tcPr>
          <w:p w:rsidR="001C1E30" w:rsidRPr="001C1E30" w:rsidRDefault="001C1E30" w:rsidP="001C1E30">
            <w:pPr>
              <w:rPr>
                <w:sz w:val="28"/>
              </w:rPr>
            </w:pPr>
            <w:r w:rsidRPr="001C1E30">
              <w:rPr>
                <w:sz w:val="28"/>
              </w:rPr>
              <w:t>отсутствует</w:t>
            </w:r>
          </w:p>
        </w:tc>
      </w:tr>
      <w:tr w:rsidR="001C1E30" w:rsidRPr="001C1E30" w:rsidTr="006F2F87">
        <w:trPr>
          <w:trHeight w:val="288"/>
        </w:trPr>
        <w:tc>
          <w:tcPr>
            <w:tcW w:w="628" w:type="pct"/>
            <w:vMerge/>
            <w:hideMark/>
          </w:tcPr>
          <w:p w:rsidR="001C1E30" w:rsidRPr="001C1E30" w:rsidRDefault="001C1E30" w:rsidP="001C1E30">
            <w:pPr>
              <w:rPr>
                <w:sz w:val="28"/>
              </w:rPr>
            </w:pPr>
          </w:p>
        </w:tc>
        <w:tc>
          <w:tcPr>
            <w:tcW w:w="1040" w:type="pct"/>
            <w:vMerge/>
          </w:tcPr>
          <w:p w:rsidR="001C1E30" w:rsidRPr="001C1E30" w:rsidRDefault="001C1E30" w:rsidP="001C1E30">
            <w:pPr>
              <w:rPr>
                <w:sz w:val="28"/>
              </w:rPr>
            </w:pPr>
          </w:p>
        </w:tc>
        <w:tc>
          <w:tcPr>
            <w:tcW w:w="493" w:type="pct"/>
            <w:shd w:val="clear" w:color="auto" w:fill="auto"/>
            <w:vAlign w:val="center"/>
            <w:hideMark/>
          </w:tcPr>
          <w:p w:rsidR="001C1E30" w:rsidRPr="001C1E30" w:rsidRDefault="001C1E30" w:rsidP="001C1E30">
            <w:pPr>
              <w:rPr>
                <w:sz w:val="28"/>
              </w:rPr>
            </w:pPr>
            <w:r w:rsidRPr="001C1E30">
              <w:rPr>
                <w:sz w:val="28"/>
              </w:rPr>
              <w:t>60⁰C</w:t>
            </w:r>
          </w:p>
        </w:tc>
        <w:tc>
          <w:tcPr>
            <w:tcW w:w="743" w:type="pct"/>
            <w:shd w:val="clear" w:color="auto" w:fill="auto"/>
            <w:vAlign w:val="center"/>
            <w:hideMark/>
          </w:tcPr>
          <w:p w:rsidR="001C1E30" w:rsidRPr="001C1E30" w:rsidRDefault="001C1E30" w:rsidP="001C1E30">
            <w:pPr>
              <w:rPr>
                <w:sz w:val="28"/>
              </w:rPr>
            </w:pPr>
            <w:r w:rsidRPr="001C1E30">
              <w:rPr>
                <w:sz w:val="28"/>
              </w:rPr>
              <w:t>0/20</w:t>
            </w:r>
          </w:p>
        </w:tc>
        <w:tc>
          <w:tcPr>
            <w:tcW w:w="2096" w:type="pct"/>
            <w:shd w:val="clear" w:color="auto" w:fill="auto"/>
            <w:vAlign w:val="center"/>
            <w:hideMark/>
          </w:tcPr>
          <w:p w:rsidR="001C1E30" w:rsidRPr="001C1E30" w:rsidRDefault="001C1E30" w:rsidP="001C1E30">
            <w:pPr>
              <w:rPr>
                <w:sz w:val="28"/>
              </w:rPr>
            </w:pPr>
            <w:r w:rsidRPr="001C1E30">
              <w:rPr>
                <w:sz w:val="28"/>
              </w:rPr>
              <w:t xml:space="preserve">FAM, </w:t>
            </w:r>
            <w:r w:rsidR="001F2EB0">
              <w:rPr>
                <w:sz w:val="28"/>
              </w:rPr>
              <w:t>HEX</w:t>
            </w:r>
            <w:r w:rsidRPr="001C1E30">
              <w:rPr>
                <w:sz w:val="28"/>
              </w:rPr>
              <w:t xml:space="preserve">, ROX, </w:t>
            </w:r>
            <w:r w:rsidR="001F2EB0">
              <w:rPr>
                <w:sz w:val="28"/>
              </w:rPr>
              <w:t>CY5</w:t>
            </w:r>
          </w:p>
        </w:tc>
      </w:tr>
    </w:tbl>
    <w:p w:rsidR="001C1E30" w:rsidRDefault="001C1E30" w:rsidP="001C1E30">
      <w:pPr>
        <w:rPr>
          <w:sz w:val="28"/>
          <w:szCs w:val="28"/>
        </w:rPr>
      </w:pPr>
    </w:p>
    <w:p w:rsidR="001C1E30" w:rsidRPr="00FE1507" w:rsidRDefault="001C1E30" w:rsidP="00053C28">
      <w:pPr>
        <w:ind w:firstLine="709"/>
        <w:rPr>
          <w:sz w:val="28"/>
          <w:szCs w:val="28"/>
        </w:rPr>
      </w:pPr>
      <w:r w:rsidRPr="00FE1507">
        <w:rPr>
          <w:sz w:val="28"/>
          <w:szCs w:val="28"/>
        </w:rPr>
        <w:t>3.3.</w:t>
      </w:r>
      <w:r w:rsidR="00C619F6">
        <w:rPr>
          <w:sz w:val="28"/>
          <w:szCs w:val="28"/>
        </w:rPr>
        <w:t>2</w:t>
      </w:r>
      <w:r w:rsidRPr="00FE1507">
        <w:rPr>
          <w:sz w:val="28"/>
          <w:szCs w:val="28"/>
        </w:rPr>
        <w:t xml:space="preserve"> Определение аналитической специфичности</w:t>
      </w:r>
    </w:p>
    <w:p w:rsidR="001C1E30" w:rsidRPr="001C1E30" w:rsidRDefault="001C1E30" w:rsidP="00053C28">
      <w:pPr>
        <w:ind w:firstLine="709"/>
        <w:rPr>
          <w:sz w:val="28"/>
          <w:szCs w:val="28"/>
        </w:rPr>
      </w:pPr>
      <w:r w:rsidRPr="001C1E30">
        <w:rPr>
          <w:sz w:val="28"/>
          <w:szCs w:val="28"/>
        </w:rPr>
        <w:t xml:space="preserve">Процесс анализа праймеров специфичных для </w:t>
      </w:r>
      <w:r w:rsidR="007A7888" w:rsidRPr="007A7888">
        <w:rPr>
          <w:i/>
          <w:sz w:val="28"/>
          <w:szCs w:val="28"/>
        </w:rPr>
        <w:t>S. aureus</w:t>
      </w:r>
      <w:r w:rsidRPr="001C1E30">
        <w:rPr>
          <w:sz w:val="28"/>
          <w:szCs w:val="28"/>
        </w:rPr>
        <w:t xml:space="preserve"> на предмет их подобия к геномам других организмов предварительно осуществили в биоинформационной базе данных NСBI с помощью ресурса BLASТ который включает в себя геномы различных организмов. После завершения поиска, BLAST предоставил нам результаты, в которых не обнаружено сходства в геномах других организмов, что свидетельствует о высокой специфичности сконструированных праймеров. Данный анализ помогает исключить возможность амплификации нецелевых участков и обеспечивает высокую специфичность праймеров для конкретных организмов.</w:t>
      </w:r>
    </w:p>
    <w:p w:rsidR="001C1E30" w:rsidRDefault="001C1E30" w:rsidP="00053C28">
      <w:pPr>
        <w:ind w:firstLine="709"/>
        <w:rPr>
          <w:sz w:val="28"/>
          <w:szCs w:val="28"/>
        </w:rPr>
      </w:pPr>
      <w:r w:rsidRPr="001C1E30">
        <w:rPr>
          <w:sz w:val="28"/>
          <w:szCs w:val="28"/>
        </w:rPr>
        <w:t xml:space="preserve">Для определения аналитической специфичности тестовых праймеров и зонда к выбранному целевому участку гена nuc для </w:t>
      </w:r>
      <w:r w:rsidR="007A7888" w:rsidRPr="007A7888">
        <w:rPr>
          <w:i/>
          <w:sz w:val="28"/>
          <w:szCs w:val="28"/>
        </w:rPr>
        <w:t>S. aureus</w:t>
      </w:r>
      <w:r w:rsidRPr="001C1E30">
        <w:rPr>
          <w:sz w:val="28"/>
          <w:szCs w:val="28"/>
        </w:rPr>
        <w:t xml:space="preserve">, было случайно отобрано и проанализировано 34 изолята </w:t>
      </w:r>
      <w:r w:rsidR="007A7888" w:rsidRPr="007A7888">
        <w:rPr>
          <w:i/>
          <w:sz w:val="28"/>
          <w:szCs w:val="28"/>
        </w:rPr>
        <w:t>S. aureus</w:t>
      </w:r>
      <w:r w:rsidRPr="001C1E30">
        <w:rPr>
          <w:sz w:val="28"/>
          <w:szCs w:val="28"/>
        </w:rPr>
        <w:t xml:space="preserve">, а также 56 изолятов не относящихся к </w:t>
      </w:r>
      <w:r w:rsidR="007A7888" w:rsidRPr="007A7888">
        <w:rPr>
          <w:i/>
          <w:sz w:val="28"/>
          <w:szCs w:val="28"/>
        </w:rPr>
        <w:t>S. aureus</w:t>
      </w:r>
      <w:r w:rsidRPr="001C1E30">
        <w:rPr>
          <w:sz w:val="28"/>
          <w:szCs w:val="28"/>
        </w:rPr>
        <w:t xml:space="preserve"> выделенных из смывов, биоматериала животных, и продуктов животного происхождения (</w:t>
      </w:r>
      <w:r w:rsidR="00053C28" w:rsidRPr="00053C28">
        <w:rPr>
          <w:i/>
          <w:sz w:val="28"/>
          <w:szCs w:val="28"/>
        </w:rPr>
        <w:t>S. haemolyticus</w:t>
      </w:r>
      <w:r w:rsidRPr="001C1E30">
        <w:rPr>
          <w:sz w:val="28"/>
          <w:szCs w:val="28"/>
        </w:rPr>
        <w:t xml:space="preserve">, </w:t>
      </w:r>
      <w:r w:rsidR="009B02A7" w:rsidRPr="009B02A7">
        <w:rPr>
          <w:i/>
          <w:sz w:val="28"/>
          <w:szCs w:val="28"/>
        </w:rPr>
        <w:t>S. epidermidis</w:t>
      </w:r>
      <w:r w:rsidRPr="001C1E30">
        <w:rPr>
          <w:sz w:val="28"/>
          <w:szCs w:val="28"/>
        </w:rPr>
        <w:t xml:space="preserve">, </w:t>
      </w:r>
      <w:r w:rsidR="00053C28" w:rsidRPr="00053C28">
        <w:rPr>
          <w:i/>
          <w:sz w:val="28"/>
          <w:szCs w:val="28"/>
        </w:rPr>
        <w:t>Str. pyogenes</w:t>
      </w:r>
      <w:r w:rsidRPr="001C1E30">
        <w:rPr>
          <w:sz w:val="28"/>
          <w:szCs w:val="28"/>
        </w:rPr>
        <w:t xml:space="preserve">, </w:t>
      </w:r>
      <w:r w:rsidR="00053C28" w:rsidRPr="00053C28">
        <w:rPr>
          <w:i/>
          <w:sz w:val="28"/>
          <w:szCs w:val="28"/>
        </w:rPr>
        <w:t>Str. agalactiae</w:t>
      </w:r>
      <w:r w:rsidRPr="001C1E30">
        <w:rPr>
          <w:sz w:val="28"/>
          <w:szCs w:val="28"/>
        </w:rPr>
        <w:t xml:space="preserve">, </w:t>
      </w:r>
      <w:r w:rsidR="00453C72" w:rsidRPr="00453C72">
        <w:rPr>
          <w:i/>
          <w:sz w:val="28"/>
          <w:szCs w:val="28"/>
        </w:rPr>
        <w:t>Enterococcus faecium</w:t>
      </w:r>
      <w:r w:rsidRPr="001C1E30">
        <w:rPr>
          <w:sz w:val="28"/>
          <w:szCs w:val="28"/>
        </w:rPr>
        <w:t xml:space="preserve">, </w:t>
      </w:r>
      <w:r w:rsidR="00B832C8" w:rsidRPr="00B832C8">
        <w:rPr>
          <w:i/>
          <w:sz w:val="28"/>
          <w:szCs w:val="28"/>
        </w:rPr>
        <w:t>E. сoli</w:t>
      </w:r>
      <w:r w:rsidRPr="001C1E30">
        <w:rPr>
          <w:sz w:val="28"/>
          <w:szCs w:val="28"/>
        </w:rPr>
        <w:t xml:space="preserve">, </w:t>
      </w:r>
      <w:r w:rsidR="00B832C8" w:rsidRPr="00B832C8">
        <w:rPr>
          <w:i/>
          <w:sz w:val="28"/>
          <w:szCs w:val="28"/>
        </w:rPr>
        <w:t>Klebsiella</w:t>
      </w:r>
      <w:r w:rsidRPr="001C1E30">
        <w:rPr>
          <w:sz w:val="28"/>
          <w:szCs w:val="28"/>
        </w:rPr>
        <w:t xml:space="preserve">, </w:t>
      </w:r>
      <w:r w:rsidR="00B832C8" w:rsidRPr="00B832C8">
        <w:rPr>
          <w:i/>
          <w:sz w:val="28"/>
          <w:szCs w:val="28"/>
        </w:rPr>
        <w:t>Proteus</w:t>
      </w:r>
      <w:r w:rsidRPr="001C1E30">
        <w:rPr>
          <w:sz w:val="28"/>
          <w:szCs w:val="28"/>
        </w:rPr>
        <w:t xml:space="preserve">, </w:t>
      </w:r>
      <w:r w:rsidR="00B832C8" w:rsidRPr="00B832C8">
        <w:rPr>
          <w:i/>
          <w:sz w:val="28"/>
          <w:szCs w:val="28"/>
        </w:rPr>
        <w:t>Citrobacter</w:t>
      </w:r>
      <w:r w:rsidRPr="001C1E30">
        <w:rPr>
          <w:sz w:val="28"/>
          <w:szCs w:val="28"/>
        </w:rPr>
        <w:t xml:space="preserve">, </w:t>
      </w:r>
      <w:r w:rsidR="00B832C8" w:rsidRPr="00B832C8">
        <w:rPr>
          <w:i/>
          <w:sz w:val="28"/>
          <w:szCs w:val="28"/>
        </w:rPr>
        <w:t>S. chromogenes</w:t>
      </w:r>
      <w:r w:rsidRPr="001C1E30">
        <w:rPr>
          <w:sz w:val="28"/>
          <w:szCs w:val="28"/>
        </w:rPr>
        <w:t xml:space="preserve">, </w:t>
      </w:r>
      <w:r w:rsidR="009B02A7" w:rsidRPr="009B02A7">
        <w:rPr>
          <w:i/>
          <w:sz w:val="28"/>
          <w:szCs w:val="28"/>
        </w:rPr>
        <w:t>S. simulans</w:t>
      </w:r>
      <w:r w:rsidRPr="001C1E30">
        <w:rPr>
          <w:sz w:val="28"/>
          <w:szCs w:val="28"/>
        </w:rPr>
        <w:t xml:space="preserve">, </w:t>
      </w:r>
      <w:r w:rsidR="00B832C8" w:rsidRPr="00B832C8">
        <w:rPr>
          <w:i/>
          <w:sz w:val="28"/>
          <w:szCs w:val="28"/>
        </w:rPr>
        <w:t>Salmonella</w:t>
      </w:r>
      <w:r w:rsidRPr="001C1E30">
        <w:rPr>
          <w:sz w:val="28"/>
          <w:szCs w:val="28"/>
        </w:rPr>
        <w:t xml:space="preserve">, </w:t>
      </w:r>
      <w:r w:rsidR="00B832C8" w:rsidRPr="00B832C8">
        <w:rPr>
          <w:i/>
          <w:sz w:val="28"/>
          <w:szCs w:val="28"/>
        </w:rPr>
        <w:t>Listeria monocytogenes</w:t>
      </w:r>
      <w:r w:rsidRPr="001C1E30">
        <w:rPr>
          <w:sz w:val="28"/>
          <w:szCs w:val="28"/>
        </w:rPr>
        <w:t>) (рисунок 45-48).</w:t>
      </w:r>
    </w:p>
    <w:p w:rsidR="001C1E30" w:rsidRDefault="001C1E30" w:rsidP="001C1E30">
      <w:pPr>
        <w:rPr>
          <w:sz w:val="28"/>
          <w:szCs w:val="28"/>
        </w:rPr>
      </w:pPr>
    </w:p>
    <w:p w:rsidR="001C1E30" w:rsidRPr="001C1E30" w:rsidRDefault="001C1E30" w:rsidP="00B832C8">
      <w:pPr>
        <w:jc w:val="center"/>
        <w:rPr>
          <w:sz w:val="28"/>
          <w:szCs w:val="28"/>
        </w:rPr>
      </w:pPr>
      <w:r w:rsidRPr="001C1E30">
        <w:rPr>
          <w:noProof/>
          <w:sz w:val="28"/>
          <w:szCs w:val="28"/>
          <w:lang w:eastAsia="ru-RU"/>
        </w:rPr>
        <w:drawing>
          <wp:inline distT="0" distB="0" distL="0" distR="0" wp14:anchorId="604A2DE7" wp14:editId="18CFEECE">
            <wp:extent cx="3569524" cy="1981200"/>
            <wp:effectExtent l="0" t="0" r="0" b="0"/>
            <wp:docPr id="74" name="Рисунок 74" descr="C:\Users\User\Моноблок\Байменов\2025 год\докторантура\материалы и методы\Рисунки\Рисунок 43 – Положительные результаты ПЦР-РВ.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Моноблок\Байменов\2025 год\докторантура\материалы и методы\Рисунки\Рисунок 43 – Положительные результаты ПЦР-РВ.tiff"/>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696331" cy="2051582"/>
                    </a:xfrm>
                    <a:prstGeom prst="rect">
                      <a:avLst/>
                    </a:prstGeom>
                    <a:noFill/>
                    <a:ln>
                      <a:noFill/>
                    </a:ln>
                  </pic:spPr>
                </pic:pic>
              </a:graphicData>
            </a:graphic>
          </wp:inline>
        </w:drawing>
      </w:r>
    </w:p>
    <w:p w:rsidR="001C1E30" w:rsidRPr="001C1E30" w:rsidRDefault="001C1E30" w:rsidP="00B832C8">
      <w:pPr>
        <w:jc w:val="center"/>
        <w:rPr>
          <w:sz w:val="28"/>
          <w:szCs w:val="28"/>
        </w:rPr>
      </w:pPr>
      <w:r w:rsidRPr="001C1E30">
        <w:rPr>
          <w:sz w:val="28"/>
          <w:szCs w:val="28"/>
        </w:rPr>
        <w:t>Рисунок 45 – Положительные результаты ПЦР-РВ. Циклы до достижения порога (значения Ct) показали результат (21,7&gt; Ct&gt; 34,6) в зависимости от концентрации ДНК в образцах</w:t>
      </w:r>
    </w:p>
    <w:p w:rsidR="001C1E30" w:rsidRPr="001C1E30" w:rsidRDefault="001C1E30" w:rsidP="00B832C8">
      <w:pPr>
        <w:jc w:val="center"/>
        <w:rPr>
          <w:sz w:val="28"/>
          <w:szCs w:val="28"/>
        </w:rPr>
      </w:pPr>
    </w:p>
    <w:p w:rsidR="001C1E30" w:rsidRPr="001C1E30" w:rsidRDefault="001C1E30" w:rsidP="00B832C8">
      <w:pPr>
        <w:jc w:val="center"/>
        <w:rPr>
          <w:sz w:val="28"/>
          <w:szCs w:val="28"/>
        </w:rPr>
      </w:pPr>
      <w:r w:rsidRPr="001C1E30">
        <w:rPr>
          <w:noProof/>
          <w:sz w:val="28"/>
          <w:szCs w:val="28"/>
          <w:lang w:eastAsia="ru-RU"/>
        </w:rPr>
        <w:lastRenderedPageBreak/>
        <w:drawing>
          <wp:inline distT="0" distB="0" distL="0" distR="0" wp14:anchorId="7C092049" wp14:editId="05288D5B">
            <wp:extent cx="3562148" cy="2004060"/>
            <wp:effectExtent l="0" t="0" r="635" b="0"/>
            <wp:docPr id="75" name="Рисунок 75" descr="C:\Users\User\Моноблок\Байменов\2025 год\докторантура\материалы и методы\Рисунки\Рисунок 44 – Положительные результаты ПЦР-РВ.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Моноблок\Байменов\2025 год\докторантура\материалы и методы\Рисунки\Рисунок 44 – Положительные результаты ПЦР-РВ.tiff"/>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662066" cy="2060274"/>
                    </a:xfrm>
                    <a:prstGeom prst="rect">
                      <a:avLst/>
                    </a:prstGeom>
                    <a:noFill/>
                    <a:ln>
                      <a:noFill/>
                    </a:ln>
                  </pic:spPr>
                </pic:pic>
              </a:graphicData>
            </a:graphic>
          </wp:inline>
        </w:drawing>
      </w:r>
    </w:p>
    <w:p w:rsidR="001C1E30" w:rsidRPr="001C1E30" w:rsidRDefault="001C1E30" w:rsidP="00B832C8">
      <w:pPr>
        <w:jc w:val="center"/>
        <w:rPr>
          <w:sz w:val="28"/>
          <w:szCs w:val="28"/>
        </w:rPr>
      </w:pPr>
      <w:r w:rsidRPr="001C1E30">
        <w:rPr>
          <w:sz w:val="28"/>
          <w:szCs w:val="28"/>
        </w:rPr>
        <w:t>Рисунок 46 – Положительные результаты ПЦР-РВ. Циклы до достижения порога (значения Ct) показали результат (20,8&gt; Ct&gt; 32,2) в зависимости от концентрации ДНК в образцах</w:t>
      </w:r>
    </w:p>
    <w:p w:rsidR="001C1E30" w:rsidRPr="001C1E30" w:rsidRDefault="001C1E30" w:rsidP="00B832C8">
      <w:pPr>
        <w:jc w:val="center"/>
        <w:rPr>
          <w:sz w:val="28"/>
          <w:szCs w:val="28"/>
        </w:rPr>
      </w:pPr>
    </w:p>
    <w:p w:rsidR="001C1E30" w:rsidRPr="001C1E30" w:rsidRDefault="001C1E30" w:rsidP="00B832C8">
      <w:pPr>
        <w:jc w:val="center"/>
        <w:rPr>
          <w:sz w:val="28"/>
          <w:szCs w:val="28"/>
        </w:rPr>
      </w:pPr>
      <w:r w:rsidRPr="001C1E30">
        <w:rPr>
          <w:noProof/>
          <w:sz w:val="28"/>
          <w:szCs w:val="28"/>
          <w:lang w:eastAsia="ru-RU"/>
        </w:rPr>
        <w:drawing>
          <wp:inline distT="0" distB="0" distL="0" distR="0" wp14:anchorId="7FC380D8" wp14:editId="0A32E5CB">
            <wp:extent cx="3610856" cy="2042160"/>
            <wp:effectExtent l="0" t="0" r="8890" b="0"/>
            <wp:docPr id="76" name="Рисунок 76" descr="C:\Users\User\Моноблок\Байменов\2025 год\докторантура\материалы и методы\Рисунки\Рисунок 45 – Положительные результаты ПЦР-РВ.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Моноблок\Байменов\2025 год\докторантура\материалы и методы\Рисунки\Рисунок 45 – Положительные результаты ПЦР-РВ.tiff"/>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685269" cy="2084245"/>
                    </a:xfrm>
                    <a:prstGeom prst="rect">
                      <a:avLst/>
                    </a:prstGeom>
                    <a:noFill/>
                    <a:ln>
                      <a:noFill/>
                    </a:ln>
                  </pic:spPr>
                </pic:pic>
              </a:graphicData>
            </a:graphic>
          </wp:inline>
        </w:drawing>
      </w:r>
    </w:p>
    <w:p w:rsidR="001C1E30" w:rsidRPr="001C1E30" w:rsidRDefault="001C1E30" w:rsidP="00B832C8">
      <w:pPr>
        <w:jc w:val="center"/>
        <w:rPr>
          <w:sz w:val="28"/>
          <w:szCs w:val="28"/>
        </w:rPr>
      </w:pPr>
      <w:r w:rsidRPr="001C1E30">
        <w:rPr>
          <w:sz w:val="28"/>
          <w:szCs w:val="28"/>
        </w:rPr>
        <w:t>Рисунок 47 – Положительные результаты ПЦР-РВ. Циклы до достижения порога (значения Ct) показали результат (24,5&gt; Ct&gt; 30,6) в зависимости от концентрации ДНК в образцах</w:t>
      </w:r>
    </w:p>
    <w:p w:rsidR="001C1E30" w:rsidRPr="001C1E30" w:rsidRDefault="001C1E30" w:rsidP="00B832C8">
      <w:pPr>
        <w:jc w:val="center"/>
        <w:rPr>
          <w:sz w:val="28"/>
          <w:szCs w:val="28"/>
        </w:rPr>
      </w:pPr>
    </w:p>
    <w:p w:rsidR="001C1E30" w:rsidRPr="001C1E30" w:rsidRDefault="001C1E30" w:rsidP="00B832C8">
      <w:pPr>
        <w:jc w:val="center"/>
        <w:rPr>
          <w:sz w:val="28"/>
          <w:szCs w:val="28"/>
        </w:rPr>
      </w:pPr>
      <w:r w:rsidRPr="001C1E30">
        <w:rPr>
          <w:noProof/>
          <w:sz w:val="28"/>
          <w:szCs w:val="28"/>
          <w:lang w:eastAsia="ru-RU"/>
        </w:rPr>
        <w:drawing>
          <wp:inline distT="0" distB="0" distL="0" distR="0" wp14:anchorId="5DA65205" wp14:editId="50A56946">
            <wp:extent cx="3594704" cy="2026920"/>
            <wp:effectExtent l="0" t="0" r="6350" b="0"/>
            <wp:docPr id="77" name="Рисунок 77" descr="C:\Users\User\Моноблок\Байменов\2025 год\докторантура\материалы и методы\Рисунки\Рисунок 46 – Положительные результаты ПЦР-РВ.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Моноблок\Байменов\2025 год\докторантура\материалы и методы\Рисунки\Рисунок 46 – Положительные результаты ПЦР-РВ.tiff"/>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705901" cy="2089620"/>
                    </a:xfrm>
                    <a:prstGeom prst="rect">
                      <a:avLst/>
                    </a:prstGeom>
                    <a:noFill/>
                    <a:ln>
                      <a:noFill/>
                    </a:ln>
                  </pic:spPr>
                </pic:pic>
              </a:graphicData>
            </a:graphic>
          </wp:inline>
        </w:drawing>
      </w:r>
    </w:p>
    <w:p w:rsidR="001C1E30" w:rsidRPr="001C1E30" w:rsidRDefault="001C1E30" w:rsidP="00B832C8">
      <w:pPr>
        <w:jc w:val="center"/>
        <w:rPr>
          <w:sz w:val="28"/>
          <w:szCs w:val="28"/>
        </w:rPr>
      </w:pPr>
      <w:r w:rsidRPr="001C1E30">
        <w:rPr>
          <w:sz w:val="28"/>
          <w:szCs w:val="28"/>
        </w:rPr>
        <w:t>Рисунок 48 – Положительные результаты ПЦР-РВ. Циклы до достижения порога (значения Ct) показали результат (16,1&gt; Ct&gt; 22,3) в зависимости от концентрации ДНК в образцах</w:t>
      </w:r>
    </w:p>
    <w:p w:rsidR="001C1E30" w:rsidRPr="001C1E30" w:rsidRDefault="001C1E30" w:rsidP="001C1E30">
      <w:pPr>
        <w:rPr>
          <w:sz w:val="28"/>
          <w:szCs w:val="28"/>
        </w:rPr>
      </w:pPr>
    </w:p>
    <w:p w:rsidR="001C1E30" w:rsidRPr="001C1E30" w:rsidRDefault="001C1E30" w:rsidP="00B832C8">
      <w:pPr>
        <w:ind w:firstLine="709"/>
        <w:rPr>
          <w:sz w:val="28"/>
          <w:szCs w:val="28"/>
        </w:rPr>
      </w:pPr>
      <w:r w:rsidRPr="001C1E30">
        <w:rPr>
          <w:sz w:val="28"/>
          <w:szCs w:val="28"/>
        </w:rPr>
        <w:t xml:space="preserve">Все 34 изолята </w:t>
      </w:r>
      <w:r w:rsidR="007A7888" w:rsidRPr="007A7888">
        <w:rPr>
          <w:i/>
          <w:sz w:val="28"/>
          <w:szCs w:val="28"/>
        </w:rPr>
        <w:t>S. aureus</w:t>
      </w:r>
      <w:r w:rsidRPr="001C1E30">
        <w:rPr>
          <w:sz w:val="28"/>
          <w:szCs w:val="28"/>
        </w:rPr>
        <w:t xml:space="preserve"> были правильно идентифицированы по выбранному целевому участку гена термостабильной нуклеазы (nuc). 56 </w:t>
      </w:r>
      <w:r w:rsidRPr="001C1E30">
        <w:rPr>
          <w:sz w:val="28"/>
          <w:szCs w:val="28"/>
        </w:rPr>
        <w:lastRenderedPageBreak/>
        <w:t xml:space="preserve">изолятов, не относящиеся к </w:t>
      </w:r>
      <w:r w:rsidR="007A7888" w:rsidRPr="007A7888">
        <w:rPr>
          <w:i/>
          <w:sz w:val="28"/>
          <w:szCs w:val="28"/>
        </w:rPr>
        <w:t>S. aureus</w:t>
      </w:r>
      <w:r w:rsidRPr="001C1E30">
        <w:rPr>
          <w:sz w:val="28"/>
          <w:szCs w:val="28"/>
        </w:rPr>
        <w:t>, дали отрицательный результат, что важно для исключения возможных ложноположительных результатов, которые могли бы возникнуть из-за наличия ДНК нецелевых организмов.</w:t>
      </w:r>
    </w:p>
    <w:p w:rsidR="001C1E30" w:rsidRPr="001C1E30" w:rsidRDefault="001C1E30" w:rsidP="00B832C8">
      <w:pPr>
        <w:ind w:firstLine="709"/>
        <w:rPr>
          <w:sz w:val="28"/>
          <w:szCs w:val="28"/>
        </w:rPr>
      </w:pPr>
      <w:r w:rsidRPr="001C1E30">
        <w:rPr>
          <w:sz w:val="28"/>
          <w:szCs w:val="28"/>
        </w:rPr>
        <w:t xml:space="preserve">Таким образом, присутствие ДНК нецелевых видов бактерий никак не влияет на идентификацию </w:t>
      </w:r>
      <w:r w:rsidR="007A7888" w:rsidRPr="007A7888">
        <w:rPr>
          <w:i/>
          <w:sz w:val="28"/>
          <w:szCs w:val="28"/>
        </w:rPr>
        <w:t>S. aureus</w:t>
      </w:r>
      <w:r w:rsidRPr="001C1E30">
        <w:rPr>
          <w:sz w:val="28"/>
          <w:szCs w:val="28"/>
        </w:rPr>
        <w:t xml:space="preserve"> по выбранному специфичному участку гена, и свидетельствуют о высокой </w:t>
      </w:r>
      <w:r w:rsidR="00C14167">
        <w:rPr>
          <w:sz w:val="28"/>
          <w:szCs w:val="28"/>
        </w:rPr>
        <w:t>(100%)</w:t>
      </w:r>
      <w:r w:rsidR="00C14167" w:rsidRPr="001C1E30">
        <w:rPr>
          <w:sz w:val="28"/>
          <w:szCs w:val="28"/>
        </w:rPr>
        <w:t xml:space="preserve"> </w:t>
      </w:r>
      <w:r w:rsidRPr="001C1E30">
        <w:rPr>
          <w:sz w:val="28"/>
          <w:szCs w:val="28"/>
        </w:rPr>
        <w:t>специфичности</w:t>
      </w:r>
      <w:r w:rsidR="00C14167">
        <w:rPr>
          <w:sz w:val="28"/>
          <w:szCs w:val="28"/>
        </w:rPr>
        <w:t xml:space="preserve"> </w:t>
      </w:r>
      <w:r w:rsidRPr="001C1E30">
        <w:rPr>
          <w:sz w:val="28"/>
          <w:szCs w:val="28"/>
        </w:rPr>
        <w:t xml:space="preserve">праймеров </w:t>
      </w:r>
      <w:r w:rsidR="00C14167">
        <w:rPr>
          <w:sz w:val="28"/>
          <w:szCs w:val="28"/>
        </w:rPr>
        <w:t xml:space="preserve">разработанного метода ПЦР </w:t>
      </w:r>
      <w:r w:rsidRPr="001C1E30">
        <w:rPr>
          <w:sz w:val="28"/>
          <w:szCs w:val="28"/>
        </w:rPr>
        <w:t xml:space="preserve">(приложение </w:t>
      </w:r>
      <w:r w:rsidR="001A43AE">
        <w:rPr>
          <w:sz w:val="28"/>
          <w:szCs w:val="28"/>
        </w:rPr>
        <w:t>У</w:t>
      </w:r>
      <w:r w:rsidRPr="001C1E30">
        <w:rPr>
          <w:sz w:val="28"/>
          <w:szCs w:val="28"/>
        </w:rPr>
        <w:t>).</w:t>
      </w:r>
    </w:p>
    <w:p w:rsidR="00FE1507" w:rsidRDefault="00FE1507" w:rsidP="00B832C8">
      <w:pPr>
        <w:ind w:firstLine="709"/>
        <w:rPr>
          <w:b/>
          <w:sz w:val="28"/>
          <w:szCs w:val="28"/>
        </w:rPr>
      </w:pPr>
    </w:p>
    <w:p w:rsidR="001C1E30" w:rsidRPr="00FE1507" w:rsidRDefault="001C1E30" w:rsidP="00B832C8">
      <w:pPr>
        <w:ind w:firstLine="709"/>
        <w:rPr>
          <w:sz w:val="28"/>
          <w:szCs w:val="28"/>
        </w:rPr>
      </w:pPr>
      <w:r w:rsidRPr="00FE1507">
        <w:rPr>
          <w:sz w:val="28"/>
          <w:szCs w:val="28"/>
        </w:rPr>
        <w:t>3.3.</w:t>
      </w:r>
      <w:r w:rsidR="00C619F6">
        <w:rPr>
          <w:sz w:val="28"/>
          <w:szCs w:val="28"/>
        </w:rPr>
        <w:t>3</w:t>
      </w:r>
      <w:r w:rsidRPr="00FE1507">
        <w:rPr>
          <w:sz w:val="28"/>
          <w:szCs w:val="28"/>
        </w:rPr>
        <w:t xml:space="preserve"> Определение аналитической чувствительности</w:t>
      </w:r>
    </w:p>
    <w:p w:rsidR="001C1E30" w:rsidRPr="001C1E30" w:rsidRDefault="001C1E30" w:rsidP="00B832C8">
      <w:pPr>
        <w:ind w:firstLine="709"/>
        <w:rPr>
          <w:sz w:val="28"/>
          <w:szCs w:val="28"/>
        </w:rPr>
      </w:pPr>
      <w:r w:rsidRPr="001C1E30">
        <w:rPr>
          <w:sz w:val="28"/>
          <w:szCs w:val="28"/>
        </w:rPr>
        <w:t xml:space="preserve">Для определения аналитической чувствительности тестовых праймеров и зондов к выбранному целевому участку гена nuc для </w:t>
      </w:r>
      <w:r w:rsidR="007A7888" w:rsidRPr="007A7888">
        <w:rPr>
          <w:i/>
          <w:sz w:val="28"/>
          <w:szCs w:val="28"/>
        </w:rPr>
        <w:t>S. aureus</w:t>
      </w:r>
      <w:r w:rsidRPr="001C1E30">
        <w:rPr>
          <w:sz w:val="28"/>
          <w:szCs w:val="28"/>
        </w:rPr>
        <w:t xml:space="preserve">, произвели последовательные разведения выделенной ДНК </w:t>
      </w:r>
      <w:r w:rsidR="007A7888" w:rsidRPr="007A7888">
        <w:rPr>
          <w:i/>
          <w:sz w:val="28"/>
          <w:szCs w:val="28"/>
        </w:rPr>
        <w:t>S. aureus</w:t>
      </w:r>
      <w:r w:rsidRPr="001C1E30">
        <w:rPr>
          <w:sz w:val="28"/>
          <w:szCs w:val="28"/>
        </w:rPr>
        <w:t>, рассчитав процент геномов, при котором еще можно наблюдать специфические сигналы на кривых ПЦР. Термин «геномный эквивалент» относится к количеству ДНК в клетке или в образце, выраженному в единицах массы и сравниваемому с массой генома определенного организма (таблица 22, рисунок 49, 50).</w:t>
      </w:r>
    </w:p>
    <w:p w:rsidR="001C1E30" w:rsidRPr="001C1E30" w:rsidRDefault="001C1E30" w:rsidP="001C1E30">
      <w:pPr>
        <w:rPr>
          <w:sz w:val="28"/>
          <w:szCs w:val="28"/>
        </w:rPr>
      </w:pPr>
    </w:p>
    <w:p w:rsidR="001C1E30" w:rsidRDefault="001C1E30" w:rsidP="009C6F4B">
      <w:pPr>
        <w:jc w:val="left"/>
        <w:rPr>
          <w:sz w:val="28"/>
          <w:szCs w:val="28"/>
        </w:rPr>
      </w:pPr>
      <w:r w:rsidRPr="001C1E30">
        <w:rPr>
          <w:sz w:val="28"/>
          <w:szCs w:val="28"/>
        </w:rPr>
        <w:t xml:space="preserve">Таблица 22 – Расчет ДНК, копий/мкл </w:t>
      </w:r>
      <w:r w:rsidR="007A7888" w:rsidRPr="007A7888">
        <w:rPr>
          <w:i/>
          <w:sz w:val="28"/>
          <w:szCs w:val="28"/>
        </w:rPr>
        <w:t>S. aureus</w:t>
      </w:r>
    </w:p>
    <w:tbl>
      <w:tblPr>
        <w:tblW w:w="9860" w:type="dxa"/>
        <w:tblLayout w:type="fixed"/>
        <w:tblLook w:val="04A0" w:firstRow="1" w:lastRow="0" w:firstColumn="1" w:lastColumn="0" w:noHBand="0" w:noVBand="1"/>
      </w:tblPr>
      <w:tblGrid>
        <w:gridCol w:w="2239"/>
        <w:gridCol w:w="216"/>
        <w:gridCol w:w="1339"/>
        <w:gridCol w:w="6"/>
        <w:gridCol w:w="115"/>
        <w:gridCol w:w="1053"/>
        <w:gridCol w:w="6"/>
        <w:gridCol w:w="171"/>
        <w:gridCol w:w="1076"/>
        <w:gridCol w:w="276"/>
        <w:gridCol w:w="6"/>
        <w:gridCol w:w="642"/>
        <w:gridCol w:w="694"/>
        <w:gridCol w:w="329"/>
        <w:gridCol w:w="6"/>
        <w:gridCol w:w="205"/>
        <w:gridCol w:w="491"/>
        <w:gridCol w:w="491"/>
        <w:gridCol w:w="493"/>
        <w:gridCol w:w="6"/>
      </w:tblGrid>
      <w:tr w:rsidR="001C1E30" w:rsidRPr="00B832C8" w:rsidTr="006F2F87">
        <w:trPr>
          <w:gridAfter w:val="1"/>
          <w:wAfter w:w="6" w:type="dxa"/>
          <w:trHeight w:val="288"/>
        </w:trPr>
        <w:tc>
          <w:tcPr>
            <w:tcW w:w="22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C1E30" w:rsidRPr="00B832C8" w:rsidRDefault="001C1E30" w:rsidP="009C6F4B">
            <w:pPr>
              <w:rPr>
                <w:rFonts w:cs="Times New Roman"/>
                <w:szCs w:val="24"/>
              </w:rPr>
            </w:pPr>
            <w:r w:rsidRPr="00B832C8">
              <w:rPr>
                <w:rFonts w:cs="Times New Roman"/>
                <w:szCs w:val="24"/>
              </w:rPr>
              <w:t>Название источника ДНК</w:t>
            </w:r>
          </w:p>
        </w:tc>
        <w:tc>
          <w:tcPr>
            <w:tcW w:w="155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C1E30" w:rsidRPr="00B832C8" w:rsidRDefault="001C1E30" w:rsidP="009C6F4B">
            <w:pPr>
              <w:rPr>
                <w:rFonts w:cs="Times New Roman"/>
                <w:szCs w:val="24"/>
              </w:rPr>
            </w:pPr>
            <w:r w:rsidRPr="00B832C8">
              <w:rPr>
                <w:rFonts w:cs="Times New Roman"/>
                <w:szCs w:val="24"/>
              </w:rPr>
              <w:t>Длина ДНК, п.о.</w:t>
            </w:r>
          </w:p>
        </w:tc>
        <w:tc>
          <w:tcPr>
            <w:tcW w:w="2703" w:type="dxa"/>
            <w:gridSpan w:val="7"/>
            <w:tcBorders>
              <w:top w:val="single" w:sz="4" w:space="0" w:color="auto"/>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Спектрофотометрия</w:t>
            </w:r>
          </w:p>
        </w:tc>
        <w:tc>
          <w:tcPr>
            <w:tcW w:w="3357" w:type="dxa"/>
            <w:gridSpan w:val="9"/>
            <w:tcBorders>
              <w:top w:val="single" w:sz="4" w:space="0" w:color="auto"/>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Моль/мкл</w:t>
            </w:r>
          </w:p>
        </w:tc>
      </w:tr>
      <w:tr w:rsidR="001C1E30" w:rsidRPr="00B832C8" w:rsidTr="009C6F4B">
        <w:trPr>
          <w:gridAfter w:val="1"/>
          <w:wAfter w:w="6" w:type="dxa"/>
          <w:trHeight w:val="58"/>
        </w:trPr>
        <w:tc>
          <w:tcPr>
            <w:tcW w:w="223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C1E30" w:rsidRPr="00B832C8" w:rsidRDefault="001C1E30" w:rsidP="009C6F4B">
            <w:pPr>
              <w:rPr>
                <w:rFonts w:cs="Times New Roman"/>
                <w:szCs w:val="24"/>
              </w:rPr>
            </w:pPr>
          </w:p>
        </w:tc>
        <w:tc>
          <w:tcPr>
            <w:tcW w:w="1555"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C1E30" w:rsidRPr="00B832C8" w:rsidRDefault="001C1E30" w:rsidP="009C6F4B">
            <w:pPr>
              <w:rPr>
                <w:rFonts w:cs="Times New Roman"/>
                <w:szCs w:val="24"/>
              </w:rPr>
            </w:pPr>
          </w:p>
        </w:tc>
        <w:tc>
          <w:tcPr>
            <w:tcW w:w="1174" w:type="dxa"/>
            <w:gridSpan w:val="3"/>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нг/мкл</w:t>
            </w:r>
          </w:p>
        </w:tc>
        <w:tc>
          <w:tcPr>
            <w:tcW w:w="1529" w:type="dxa"/>
            <w:gridSpan w:val="4"/>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г/мкл</w:t>
            </w:r>
          </w:p>
        </w:tc>
        <w:tc>
          <w:tcPr>
            <w:tcW w:w="1671" w:type="dxa"/>
            <w:gridSpan w:val="4"/>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моль/мкл</w:t>
            </w:r>
          </w:p>
        </w:tc>
        <w:tc>
          <w:tcPr>
            <w:tcW w:w="1686" w:type="dxa"/>
            <w:gridSpan w:val="5"/>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фМоль/мкл</w:t>
            </w:r>
          </w:p>
        </w:tc>
      </w:tr>
      <w:tr w:rsidR="001C1E30" w:rsidRPr="00B832C8" w:rsidTr="006F2F87">
        <w:trPr>
          <w:gridAfter w:val="1"/>
          <w:wAfter w:w="6" w:type="dxa"/>
          <w:trHeight w:val="288"/>
        </w:trPr>
        <w:tc>
          <w:tcPr>
            <w:tcW w:w="2239" w:type="dxa"/>
            <w:tcBorders>
              <w:top w:val="nil"/>
              <w:left w:val="single" w:sz="4" w:space="0" w:color="auto"/>
              <w:bottom w:val="single" w:sz="4" w:space="0" w:color="auto"/>
              <w:right w:val="single" w:sz="4" w:space="0" w:color="auto"/>
            </w:tcBorders>
            <w:shd w:val="clear" w:color="auto" w:fill="auto"/>
            <w:noWrap/>
            <w:vAlign w:val="bottom"/>
            <w:hideMark/>
          </w:tcPr>
          <w:p w:rsidR="001C1E30" w:rsidRPr="00B832C8" w:rsidRDefault="007A7888" w:rsidP="009C6F4B">
            <w:pPr>
              <w:rPr>
                <w:rFonts w:cs="Times New Roman"/>
                <w:szCs w:val="24"/>
              </w:rPr>
            </w:pPr>
            <w:r w:rsidRPr="007A7888">
              <w:rPr>
                <w:rFonts w:cs="Times New Roman"/>
                <w:i/>
                <w:szCs w:val="24"/>
              </w:rPr>
              <w:t>S. aureus</w:t>
            </w:r>
            <w:r w:rsidR="001C1E30" w:rsidRPr="00B832C8">
              <w:rPr>
                <w:rFonts w:cs="Times New Roman"/>
                <w:szCs w:val="24"/>
              </w:rPr>
              <w:t xml:space="preserve"> 1</w:t>
            </w:r>
          </w:p>
        </w:tc>
        <w:tc>
          <w:tcPr>
            <w:tcW w:w="1555" w:type="dxa"/>
            <w:gridSpan w:val="2"/>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2821361</w:t>
            </w:r>
          </w:p>
        </w:tc>
        <w:tc>
          <w:tcPr>
            <w:tcW w:w="1174" w:type="dxa"/>
            <w:gridSpan w:val="3"/>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38,72</w:t>
            </w:r>
          </w:p>
        </w:tc>
        <w:tc>
          <w:tcPr>
            <w:tcW w:w="1529" w:type="dxa"/>
            <w:gridSpan w:val="4"/>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3,872E-08</w:t>
            </w:r>
          </w:p>
        </w:tc>
        <w:tc>
          <w:tcPr>
            <w:tcW w:w="1671" w:type="dxa"/>
            <w:gridSpan w:val="4"/>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2,07937E-17</w:t>
            </w:r>
          </w:p>
        </w:tc>
        <w:tc>
          <w:tcPr>
            <w:tcW w:w="1686" w:type="dxa"/>
            <w:gridSpan w:val="5"/>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0,020793747</w:t>
            </w:r>
          </w:p>
        </w:tc>
      </w:tr>
      <w:tr w:rsidR="001C1E30" w:rsidRPr="00B832C8" w:rsidTr="006F2F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88"/>
        </w:trPr>
        <w:tc>
          <w:tcPr>
            <w:tcW w:w="9854" w:type="dxa"/>
            <w:gridSpan w:val="19"/>
            <w:shd w:val="clear" w:color="auto" w:fill="auto"/>
            <w:noWrap/>
            <w:vAlign w:val="center"/>
            <w:hideMark/>
          </w:tcPr>
          <w:p w:rsidR="001C1E30" w:rsidRPr="00B832C8" w:rsidRDefault="001C1E30" w:rsidP="009C6F4B">
            <w:pPr>
              <w:rPr>
                <w:rFonts w:cs="Times New Roman"/>
                <w:szCs w:val="24"/>
              </w:rPr>
            </w:pPr>
            <w:r w:rsidRPr="00B832C8">
              <w:rPr>
                <w:rFonts w:cs="Times New Roman"/>
                <w:szCs w:val="24"/>
              </w:rPr>
              <w:t>Разведения копий/мкл</w:t>
            </w:r>
          </w:p>
        </w:tc>
      </w:tr>
      <w:tr w:rsidR="001C1E30" w:rsidRPr="00B832C8" w:rsidTr="006F2F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88"/>
        </w:trPr>
        <w:tc>
          <w:tcPr>
            <w:tcW w:w="2455" w:type="dxa"/>
            <w:gridSpan w:val="2"/>
            <w:shd w:val="clear" w:color="auto" w:fill="auto"/>
            <w:vAlign w:val="center"/>
            <w:hideMark/>
          </w:tcPr>
          <w:p w:rsidR="001C1E30" w:rsidRPr="00B832C8" w:rsidRDefault="001C1E30" w:rsidP="009C6F4B">
            <w:pPr>
              <w:rPr>
                <w:rFonts w:cs="Times New Roman"/>
                <w:szCs w:val="24"/>
              </w:rPr>
            </w:pPr>
            <w:r w:rsidRPr="00B832C8">
              <w:rPr>
                <w:rFonts w:cs="Times New Roman"/>
                <w:szCs w:val="24"/>
              </w:rPr>
              <w:t>Всего</w:t>
            </w:r>
          </w:p>
        </w:tc>
        <w:tc>
          <w:tcPr>
            <w:tcW w:w="146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w:t>
            </w:r>
          </w:p>
        </w:tc>
        <w:tc>
          <w:tcPr>
            <w:tcW w:w="123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-2</w:t>
            </w:r>
          </w:p>
        </w:tc>
        <w:tc>
          <w:tcPr>
            <w:tcW w:w="1076"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-3</w:t>
            </w:r>
          </w:p>
        </w:tc>
        <w:tc>
          <w:tcPr>
            <w:tcW w:w="924"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-4</w:t>
            </w:r>
          </w:p>
        </w:tc>
        <w:tc>
          <w:tcPr>
            <w:tcW w:w="694"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-5</w:t>
            </w:r>
          </w:p>
        </w:tc>
        <w:tc>
          <w:tcPr>
            <w:tcW w:w="54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-6</w:t>
            </w:r>
          </w:p>
        </w:tc>
        <w:tc>
          <w:tcPr>
            <w:tcW w:w="491"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-7</w:t>
            </w:r>
          </w:p>
        </w:tc>
        <w:tc>
          <w:tcPr>
            <w:tcW w:w="491"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-8</w:t>
            </w:r>
          </w:p>
        </w:tc>
        <w:tc>
          <w:tcPr>
            <w:tcW w:w="493"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-9</w:t>
            </w:r>
          </w:p>
        </w:tc>
      </w:tr>
      <w:tr w:rsidR="001C1E30" w:rsidRPr="00B832C8" w:rsidTr="006F2F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88"/>
        </w:trPr>
        <w:tc>
          <w:tcPr>
            <w:tcW w:w="2455" w:type="dxa"/>
            <w:gridSpan w:val="2"/>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12 522 287,14298</w:t>
            </w:r>
          </w:p>
        </w:tc>
        <w:tc>
          <w:tcPr>
            <w:tcW w:w="146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1 252 229</w:t>
            </w:r>
          </w:p>
        </w:tc>
        <w:tc>
          <w:tcPr>
            <w:tcW w:w="123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125 223</w:t>
            </w:r>
          </w:p>
        </w:tc>
        <w:tc>
          <w:tcPr>
            <w:tcW w:w="1076"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12 522</w:t>
            </w:r>
          </w:p>
        </w:tc>
        <w:tc>
          <w:tcPr>
            <w:tcW w:w="924"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1 252</w:t>
            </w:r>
          </w:p>
        </w:tc>
        <w:tc>
          <w:tcPr>
            <w:tcW w:w="694"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125</w:t>
            </w:r>
          </w:p>
        </w:tc>
        <w:tc>
          <w:tcPr>
            <w:tcW w:w="54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13</w:t>
            </w:r>
          </w:p>
        </w:tc>
        <w:tc>
          <w:tcPr>
            <w:tcW w:w="491"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w:t>
            </w:r>
          </w:p>
        </w:tc>
        <w:tc>
          <w:tcPr>
            <w:tcW w:w="491"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0</w:t>
            </w:r>
          </w:p>
        </w:tc>
        <w:tc>
          <w:tcPr>
            <w:tcW w:w="493"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0</w:t>
            </w:r>
          </w:p>
        </w:tc>
      </w:tr>
      <w:tr w:rsidR="001C1E30" w:rsidRPr="00B832C8" w:rsidTr="006F2F87">
        <w:trPr>
          <w:trHeight w:val="288"/>
        </w:trPr>
        <w:tc>
          <w:tcPr>
            <w:tcW w:w="22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C1E30" w:rsidRPr="00B832C8" w:rsidRDefault="001C1E30" w:rsidP="009C6F4B">
            <w:pPr>
              <w:rPr>
                <w:rFonts w:cs="Times New Roman"/>
                <w:szCs w:val="24"/>
              </w:rPr>
            </w:pPr>
            <w:r w:rsidRPr="00B832C8">
              <w:rPr>
                <w:rFonts w:cs="Times New Roman"/>
                <w:szCs w:val="24"/>
              </w:rPr>
              <w:t>Название источника ДНК</w:t>
            </w:r>
          </w:p>
        </w:tc>
        <w:tc>
          <w:tcPr>
            <w:tcW w:w="1561"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C1E30" w:rsidRPr="00B832C8" w:rsidRDefault="001C1E30" w:rsidP="009C6F4B">
            <w:pPr>
              <w:rPr>
                <w:rFonts w:cs="Times New Roman"/>
                <w:szCs w:val="24"/>
              </w:rPr>
            </w:pPr>
            <w:r w:rsidRPr="00B832C8">
              <w:rPr>
                <w:rFonts w:cs="Times New Roman"/>
                <w:szCs w:val="24"/>
              </w:rPr>
              <w:t>Длина ДНК, п.о.</w:t>
            </w:r>
          </w:p>
        </w:tc>
        <w:tc>
          <w:tcPr>
            <w:tcW w:w="2703" w:type="dxa"/>
            <w:gridSpan w:val="7"/>
            <w:tcBorders>
              <w:top w:val="single" w:sz="4" w:space="0" w:color="auto"/>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Спектрофотометрия</w:t>
            </w:r>
          </w:p>
        </w:tc>
        <w:tc>
          <w:tcPr>
            <w:tcW w:w="3357" w:type="dxa"/>
            <w:gridSpan w:val="9"/>
            <w:tcBorders>
              <w:top w:val="single" w:sz="4" w:space="0" w:color="auto"/>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Моль/мкл</w:t>
            </w:r>
          </w:p>
        </w:tc>
      </w:tr>
      <w:tr w:rsidR="001C1E30" w:rsidRPr="00B832C8" w:rsidTr="006F2F87">
        <w:trPr>
          <w:trHeight w:val="288"/>
        </w:trPr>
        <w:tc>
          <w:tcPr>
            <w:tcW w:w="223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C1E30" w:rsidRPr="00B832C8" w:rsidRDefault="001C1E30" w:rsidP="009C6F4B">
            <w:pPr>
              <w:rPr>
                <w:rFonts w:cs="Times New Roman"/>
                <w:szCs w:val="24"/>
              </w:rPr>
            </w:pPr>
          </w:p>
        </w:tc>
        <w:tc>
          <w:tcPr>
            <w:tcW w:w="1561"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C1E30" w:rsidRPr="00B832C8" w:rsidRDefault="001C1E30" w:rsidP="009C6F4B">
            <w:pPr>
              <w:rPr>
                <w:rFonts w:cs="Times New Roman"/>
                <w:szCs w:val="24"/>
              </w:rPr>
            </w:pPr>
          </w:p>
        </w:tc>
        <w:tc>
          <w:tcPr>
            <w:tcW w:w="1174" w:type="dxa"/>
            <w:gridSpan w:val="3"/>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нг/мкл</w:t>
            </w:r>
          </w:p>
        </w:tc>
        <w:tc>
          <w:tcPr>
            <w:tcW w:w="1529" w:type="dxa"/>
            <w:gridSpan w:val="4"/>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г/мкл</w:t>
            </w:r>
          </w:p>
        </w:tc>
        <w:tc>
          <w:tcPr>
            <w:tcW w:w="1671" w:type="dxa"/>
            <w:gridSpan w:val="4"/>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моль/мкл</w:t>
            </w:r>
          </w:p>
        </w:tc>
        <w:tc>
          <w:tcPr>
            <w:tcW w:w="1686" w:type="dxa"/>
            <w:gridSpan w:val="5"/>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фМоль/мкл</w:t>
            </w:r>
          </w:p>
        </w:tc>
      </w:tr>
      <w:tr w:rsidR="001C1E30" w:rsidRPr="00B832C8" w:rsidTr="006F2F87">
        <w:trPr>
          <w:trHeight w:val="288"/>
        </w:trPr>
        <w:tc>
          <w:tcPr>
            <w:tcW w:w="2239" w:type="dxa"/>
            <w:tcBorders>
              <w:top w:val="nil"/>
              <w:left w:val="single" w:sz="4" w:space="0" w:color="auto"/>
              <w:bottom w:val="single" w:sz="4" w:space="0" w:color="auto"/>
              <w:right w:val="single" w:sz="4" w:space="0" w:color="auto"/>
            </w:tcBorders>
            <w:shd w:val="clear" w:color="auto" w:fill="auto"/>
            <w:noWrap/>
            <w:vAlign w:val="bottom"/>
            <w:hideMark/>
          </w:tcPr>
          <w:p w:rsidR="001C1E30" w:rsidRPr="00B832C8" w:rsidRDefault="007A7888" w:rsidP="009C6F4B">
            <w:pPr>
              <w:rPr>
                <w:rFonts w:cs="Times New Roman"/>
                <w:szCs w:val="24"/>
              </w:rPr>
            </w:pPr>
            <w:r w:rsidRPr="007A7888">
              <w:rPr>
                <w:rFonts w:cs="Times New Roman"/>
                <w:i/>
                <w:szCs w:val="24"/>
              </w:rPr>
              <w:t>S. aureus</w:t>
            </w:r>
            <w:r w:rsidR="001C1E30" w:rsidRPr="00B832C8">
              <w:rPr>
                <w:rFonts w:cs="Times New Roman"/>
                <w:szCs w:val="24"/>
              </w:rPr>
              <w:t xml:space="preserve"> 2</w:t>
            </w:r>
          </w:p>
        </w:tc>
        <w:tc>
          <w:tcPr>
            <w:tcW w:w="1561" w:type="dxa"/>
            <w:gridSpan w:val="3"/>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2821361</w:t>
            </w:r>
          </w:p>
        </w:tc>
        <w:tc>
          <w:tcPr>
            <w:tcW w:w="1174" w:type="dxa"/>
            <w:gridSpan w:val="3"/>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29,9</w:t>
            </w:r>
          </w:p>
        </w:tc>
        <w:tc>
          <w:tcPr>
            <w:tcW w:w="1529" w:type="dxa"/>
            <w:gridSpan w:val="4"/>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2,99E-08</w:t>
            </w:r>
          </w:p>
        </w:tc>
        <w:tc>
          <w:tcPr>
            <w:tcW w:w="1671" w:type="dxa"/>
            <w:gridSpan w:val="4"/>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1,60572E-17</w:t>
            </w:r>
          </w:p>
        </w:tc>
        <w:tc>
          <w:tcPr>
            <w:tcW w:w="1686" w:type="dxa"/>
            <w:gridSpan w:val="5"/>
            <w:tcBorders>
              <w:top w:val="nil"/>
              <w:left w:val="nil"/>
              <w:bottom w:val="single" w:sz="4" w:space="0" w:color="auto"/>
              <w:right w:val="single" w:sz="4" w:space="0" w:color="auto"/>
            </w:tcBorders>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0,016057155</w:t>
            </w:r>
          </w:p>
        </w:tc>
      </w:tr>
      <w:tr w:rsidR="001C1E30" w:rsidRPr="00B832C8" w:rsidTr="009C6F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8"/>
        </w:trPr>
        <w:tc>
          <w:tcPr>
            <w:tcW w:w="9860" w:type="dxa"/>
            <w:gridSpan w:val="20"/>
            <w:shd w:val="clear" w:color="auto" w:fill="auto"/>
            <w:noWrap/>
            <w:vAlign w:val="center"/>
            <w:hideMark/>
          </w:tcPr>
          <w:p w:rsidR="001C1E30" w:rsidRPr="00B832C8" w:rsidRDefault="001C1E30" w:rsidP="009C6F4B">
            <w:pPr>
              <w:rPr>
                <w:rFonts w:cs="Times New Roman"/>
                <w:szCs w:val="24"/>
              </w:rPr>
            </w:pPr>
            <w:r w:rsidRPr="00B832C8">
              <w:rPr>
                <w:rFonts w:cs="Times New Roman"/>
                <w:szCs w:val="24"/>
              </w:rPr>
              <w:t>Разведения копий/мкл</w:t>
            </w:r>
          </w:p>
        </w:tc>
      </w:tr>
      <w:tr w:rsidR="001C1E30" w:rsidRPr="00B832C8" w:rsidTr="006F2F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88"/>
        </w:trPr>
        <w:tc>
          <w:tcPr>
            <w:tcW w:w="2455" w:type="dxa"/>
            <w:gridSpan w:val="2"/>
            <w:shd w:val="clear" w:color="auto" w:fill="auto"/>
            <w:vAlign w:val="center"/>
            <w:hideMark/>
          </w:tcPr>
          <w:p w:rsidR="001C1E30" w:rsidRPr="00B832C8" w:rsidRDefault="001C1E30" w:rsidP="009C6F4B">
            <w:pPr>
              <w:rPr>
                <w:rFonts w:cs="Times New Roman"/>
                <w:szCs w:val="24"/>
              </w:rPr>
            </w:pPr>
            <w:r w:rsidRPr="00B832C8">
              <w:rPr>
                <w:rFonts w:cs="Times New Roman"/>
                <w:szCs w:val="24"/>
              </w:rPr>
              <w:t>Всего</w:t>
            </w:r>
          </w:p>
        </w:tc>
        <w:tc>
          <w:tcPr>
            <w:tcW w:w="146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w:t>
            </w:r>
          </w:p>
        </w:tc>
        <w:tc>
          <w:tcPr>
            <w:tcW w:w="123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-2</w:t>
            </w:r>
          </w:p>
        </w:tc>
        <w:tc>
          <w:tcPr>
            <w:tcW w:w="1076"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-3</w:t>
            </w:r>
          </w:p>
        </w:tc>
        <w:tc>
          <w:tcPr>
            <w:tcW w:w="924"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-4</w:t>
            </w:r>
          </w:p>
        </w:tc>
        <w:tc>
          <w:tcPr>
            <w:tcW w:w="694"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-5</w:t>
            </w:r>
          </w:p>
        </w:tc>
        <w:tc>
          <w:tcPr>
            <w:tcW w:w="54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-6</w:t>
            </w:r>
          </w:p>
        </w:tc>
        <w:tc>
          <w:tcPr>
            <w:tcW w:w="491"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-7</w:t>
            </w:r>
          </w:p>
        </w:tc>
        <w:tc>
          <w:tcPr>
            <w:tcW w:w="491"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-8</w:t>
            </w:r>
          </w:p>
        </w:tc>
        <w:tc>
          <w:tcPr>
            <w:tcW w:w="493"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-9</w:t>
            </w:r>
          </w:p>
        </w:tc>
      </w:tr>
      <w:tr w:rsidR="001C1E30" w:rsidRPr="00B832C8" w:rsidTr="006F2F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 w:type="dxa"/>
          <w:trHeight w:val="288"/>
        </w:trPr>
        <w:tc>
          <w:tcPr>
            <w:tcW w:w="2455" w:type="dxa"/>
            <w:gridSpan w:val="2"/>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9 669 844,66878</w:t>
            </w:r>
          </w:p>
        </w:tc>
        <w:tc>
          <w:tcPr>
            <w:tcW w:w="146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966 984</w:t>
            </w:r>
          </w:p>
        </w:tc>
        <w:tc>
          <w:tcPr>
            <w:tcW w:w="123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96 698</w:t>
            </w:r>
          </w:p>
        </w:tc>
        <w:tc>
          <w:tcPr>
            <w:tcW w:w="1076"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9 670</w:t>
            </w:r>
          </w:p>
        </w:tc>
        <w:tc>
          <w:tcPr>
            <w:tcW w:w="924"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967</w:t>
            </w:r>
          </w:p>
        </w:tc>
        <w:tc>
          <w:tcPr>
            <w:tcW w:w="694"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97</w:t>
            </w:r>
          </w:p>
        </w:tc>
        <w:tc>
          <w:tcPr>
            <w:tcW w:w="540" w:type="dxa"/>
            <w:gridSpan w:val="3"/>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10</w:t>
            </w:r>
          </w:p>
        </w:tc>
        <w:tc>
          <w:tcPr>
            <w:tcW w:w="491"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1</w:t>
            </w:r>
          </w:p>
        </w:tc>
        <w:tc>
          <w:tcPr>
            <w:tcW w:w="491"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0</w:t>
            </w:r>
          </w:p>
        </w:tc>
        <w:tc>
          <w:tcPr>
            <w:tcW w:w="493" w:type="dxa"/>
            <w:shd w:val="clear" w:color="auto" w:fill="auto"/>
            <w:noWrap/>
            <w:vAlign w:val="bottom"/>
            <w:hideMark/>
          </w:tcPr>
          <w:p w:rsidR="001C1E30" w:rsidRPr="00B832C8" w:rsidRDefault="001C1E30" w:rsidP="009C6F4B">
            <w:pPr>
              <w:rPr>
                <w:rFonts w:cs="Times New Roman"/>
                <w:szCs w:val="24"/>
              </w:rPr>
            </w:pPr>
            <w:r w:rsidRPr="00B832C8">
              <w:rPr>
                <w:rFonts w:cs="Times New Roman"/>
                <w:szCs w:val="24"/>
              </w:rPr>
              <w:t>0</w:t>
            </w:r>
          </w:p>
        </w:tc>
      </w:tr>
    </w:tbl>
    <w:p w:rsidR="001C1E30" w:rsidRPr="001C1E30" w:rsidRDefault="001C1E30" w:rsidP="001C1E30">
      <w:pPr>
        <w:rPr>
          <w:sz w:val="28"/>
          <w:szCs w:val="28"/>
        </w:rPr>
      </w:pPr>
    </w:p>
    <w:p w:rsidR="001C1E30" w:rsidRPr="001C1E30" w:rsidRDefault="001C1E30" w:rsidP="00B832C8">
      <w:pPr>
        <w:jc w:val="center"/>
        <w:rPr>
          <w:sz w:val="28"/>
          <w:szCs w:val="28"/>
        </w:rPr>
      </w:pPr>
      <w:r w:rsidRPr="001C1E30">
        <w:rPr>
          <w:noProof/>
          <w:sz w:val="28"/>
          <w:szCs w:val="28"/>
          <w:lang w:eastAsia="ru-RU"/>
        </w:rPr>
        <w:drawing>
          <wp:inline distT="0" distB="0" distL="0" distR="0" wp14:anchorId="74C48C00" wp14:editId="333BD995">
            <wp:extent cx="3059024" cy="1729740"/>
            <wp:effectExtent l="0" t="0" r="8255" b="3810"/>
            <wp:docPr id="28" name="Рисунок 28" descr="C:\Users\User\Моноблок\Байменов\2025 год\докторантура\материалы и методы\Рисунки\Рисунок 47 – Кривые накопления флуоресцентного сигнала последовательных разведений.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Рисунки\Рисунок 47 – Кривые накопления флуоресцентного сигнала последовательных разведений.tiff"/>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3106620" cy="1756653"/>
                    </a:xfrm>
                    <a:prstGeom prst="rect">
                      <a:avLst/>
                    </a:prstGeom>
                    <a:noFill/>
                    <a:ln>
                      <a:noFill/>
                    </a:ln>
                    <a:extLst>
                      <a:ext uri="{53640926-AAD7-44D8-BBD7-CCE9431645EC}">
                        <a14:shadowObscured xmlns:a14="http://schemas.microsoft.com/office/drawing/2010/main"/>
                      </a:ext>
                    </a:extLst>
                  </pic:spPr>
                </pic:pic>
              </a:graphicData>
            </a:graphic>
          </wp:inline>
        </w:drawing>
      </w:r>
    </w:p>
    <w:p w:rsidR="001C1E30" w:rsidRPr="001C1E30" w:rsidRDefault="001C1E30" w:rsidP="00B832C8">
      <w:pPr>
        <w:rPr>
          <w:sz w:val="28"/>
          <w:szCs w:val="28"/>
        </w:rPr>
      </w:pPr>
      <w:r w:rsidRPr="001C1E30">
        <w:rPr>
          <w:sz w:val="28"/>
          <w:szCs w:val="28"/>
        </w:rPr>
        <w:t>-1 – 1 252 229, -2 – 125 223, -3 – 12 522, -4 – 1 252, -5 – 125, -6 – 13, -7 – 1, -8 и -9 – 0 копий /мкл</w:t>
      </w:r>
    </w:p>
    <w:p w:rsidR="001C1E30" w:rsidRPr="001C1E30" w:rsidRDefault="001C1E30" w:rsidP="00B832C8">
      <w:pPr>
        <w:jc w:val="center"/>
        <w:rPr>
          <w:sz w:val="28"/>
          <w:szCs w:val="28"/>
        </w:rPr>
      </w:pPr>
      <w:r w:rsidRPr="001C1E30">
        <w:rPr>
          <w:sz w:val="28"/>
          <w:szCs w:val="28"/>
        </w:rPr>
        <w:t>Рисунок 49 – Кривые накопления флуоресцентного сигнала последовательных разведений выделенных ДНК копий/мкл</w:t>
      </w:r>
    </w:p>
    <w:p w:rsidR="001C1E30" w:rsidRPr="001C1E30" w:rsidRDefault="001C1E30" w:rsidP="00B832C8">
      <w:pPr>
        <w:jc w:val="center"/>
        <w:rPr>
          <w:sz w:val="28"/>
          <w:szCs w:val="28"/>
        </w:rPr>
      </w:pPr>
    </w:p>
    <w:p w:rsidR="001C1E30" w:rsidRPr="001C1E30" w:rsidRDefault="009C6F4B" w:rsidP="00B832C8">
      <w:pPr>
        <w:jc w:val="center"/>
        <w:rPr>
          <w:sz w:val="28"/>
          <w:szCs w:val="28"/>
        </w:rPr>
      </w:pPr>
      <w:r w:rsidRPr="009C6F4B">
        <w:rPr>
          <w:noProof/>
          <w:sz w:val="28"/>
          <w:szCs w:val="28"/>
          <w:lang w:eastAsia="ru-RU"/>
        </w:rPr>
        <w:drawing>
          <wp:inline distT="0" distB="0" distL="0" distR="0" wp14:anchorId="1A16ED17" wp14:editId="7C925B86">
            <wp:extent cx="3081255" cy="1775460"/>
            <wp:effectExtent l="0" t="0" r="5080" b="0"/>
            <wp:docPr id="56" name="Рисунок 56" descr="C:\Users\User\Downloads\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Без имени.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101620" cy="1787194"/>
                    </a:xfrm>
                    <a:prstGeom prst="rect">
                      <a:avLst/>
                    </a:prstGeom>
                    <a:noFill/>
                    <a:ln>
                      <a:noFill/>
                    </a:ln>
                  </pic:spPr>
                </pic:pic>
              </a:graphicData>
            </a:graphic>
          </wp:inline>
        </w:drawing>
      </w:r>
    </w:p>
    <w:p w:rsidR="001C1E30" w:rsidRPr="001C1E30" w:rsidRDefault="001C1E30" w:rsidP="00B832C8">
      <w:pPr>
        <w:rPr>
          <w:sz w:val="28"/>
          <w:szCs w:val="28"/>
        </w:rPr>
      </w:pPr>
      <w:r w:rsidRPr="001C1E30">
        <w:rPr>
          <w:sz w:val="28"/>
          <w:szCs w:val="28"/>
        </w:rPr>
        <w:t>-1 – 966 984, -2 – 96 698, -3 – 9 670, -4 – 967, -5 – 97, -6 – 10, -7 – 1, -8 – 0, -9 – 0 копий /мкл.</w:t>
      </w:r>
    </w:p>
    <w:p w:rsidR="001C1E30" w:rsidRPr="001C1E30" w:rsidRDefault="001C1E30" w:rsidP="00B832C8">
      <w:pPr>
        <w:jc w:val="center"/>
        <w:rPr>
          <w:sz w:val="28"/>
          <w:szCs w:val="28"/>
        </w:rPr>
      </w:pPr>
      <w:r w:rsidRPr="001C1E30">
        <w:rPr>
          <w:sz w:val="28"/>
          <w:szCs w:val="28"/>
        </w:rPr>
        <w:t>Рисунок 50 – Кривые накопления флуоресцентного сигнала последовательных разведений выделенных ДНК копий/мкл.</w:t>
      </w:r>
    </w:p>
    <w:p w:rsidR="001C1E30" w:rsidRPr="001C1E30" w:rsidRDefault="001C1E30" w:rsidP="001C1E30">
      <w:pPr>
        <w:rPr>
          <w:sz w:val="28"/>
          <w:szCs w:val="28"/>
        </w:rPr>
      </w:pPr>
    </w:p>
    <w:p w:rsidR="009C6F4B" w:rsidRDefault="009C6F4B" w:rsidP="00B832C8">
      <w:pPr>
        <w:ind w:firstLine="709"/>
        <w:rPr>
          <w:sz w:val="28"/>
          <w:szCs w:val="28"/>
        </w:rPr>
      </w:pPr>
      <w:r>
        <w:rPr>
          <w:sz w:val="28"/>
          <w:szCs w:val="28"/>
        </w:rPr>
        <w:t xml:space="preserve">Как видно из рисунков, </w:t>
      </w:r>
      <w:r w:rsidRPr="009C6F4B">
        <w:rPr>
          <w:sz w:val="28"/>
          <w:szCs w:val="28"/>
        </w:rPr>
        <w:t>флуоресцентный сигнал,</w:t>
      </w:r>
      <w:r>
        <w:rPr>
          <w:sz w:val="28"/>
          <w:szCs w:val="28"/>
        </w:rPr>
        <w:t xml:space="preserve"> пересекающий пороговый уровень, </w:t>
      </w:r>
      <w:r w:rsidRPr="009C6F4B">
        <w:rPr>
          <w:sz w:val="28"/>
          <w:szCs w:val="28"/>
        </w:rPr>
        <w:t xml:space="preserve">регистрировался в диапазоне разведений от </w:t>
      </w:r>
      <w:r>
        <w:rPr>
          <w:sz w:val="28"/>
          <w:szCs w:val="28"/>
        </w:rPr>
        <w:t>(-1)</w:t>
      </w:r>
      <w:r w:rsidRPr="009C6F4B">
        <w:rPr>
          <w:sz w:val="28"/>
          <w:szCs w:val="28"/>
        </w:rPr>
        <w:t xml:space="preserve"> до </w:t>
      </w:r>
      <w:r>
        <w:rPr>
          <w:sz w:val="28"/>
          <w:szCs w:val="28"/>
        </w:rPr>
        <w:t>(-6)</w:t>
      </w:r>
      <w:r w:rsidRPr="009C6F4B">
        <w:rPr>
          <w:sz w:val="28"/>
          <w:szCs w:val="28"/>
        </w:rPr>
        <w:t xml:space="preserve">. На разведении </w:t>
      </w:r>
      <w:r>
        <w:rPr>
          <w:sz w:val="28"/>
          <w:szCs w:val="28"/>
        </w:rPr>
        <w:t>(-7)</w:t>
      </w:r>
      <w:r w:rsidRPr="009C6F4B">
        <w:rPr>
          <w:sz w:val="28"/>
          <w:szCs w:val="28"/>
        </w:rPr>
        <w:t xml:space="preserve"> кривая </w:t>
      </w:r>
      <w:r w:rsidR="002C3D3F">
        <w:rPr>
          <w:sz w:val="28"/>
          <w:szCs w:val="28"/>
        </w:rPr>
        <w:t>накопления наблюдалась</w:t>
      </w:r>
      <w:r w:rsidRPr="009C6F4B">
        <w:rPr>
          <w:sz w:val="28"/>
          <w:szCs w:val="28"/>
        </w:rPr>
        <w:t xml:space="preserve"> на последних циклах, что расценивалось как ненадёжный результат. На разведениях </w:t>
      </w:r>
      <w:r w:rsidR="002C3D3F" w:rsidRPr="009C6F4B">
        <w:rPr>
          <w:sz w:val="28"/>
          <w:szCs w:val="28"/>
        </w:rPr>
        <w:t xml:space="preserve">от </w:t>
      </w:r>
      <w:r w:rsidR="002C3D3F">
        <w:rPr>
          <w:sz w:val="28"/>
          <w:szCs w:val="28"/>
        </w:rPr>
        <w:t>(-8)</w:t>
      </w:r>
      <w:r w:rsidR="002C3D3F" w:rsidRPr="009C6F4B">
        <w:rPr>
          <w:sz w:val="28"/>
          <w:szCs w:val="28"/>
        </w:rPr>
        <w:t xml:space="preserve"> </w:t>
      </w:r>
      <w:r w:rsidR="002C3D3F">
        <w:rPr>
          <w:sz w:val="28"/>
          <w:szCs w:val="28"/>
        </w:rPr>
        <w:t>и</w:t>
      </w:r>
      <w:r w:rsidR="002C3D3F" w:rsidRPr="009C6F4B">
        <w:rPr>
          <w:sz w:val="28"/>
          <w:szCs w:val="28"/>
        </w:rPr>
        <w:t xml:space="preserve"> </w:t>
      </w:r>
      <w:r w:rsidR="002C3D3F">
        <w:rPr>
          <w:sz w:val="28"/>
          <w:szCs w:val="28"/>
        </w:rPr>
        <w:t>(-9)</w:t>
      </w:r>
      <w:r w:rsidR="002C3D3F" w:rsidRPr="009C6F4B">
        <w:rPr>
          <w:sz w:val="28"/>
          <w:szCs w:val="28"/>
        </w:rPr>
        <w:t xml:space="preserve">. </w:t>
      </w:r>
      <w:r w:rsidRPr="009C6F4B">
        <w:rPr>
          <w:sz w:val="28"/>
          <w:szCs w:val="28"/>
        </w:rPr>
        <w:t>нарастание флуоре</w:t>
      </w:r>
      <w:r w:rsidR="002C3D3F">
        <w:rPr>
          <w:sz w:val="28"/>
          <w:szCs w:val="28"/>
        </w:rPr>
        <w:t>сцентного сигнала отсутствовало</w:t>
      </w:r>
      <w:r w:rsidRPr="009C6F4B">
        <w:rPr>
          <w:sz w:val="28"/>
          <w:szCs w:val="28"/>
        </w:rPr>
        <w:t>.</w:t>
      </w:r>
    </w:p>
    <w:p w:rsidR="001C1E30" w:rsidRPr="001C1E30" w:rsidRDefault="00C14167" w:rsidP="00B832C8">
      <w:pPr>
        <w:ind w:firstLine="709"/>
        <w:rPr>
          <w:sz w:val="28"/>
          <w:szCs w:val="28"/>
        </w:rPr>
      </w:pPr>
      <w:r w:rsidRPr="001C1E30">
        <w:rPr>
          <w:sz w:val="28"/>
          <w:szCs w:val="28"/>
        </w:rPr>
        <w:t xml:space="preserve">Таким образом, </w:t>
      </w:r>
      <w:r>
        <w:rPr>
          <w:sz w:val="28"/>
          <w:szCs w:val="28"/>
        </w:rPr>
        <w:t>п</w:t>
      </w:r>
      <w:r w:rsidR="001C1E30" w:rsidRPr="001C1E30">
        <w:rPr>
          <w:sz w:val="28"/>
          <w:szCs w:val="28"/>
        </w:rPr>
        <w:t xml:space="preserve">о результатам проведенного эксперимента, установлена диагностическая чувствительность протокола ПЦР для целевого гена nuc </w:t>
      </w:r>
      <w:r w:rsidR="007A7888" w:rsidRPr="007A7888">
        <w:rPr>
          <w:i/>
          <w:sz w:val="28"/>
          <w:szCs w:val="28"/>
        </w:rPr>
        <w:t>S. aureus</w:t>
      </w:r>
      <w:r w:rsidR="001C1E30" w:rsidRPr="001C1E30">
        <w:rPr>
          <w:sz w:val="28"/>
          <w:szCs w:val="28"/>
        </w:rPr>
        <w:t xml:space="preserve">, которая составила 13 и 10 копий ДНК/мкл (приложение </w:t>
      </w:r>
      <w:r w:rsidR="001A43AE">
        <w:rPr>
          <w:sz w:val="28"/>
          <w:szCs w:val="28"/>
        </w:rPr>
        <w:t>У</w:t>
      </w:r>
      <w:r w:rsidR="001C1E30" w:rsidRPr="001C1E30">
        <w:rPr>
          <w:sz w:val="28"/>
          <w:szCs w:val="28"/>
        </w:rPr>
        <w:t xml:space="preserve">). </w:t>
      </w:r>
      <w:r w:rsidR="00E9323D">
        <w:rPr>
          <w:sz w:val="28"/>
          <w:szCs w:val="28"/>
        </w:rPr>
        <w:t>Разработанный</w:t>
      </w:r>
      <w:r w:rsidR="001C1E30" w:rsidRPr="001C1E30">
        <w:rPr>
          <w:sz w:val="28"/>
          <w:szCs w:val="28"/>
        </w:rPr>
        <w:t xml:space="preserve"> метод </w:t>
      </w:r>
      <w:r w:rsidR="00E9323D">
        <w:rPr>
          <w:sz w:val="28"/>
          <w:szCs w:val="28"/>
        </w:rPr>
        <w:t xml:space="preserve">РТ-ПЦР </w:t>
      </w:r>
      <w:r w:rsidR="001C1E30" w:rsidRPr="001C1E30">
        <w:rPr>
          <w:sz w:val="28"/>
          <w:szCs w:val="28"/>
        </w:rPr>
        <w:t>может служить надежным инструментом скрининга, особенно в образцах, с низким содержанием исследуемых патогенов, что соответствует представленным результатам ученых в данной области исследований [411, 412].</w:t>
      </w:r>
    </w:p>
    <w:p w:rsidR="00FE1507" w:rsidRDefault="00FE1507" w:rsidP="00B832C8">
      <w:pPr>
        <w:ind w:firstLine="709"/>
        <w:rPr>
          <w:b/>
          <w:sz w:val="28"/>
          <w:szCs w:val="28"/>
        </w:rPr>
      </w:pPr>
    </w:p>
    <w:p w:rsidR="001C1E30" w:rsidRPr="00E1739C" w:rsidRDefault="00E1739C" w:rsidP="00B832C8">
      <w:pPr>
        <w:ind w:firstLine="709"/>
        <w:rPr>
          <w:sz w:val="28"/>
          <w:szCs w:val="28"/>
        </w:rPr>
      </w:pPr>
      <w:r w:rsidRPr="00E1739C">
        <w:rPr>
          <w:sz w:val="28"/>
          <w:szCs w:val="28"/>
        </w:rPr>
        <w:t xml:space="preserve">3.3.4 </w:t>
      </w:r>
      <w:r w:rsidR="001C1E30" w:rsidRPr="00E1739C">
        <w:rPr>
          <w:sz w:val="28"/>
          <w:szCs w:val="28"/>
        </w:rPr>
        <w:t>Разработка рекомбинантного положительного контрольного образца для подтверждения результатов ПЦР</w:t>
      </w:r>
    </w:p>
    <w:p w:rsidR="001C1E30" w:rsidRPr="001C1E30" w:rsidRDefault="001C1E30" w:rsidP="00B832C8">
      <w:pPr>
        <w:ind w:firstLine="709"/>
        <w:rPr>
          <w:sz w:val="28"/>
          <w:szCs w:val="28"/>
        </w:rPr>
      </w:pPr>
      <w:r w:rsidRPr="001C1E30">
        <w:rPr>
          <w:sz w:val="28"/>
          <w:szCs w:val="28"/>
        </w:rPr>
        <w:t xml:space="preserve">Для контроля процесса амплификации консервативных участков генов мишеней, доказательства верного функционирования ПЦР, создан положительный контрольный образец. ПКО несет в своем составе все мишени: специфический для </w:t>
      </w:r>
      <w:r w:rsidR="007A7888" w:rsidRPr="007A7888">
        <w:rPr>
          <w:i/>
          <w:sz w:val="28"/>
          <w:szCs w:val="28"/>
        </w:rPr>
        <w:t>S. aureus</w:t>
      </w:r>
      <w:r w:rsidRPr="001C1E30">
        <w:rPr>
          <w:sz w:val="28"/>
          <w:szCs w:val="28"/>
        </w:rPr>
        <w:t xml:space="preserve"> участок гена термостабильной нуклеазы (nuc) размером 77 п.н.; ген резистентности к антибиотикам группы бета-лактамов (BlaZ) размером 193 п.н.; ген резистентности к антибиотикам группы макролидов (ermC) размером 142 п.н.; ген резистентности к антибиотикам группы тетрациклинов (TetK) размером 167 п.н.</w:t>
      </w:r>
    </w:p>
    <w:p w:rsidR="001C1E30" w:rsidRPr="001C1E30" w:rsidRDefault="001C1E30" w:rsidP="00B832C8">
      <w:pPr>
        <w:ind w:firstLine="709"/>
        <w:rPr>
          <w:sz w:val="28"/>
          <w:szCs w:val="28"/>
        </w:rPr>
      </w:pPr>
      <w:r w:rsidRPr="001C1E30">
        <w:rPr>
          <w:sz w:val="28"/>
          <w:szCs w:val="28"/>
        </w:rPr>
        <w:t>Амплификация конкретных генных участков</w:t>
      </w:r>
    </w:p>
    <w:p w:rsidR="001C1E30" w:rsidRPr="001C1E30" w:rsidRDefault="001C1E30" w:rsidP="00B832C8">
      <w:pPr>
        <w:ind w:firstLine="709"/>
        <w:rPr>
          <w:sz w:val="28"/>
          <w:szCs w:val="28"/>
        </w:rPr>
      </w:pPr>
      <w:r w:rsidRPr="001C1E30">
        <w:rPr>
          <w:sz w:val="28"/>
          <w:szCs w:val="28"/>
        </w:rPr>
        <w:t xml:space="preserve">Для получения необходимых участков ДНК, провели ПЦР с положительными образцами </w:t>
      </w:r>
      <w:r w:rsidR="007A7888" w:rsidRPr="007A7888">
        <w:rPr>
          <w:i/>
          <w:sz w:val="28"/>
          <w:szCs w:val="28"/>
        </w:rPr>
        <w:t>S. aureus</w:t>
      </w:r>
      <w:r w:rsidRPr="001C1E30">
        <w:rPr>
          <w:sz w:val="28"/>
          <w:szCs w:val="28"/>
        </w:rPr>
        <w:t xml:space="preserve"> по генам nuc, BlaZ, ermC и TetK без использования зондов по стандартному протоколу (таблица 23, 24) </w:t>
      </w:r>
    </w:p>
    <w:p w:rsidR="001C1E30" w:rsidRPr="001C1E30" w:rsidRDefault="001C1E30" w:rsidP="001C1E30">
      <w:pPr>
        <w:rPr>
          <w:sz w:val="28"/>
          <w:szCs w:val="28"/>
        </w:rPr>
      </w:pPr>
    </w:p>
    <w:p w:rsidR="001C1E30" w:rsidRDefault="001C1E30" w:rsidP="001C1E30">
      <w:pPr>
        <w:rPr>
          <w:sz w:val="28"/>
          <w:szCs w:val="28"/>
        </w:rPr>
      </w:pPr>
      <w:r w:rsidRPr="001C1E30">
        <w:rPr>
          <w:sz w:val="28"/>
          <w:szCs w:val="28"/>
        </w:rPr>
        <w:lastRenderedPageBreak/>
        <w:t>Таблица 23 – Схема приготовления реакционной смеси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5607"/>
        <w:gridCol w:w="3382"/>
      </w:tblGrid>
      <w:tr w:rsidR="001C1E30" w:rsidRPr="001C1E30" w:rsidTr="006F2F87">
        <w:tc>
          <w:tcPr>
            <w:tcW w:w="439" w:type="pct"/>
          </w:tcPr>
          <w:p w:rsidR="001C1E30" w:rsidRPr="001C1E30" w:rsidRDefault="001C1E30" w:rsidP="001C1E30">
            <w:pPr>
              <w:rPr>
                <w:sz w:val="28"/>
                <w:szCs w:val="28"/>
              </w:rPr>
            </w:pPr>
            <w:r w:rsidRPr="001C1E30">
              <w:rPr>
                <w:sz w:val="28"/>
                <w:szCs w:val="28"/>
              </w:rPr>
              <w:t>№</w:t>
            </w:r>
          </w:p>
        </w:tc>
        <w:tc>
          <w:tcPr>
            <w:tcW w:w="2845" w:type="pct"/>
          </w:tcPr>
          <w:p w:rsidR="001C1E30" w:rsidRPr="001C1E30" w:rsidRDefault="001C1E30" w:rsidP="001C1E30">
            <w:pPr>
              <w:rPr>
                <w:sz w:val="28"/>
                <w:szCs w:val="28"/>
              </w:rPr>
            </w:pPr>
            <w:r w:rsidRPr="001C1E30">
              <w:rPr>
                <w:sz w:val="28"/>
                <w:szCs w:val="28"/>
              </w:rPr>
              <w:t>Компонент</w:t>
            </w:r>
          </w:p>
        </w:tc>
        <w:tc>
          <w:tcPr>
            <w:tcW w:w="1716" w:type="pct"/>
          </w:tcPr>
          <w:p w:rsidR="001C1E30" w:rsidRPr="001C1E30" w:rsidRDefault="001C1E30" w:rsidP="001C1E30">
            <w:pPr>
              <w:rPr>
                <w:sz w:val="28"/>
                <w:szCs w:val="28"/>
              </w:rPr>
            </w:pPr>
            <w:r w:rsidRPr="001C1E30">
              <w:rPr>
                <w:sz w:val="28"/>
                <w:szCs w:val="28"/>
              </w:rPr>
              <w:t>Количество, μl</w:t>
            </w:r>
          </w:p>
        </w:tc>
      </w:tr>
      <w:tr w:rsidR="001C1E30" w:rsidRPr="001C1E30" w:rsidTr="006F2F87">
        <w:tc>
          <w:tcPr>
            <w:tcW w:w="439" w:type="pct"/>
          </w:tcPr>
          <w:p w:rsidR="001C1E30" w:rsidRPr="001C1E30" w:rsidRDefault="001C1E30" w:rsidP="001C1E30">
            <w:pPr>
              <w:rPr>
                <w:sz w:val="28"/>
                <w:szCs w:val="28"/>
              </w:rPr>
            </w:pPr>
            <w:r w:rsidRPr="001C1E30">
              <w:rPr>
                <w:sz w:val="28"/>
                <w:szCs w:val="28"/>
              </w:rPr>
              <w:t>1</w:t>
            </w:r>
          </w:p>
        </w:tc>
        <w:tc>
          <w:tcPr>
            <w:tcW w:w="2845" w:type="pct"/>
          </w:tcPr>
          <w:p w:rsidR="001C1E30" w:rsidRPr="001C1E30" w:rsidRDefault="001C1E30" w:rsidP="001C1E30">
            <w:pPr>
              <w:rPr>
                <w:sz w:val="28"/>
                <w:szCs w:val="28"/>
              </w:rPr>
            </w:pPr>
            <w:r w:rsidRPr="001C1E30">
              <w:rPr>
                <w:sz w:val="28"/>
                <w:szCs w:val="28"/>
              </w:rPr>
              <w:t>5XqPCRmix-HS</w:t>
            </w:r>
          </w:p>
        </w:tc>
        <w:tc>
          <w:tcPr>
            <w:tcW w:w="1716" w:type="pct"/>
          </w:tcPr>
          <w:p w:rsidR="001C1E30" w:rsidRPr="001C1E30" w:rsidRDefault="001C1E30" w:rsidP="001C1E30">
            <w:pPr>
              <w:rPr>
                <w:sz w:val="28"/>
                <w:szCs w:val="28"/>
              </w:rPr>
            </w:pPr>
            <w:r w:rsidRPr="001C1E30">
              <w:rPr>
                <w:sz w:val="28"/>
                <w:szCs w:val="28"/>
              </w:rPr>
              <w:t>10</w:t>
            </w:r>
          </w:p>
        </w:tc>
      </w:tr>
      <w:tr w:rsidR="001C1E30" w:rsidRPr="001C1E30" w:rsidTr="006F2F87">
        <w:tc>
          <w:tcPr>
            <w:tcW w:w="439" w:type="pct"/>
          </w:tcPr>
          <w:p w:rsidR="001C1E30" w:rsidRPr="001C1E30" w:rsidRDefault="001C1E30" w:rsidP="001C1E30">
            <w:pPr>
              <w:rPr>
                <w:sz w:val="28"/>
                <w:szCs w:val="28"/>
              </w:rPr>
            </w:pPr>
            <w:r w:rsidRPr="001C1E30">
              <w:rPr>
                <w:sz w:val="28"/>
                <w:szCs w:val="28"/>
              </w:rPr>
              <w:t>2</w:t>
            </w:r>
          </w:p>
        </w:tc>
        <w:tc>
          <w:tcPr>
            <w:tcW w:w="2845" w:type="pct"/>
          </w:tcPr>
          <w:p w:rsidR="001C1E30" w:rsidRPr="001C1E30" w:rsidRDefault="001C1E30" w:rsidP="001C1E30">
            <w:pPr>
              <w:rPr>
                <w:sz w:val="28"/>
                <w:szCs w:val="28"/>
              </w:rPr>
            </w:pPr>
            <w:r w:rsidRPr="001C1E30">
              <w:rPr>
                <w:sz w:val="28"/>
                <w:szCs w:val="28"/>
              </w:rPr>
              <w:t>MQ вода</w:t>
            </w:r>
          </w:p>
        </w:tc>
        <w:tc>
          <w:tcPr>
            <w:tcW w:w="1716" w:type="pct"/>
          </w:tcPr>
          <w:p w:rsidR="001C1E30" w:rsidRPr="001C1E30" w:rsidRDefault="001C1E30" w:rsidP="001C1E30">
            <w:pPr>
              <w:rPr>
                <w:sz w:val="28"/>
                <w:szCs w:val="28"/>
              </w:rPr>
            </w:pPr>
            <w:r w:rsidRPr="001C1E30">
              <w:rPr>
                <w:sz w:val="28"/>
                <w:szCs w:val="28"/>
              </w:rPr>
              <w:t>23</w:t>
            </w:r>
          </w:p>
        </w:tc>
      </w:tr>
      <w:tr w:rsidR="001C1E30" w:rsidRPr="001C1E30" w:rsidTr="006F2F87">
        <w:tc>
          <w:tcPr>
            <w:tcW w:w="439" w:type="pct"/>
          </w:tcPr>
          <w:p w:rsidR="001C1E30" w:rsidRPr="001C1E30" w:rsidRDefault="001C1E30" w:rsidP="001C1E30">
            <w:pPr>
              <w:rPr>
                <w:sz w:val="28"/>
                <w:szCs w:val="28"/>
              </w:rPr>
            </w:pPr>
            <w:r w:rsidRPr="001C1E30">
              <w:rPr>
                <w:sz w:val="28"/>
                <w:szCs w:val="28"/>
              </w:rPr>
              <w:t>3</w:t>
            </w:r>
          </w:p>
        </w:tc>
        <w:tc>
          <w:tcPr>
            <w:tcW w:w="2845" w:type="pct"/>
          </w:tcPr>
          <w:p w:rsidR="001C1E30" w:rsidRPr="001C1E30" w:rsidRDefault="001C1E30" w:rsidP="001C1E30">
            <w:pPr>
              <w:rPr>
                <w:sz w:val="28"/>
                <w:szCs w:val="28"/>
              </w:rPr>
            </w:pPr>
            <w:r w:rsidRPr="001C1E30">
              <w:rPr>
                <w:sz w:val="28"/>
                <w:szCs w:val="28"/>
              </w:rPr>
              <w:t>10X Taq ДНК-полимераза</w:t>
            </w:r>
          </w:p>
        </w:tc>
        <w:tc>
          <w:tcPr>
            <w:tcW w:w="1716" w:type="pct"/>
          </w:tcPr>
          <w:p w:rsidR="001C1E30" w:rsidRPr="001C1E30" w:rsidRDefault="001C1E30" w:rsidP="001C1E30">
            <w:pPr>
              <w:rPr>
                <w:sz w:val="28"/>
                <w:szCs w:val="28"/>
              </w:rPr>
            </w:pPr>
            <w:r w:rsidRPr="001C1E30">
              <w:rPr>
                <w:sz w:val="28"/>
                <w:szCs w:val="28"/>
              </w:rPr>
              <w:t>5</w:t>
            </w:r>
          </w:p>
        </w:tc>
      </w:tr>
      <w:tr w:rsidR="001C1E30" w:rsidRPr="001C1E30" w:rsidTr="006F2F87">
        <w:tc>
          <w:tcPr>
            <w:tcW w:w="439" w:type="pct"/>
          </w:tcPr>
          <w:p w:rsidR="001C1E30" w:rsidRPr="001C1E30" w:rsidRDefault="001C1E30" w:rsidP="001C1E30">
            <w:pPr>
              <w:rPr>
                <w:sz w:val="28"/>
                <w:szCs w:val="28"/>
              </w:rPr>
            </w:pPr>
            <w:r w:rsidRPr="001C1E30">
              <w:rPr>
                <w:sz w:val="28"/>
                <w:szCs w:val="28"/>
              </w:rPr>
              <w:t>4</w:t>
            </w:r>
          </w:p>
        </w:tc>
        <w:tc>
          <w:tcPr>
            <w:tcW w:w="2845" w:type="pct"/>
          </w:tcPr>
          <w:p w:rsidR="001C1E30" w:rsidRPr="001C1E30" w:rsidRDefault="001C1E30" w:rsidP="001C1E30">
            <w:pPr>
              <w:rPr>
                <w:sz w:val="28"/>
                <w:szCs w:val="28"/>
              </w:rPr>
            </w:pPr>
            <w:r w:rsidRPr="001C1E30">
              <w:rPr>
                <w:sz w:val="28"/>
                <w:szCs w:val="28"/>
              </w:rPr>
              <w:t>Смесь праймеров</w:t>
            </w:r>
          </w:p>
        </w:tc>
        <w:tc>
          <w:tcPr>
            <w:tcW w:w="1716" w:type="pct"/>
          </w:tcPr>
          <w:p w:rsidR="001C1E30" w:rsidRPr="001C1E30" w:rsidRDefault="001C1E30" w:rsidP="001C1E30">
            <w:pPr>
              <w:rPr>
                <w:sz w:val="28"/>
                <w:szCs w:val="28"/>
              </w:rPr>
            </w:pPr>
            <w:r w:rsidRPr="001C1E30">
              <w:rPr>
                <w:sz w:val="28"/>
                <w:szCs w:val="28"/>
              </w:rPr>
              <w:t>4</w:t>
            </w:r>
          </w:p>
        </w:tc>
      </w:tr>
      <w:tr w:rsidR="001C1E30" w:rsidRPr="001C1E30" w:rsidTr="006F2F87">
        <w:tc>
          <w:tcPr>
            <w:tcW w:w="439" w:type="pct"/>
          </w:tcPr>
          <w:p w:rsidR="001C1E30" w:rsidRPr="001C1E30" w:rsidRDefault="001C1E30" w:rsidP="001C1E30">
            <w:pPr>
              <w:rPr>
                <w:sz w:val="28"/>
                <w:szCs w:val="28"/>
              </w:rPr>
            </w:pPr>
            <w:r w:rsidRPr="001C1E30">
              <w:rPr>
                <w:sz w:val="28"/>
                <w:szCs w:val="28"/>
              </w:rPr>
              <w:t>5</w:t>
            </w:r>
          </w:p>
        </w:tc>
        <w:tc>
          <w:tcPr>
            <w:tcW w:w="2845" w:type="pct"/>
          </w:tcPr>
          <w:p w:rsidR="001C1E30" w:rsidRPr="001C1E30" w:rsidRDefault="001C1E30" w:rsidP="001C1E30">
            <w:pPr>
              <w:rPr>
                <w:sz w:val="28"/>
                <w:szCs w:val="28"/>
              </w:rPr>
            </w:pPr>
            <w:r w:rsidRPr="001C1E30">
              <w:rPr>
                <w:sz w:val="28"/>
                <w:szCs w:val="28"/>
              </w:rPr>
              <w:t>ДНК</w:t>
            </w:r>
          </w:p>
        </w:tc>
        <w:tc>
          <w:tcPr>
            <w:tcW w:w="1716" w:type="pct"/>
          </w:tcPr>
          <w:p w:rsidR="001C1E30" w:rsidRPr="001C1E30" w:rsidRDefault="001C1E30" w:rsidP="001C1E30">
            <w:pPr>
              <w:rPr>
                <w:sz w:val="28"/>
                <w:szCs w:val="28"/>
              </w:rPr>
            </w:pPr>
            <w:r w:rsidRPr="001C1E30">
              <w:rPr>
                <w:sz w:val="28"/>
                <w:szCs w:val="28"/>
              </w:rPr>
              <w:t>8</w:t>
            </w:r>
          </w:p>
        </w:tc>
      </w:tr>
      <w:tr w:rsidR="001C1E30" w:rsidRPr="001C1E30" w:rsidTr="006F2F87">
        <w:tc>
          <w:tcPr>
            <w:tcW w:w="3284" w:type="pct"/>
            <w:gridSpan w:val="2"/>
          </w:tcPr>
          <w:p w:rsidR="001C1E30" w:rsidRPr="001C1E30" w:rsidRDefault="001C1E30" w:rsidP="001C1E30">
            <w:pPr>
              <w:rPr>
                <w:sz w:val="28"/>
                <w:szCs w:val="28"/>
              </w:rPr>
            </w:pPr>
            <w:r w:rsidRPr="001C1E30">
              <w:rPr>
                <w:sz w:val="28"/>
                <w:szCs w:val="28"/>
              </w:rPr>
              <w:t>Суммарный объем реакции</w:t>
            </w:r>
          </w:p>
        </w:tc>
        <w:tc>
          <w:tcPr>
            <w:tcW w:w="1716" w:type="pct"/>
          </w:tcPr>
          <w:p w:rsidR="001C1E30" w:rsidRPr="001C1E30" w:rsidRDefault="001C1E30" w:rsidP="001C1E30">
            <w:pPr>
              <w:rPr>
                <w:sz w:val="28"/>
                <w:szCs w:val="28"/>
              </w:rPr>
            </w:pPr>
            <w:r w:rsidRPr="001C1E30">
              <w:rPr>
                <w:sz w:val="28"/>
                <w:szCs w:val="28"/>
              </w:rPr>
              <w:t>50</w:t>
            </w:r>
          </w:p>
        </w:tc>
      </w:tr>
    </w:tbl>
    <w:p w:rsidR="001C1E30" w:rsidRPr="001C1E30" w:rsidRDefault="001C1E30" w:rsidP="001C1E30">
      <w:pPr>
        <w:rPr>
          <w:sz w:val="28"/>
          <w:szCs w:val="28"/>
        </w:rPr>
      </w:pPr>
    </w:p>
    <w:p w:rsidR="001C1E30" w:rsidRPr="001C1E30" w:rsidRDefault="001C1E30" w:rsidP="001C1E30">
      <w:pPr>
        <w:rPr>
          <w:sz w:val="28"/>
          <w:szCs w:val="28"/>
        </w:rPr>
      </w:pPr>
      <w:r w:rsidRPr="001C1E30">
        <w:rPr>
          <w:sz w:val="28"/>
          <w:szCs w:val="28"/>
        </w:rPr>
        <w:t>Таблица 24 – Температурно-временной режим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2050"/>
        <w:gridCol w:w="972"/>
        <w:gridCol w:w="1464"/>
        <w:gridCol w:w="4131"/>
      </w:tblGrid>
      <w:tr w:rsidR="001C1E30" w:rsidRPr="001C1E30" w:rsidTr="006F2F87">
        <w:trPr>
          <w:trHeight w:val="654"/>
        </w:trPr>
        <w:tc>
          <w:tcPr>
            <w:tcW w:w="628" w:type="pct"/>
            <w:shd w:val="clear" w:color="auto" w:fill="auto"/>
            <w:vAlign w:val="center"/>
            <w:hideMark/>
          </w:tcPr>
          <w:p w:rsidR="001C1E30" w:rsidRPr="001C1E30" w:rsidRDefault="001C1E30" w:rsidP="001C1E30">
            <w:pPr>
              <w:rPr>
                <w:sz w:val="28"/>
                <w:szCs w:val="28"/>
              </w:rPr>
            </w:pPr>
            <w:r w:rsidRPr="001C1E30">
              <w:rPr>
                <w:sz w:val="28"/>
                <w:szCs w:val="28"/>
              </w:rPr>
              <w:t>Блок</w:t>
            </w:r>
          </w:p>
        </w:tc>
        <w:tc>
          <w:tcPr>
            <w:tcW w:w="1040" w:type="pct"/>
            <w:vAlign w:val="center"/>
          </w:tcPr>
          <w:p w:rsidR="001C1E30" w:rsidRPr="001C1E30" w:rsidRDefault="001C1E30" w:rsidP="001C1E30">
            <w:pPr>
              <w:rPr>
                <w:sz w:val="28"/>
                <w:szCs w:val="28"/>
              </w:rPr>
            </w:pPr>
            <w:r w:rsidRPr="001C1E30">
              <w:rPr>
                <w:sz w:val="28"/>
                <w:szCs w:val="28"/>
              </w:rPr>
              <w:t>Количество циклов</w:t>
            </w:r>
          </w:p>
        </w:tc>
        <w:tc>
          <w:tcPr>
            <w:tcW w:w="493" w:type="pct"/>
            <w:shd w:val="clear" w:color="auto" w:fill="auto"/>
            <w:vAlign w:val="center"/>
            <w:hideMark/>
          </w:tcPr>
          <w:p w:rsidR="001C1E30" w:rsidRPr="001C1E30" w:rsidRDefault="001C1E30" w:rsidP="001C1E30">
            <w:pPr>
              <w:rPr>
                <w:sz w:val="28"/>
                <w:szCs w:val="28"/>
              </w:rPr>
            </w:pPr>
            <w:r w:rsidRPr="001C1E30">
              <w:rPr>
                <w:sz w:val="28"/>
                <w:szCs w:val="28"/>
              </w:rPr>
              <w:t>Tm</w:t>
            </w:r>
          </w:p>
        </w:tc>
        <w:tc>
          <w:tcPr>
            <w:tcW w:w="743" w:type="pct"/>
            <w:shd w:val="clear" w:color="auto" w:fill="auto"/>
            <w:vAlign w:val="center"/>
            <w:hideMark/>
          </w:tcPr>
          <w:p w:rsidR="001C1E30" w:rsidRPr="001C1E30" w:rsidRDefault="001C1E30" w:rsidP="001C1E30">
            <w:pPr>
              <w:rPr>
                <w:sz w:val="28"/>
                <w:szCs w:val="28"/>
              </w:rPr>
            </w:pPr>
            <w:r w:rsidRPr="001C1E30">
              <w:rPr>
                <w:sz w:val="28"/>
                <w:szCs w:val="28"/>
              </w:rPr>
              <w:t>Время</w:t>
            </w:r>
          </w:p>
          <w:p w:rsidR="001C1E30" w:rsidRPr="001C1E30" w:rsidRDefault="001C1E30" w:rsidP="001C1E30">
            <w:pPr>
              <w:rPr>
                <w:sz w:val="28"/>
                <w:szCs w:val="28"/>
              </w:rPr>
            </w:pPr>
            <w:r w:rsidRPr="001C1E30">
              <w:rPr>
                <w:sz w:val="28"/>
                <w:szCs w:val="28"/>
              </w:rPr>
              <w:t>мин/сек</w:t>
            </w:r>
          </w:p>
        </w:tc>
        <w:tc>
          <w:tcPr>
            <w:tcW w:w="2096" w:type="pct"/>
            <w:shd w:val="clear" w:color="auto" w:fill="auto"/>
            <w:vAlign w:val="center"/>
            <w:hideMark/>
          </w:tcPr>
          <w:p w:rsidR="001C1E30" w:rsidRPr="001C1E30" w:rsidRDefault="001C1E30" w:rsidP="001C1E30">
            <w:pPr>
              <w:rPr>
                <w:sz w:val="28"/>
                <w:szCs w:val="28"/>
              </w:rPr>
            </w:pPr>
            <w:r w:rsidRPr="001C1E30">
              <w:rPr>
                <w:sz w:val="28"/>
                <w:szCs w:val="28"/>
              </w:rPr>
              <w:t>Система детекции (регистрации) сигнала</w:t>
            </w:r>
          </w:p>
        </w:tc>
      </w:tr>
      <w:tr w:rsidR="001C1E30" w:rsidRPr="001C1E30" w:rsidTr="006F2F87">
        <w:trPr>
          <w:trHeight w:val="288"/>
        </w:trPr>
        <w:tc>
          <w:tcPr>
            <w:tcW w:w="628" w:type="pct"/>
            <w:shd w:val="clear" w:color="auto" w:fill="auto"/>
            <w:vAlign w:val="center"/>
            <w:hideMark/>
          </w:tcPr>
          <w:p w:rsidR="001C1E30" w:rsidRPr="001C1E30" w:rsidRDefault="001C1E30" w:rsidP="001C1E30">
            <w:pPr>
              <w:rPr>
                <w:sz w:val="28"/>
                <w:szCs w:val="28"/>
              </w:rPr>
            </w:pPr>
            <w:r w:rsidRPr="001C1E30">
              <w:rPr>
                <w:sz w:val="28"/>
                <w:szCs w:val="28"/>
              </w:rPr>
              <w:t>№ 1</w:t>
            </w:r>
          </w:p>
        </w:tc>
        <w:tc>
          <w:tcPr>
            <w:tcW w:w="1040" w:type="pct"/>
            <w:vAlign w:val="center"/>
          </w:tcPr>
          <w:p w:rsidR="001C1E30" w:rsidRPr="001C1E30" w:rsidRDefault="001C1E30" w:rsidP="001C1E30">
            <w:pPr>
              <w:rPr>
                <w:sz w:val="28"/>
                <w:szCs w:val="28"/>
              </w:rPr>
            </w:pPr>
            <w:r w:rsidRPr="001C1E30">
              <w:rPr>
                <w:sz w:val="28"/>
                <w:szCs w:val="28"/>
              </w:rPr>
              <w:t>1</w:t>
            </w:r>
          </w:p>
        </w:tc>
        <w:tc>
          <w:tcPr>
            <w:tcW w:w="493" w:type="pct"/>
            <w:shd w:val="clear" w:color="auto" w:fill="auto"/>
            <w:vAlign w:val="center"/>
            <w:hideMark/>
          </w:tcPr>
          <w:p w:rsidR="001C1E30" w:rsidRPr="001C1E30" w:rsidRDefault="001C1E30" w:rsidP="001C1E30">
            <w:pPr>
              <w:rPr>
                <w:sz w:val="28"/>
                <w:szCs w:val="28"/>
              </w:rPr>
            </w:pPr>
            <w:r w:rsidRPr="001C1E30">
              <w:rPr>
                <w:sz w:val="28"/>
                <w:szCs w:val="28"/>
              </w:rPr>
              <w:t>95⁰C</w:t>
            </w:r>
          </w:p>
        </w:tc>
        <w:tc>
          <w:tcPr>
            <w:tcW w:w="743" w:type="pct"/>
            <w:shd w:val="clear" w:color="auto" w:fill="auto"/>
            <w:vAlign w:val="center"/>
            <w:hideMark/>
          </w:tcPr>
          <w:p w:rsidR="001C1E30" w:rsidRPr="001C1E30" w:rsidRDefault="001C1E30" w:rsidP="001C1E30">
            <w:pPr>
              <w:rPr>
                <w:sz w:val="28"/>
                <w:szCs w:val="28"/>
              </w:rPr>
            </w:pPr>
            <w:r w:rsidRPr="001C1E30">
              <w:rPr>
                <w:sz w:val="28"/>
                <w:szCs w:val="28"/>
              </w:rPr>
              <w:t>5/0</w:t>
            </w:r>
          </w:p>
        </w:tc>
        <w:tc>
          <w:tcPr>
            <w:tcW w:w="2096" w:type="pct"/>
            <w:shd w:val="clear" w:color="auto" w:fill="auto"/>
            <w:vAlign w:val="center"/>
            <w:hideMark/>
          </w:tcPr>
          <w:p w:rsidR="001C1E30" w:rsidRPr="001C1E30" w:rsidRDefault="001C1E30" w:rsidP="001C1E30">
            <w:pPr>
              <w:rPr>
                <w:sz w:val="28"/>
                <w:szCs w:val="28"/>
              </w:rPr>
            </w:pPr>
            <w:r w:rsidRPr="001C1E30">
              <w:rPr>
                <w:sz w:val="28"/>
                <w:szCs w:val="28"/>
              </w:rPr>
              <w:t>отсутствует</w:t>
            </w:r>
          </w:p>
        </w:tc>
      </w:tr>
      <w:tr w:rsidR="001C1E30" w:rsidRPr="001C1E30" w:rsidTr="006F2F87">
        <w:trPr>
          <w:trHeight w:val="288"/>
        </w:trPr>
        <w:tc>
          <w:tcPr>
            <w:tcW w:w="628" w:type="pct"/>
            <w:vMerge w:val="restart"/>
            <w:shd w:val="clear" w:color="auto" w:fill="auto"/>
            <w:vAlign w:val="center"/>
            <w:hideMark/>
          </w:tcPr>
          <w:p w:rsidR="001C1E30" w:rsidRPr="001C1E30" w:rsidRDefault="001C1E30" w:rsidP="001C1E30">
            <w:pPr>
              <w:rPr>
                <w:sz w:val="28"/>
                <w:szCs w:val="28"/>
              </w:rPr>
            </w:pPr>
            <w:r w:rsidRPr="001C1E30">
              <w:rPr>
                <w:sz w:val="28"/>
                <w:szCs w:val="28"/>
              </w:rPr>
              <w:t>№ 2</w:t>
            </w:r>
          </w:p>
        </w:tc>
        <w:tc>
          <w:tcPr>
            <w:tcW w:w="1040" w:type="pct"/>
            <w:vMerge w:val="restart"/>
            <w:vAlign w:val="center"/>
          </w:tcPr>
          <w:p w:rsidR="001C1E30" w:rsidRPr="001C1E30" w:rsidRDefault="001C1E30" w:rsidP="001C1E30">
            <w:pPr>
              <w:rPr>
                <w:sz w:val="28"/>
                <w:szCs w:val="28"/>
              </w:rPr>
            </w:pPr>
            <w:r w:rsidRPr="001C1E30">
              <w:rPr>
                <w:sz w:val="28"/>
                <w:szCs w:val="28"/>
              </w:rPr>
              <w:t>40</w:t>
            </w:r>
          </w:p>
        </w:tc>
        <w:tc>
          <w:tcPr>
            <w:tcW w:w="493" w:type="pct"/>
            <w:shd w:val="clear" w:color="auto" w:fill="auto"/>
            <w:vAlign w:val="center"/>
            <w:hideMark/>
          </w:tcPr>
          <w:p w:rsidR="001C1E30" w:rsidRPr="001C1E30" w:rsidRDefault="001C1E30" w:rsidP="001C1E30">
            <w:pPr>
              <w:rPr>
                <w:sz w:val="28"/>
                <w:szCs w:val="28"/>
              </w:rPr>
            </w:pPr>
            <w:r w:rsidRPr="001C1E30">
              <w:rPr>
                <w:sz w:val="28"/>
                <w:szCs w:val="28"/>
              </w:rPr>
              <w:t>94⁰C</w:t>
            </w:r>
          </w:p>
        </w:tc>
        <w:tc>
          <w:tcPr>
            <w:tcW w:w="743" w:type="pct"/>
            <w:shd w:val="clear" w:color="auto" w:fill="auto"/>
            <w:vAlign w:val="center"/>
            <w:hideMark/>
          </w:tcPr>
          <w:p w:rsidR="001C1E30" w:rsidRPr="001C1E30" w:rsidRDefault="001C1E30" w:rsidP="001C1E30">
            <w:pPr>
              <w:rPr>
                <w:sz w:val="28"/>
                <w:szCs w:val="28"/>
              </w:rPr>
            </w:pPr>
            <w:r w:rsidRPr="001C1E30">
              <w:rPr>
                <w:sz w:val="28"/>
                <w:szCs w:val="28"/>
              </w:rPr>
              <w:t>0/10</w:t>
            </w:r>
          </w:p>
        </w:tc>
        <w:tc>
          <w:tcPr>
            <w:tcW w:w="2096" w:type="pct"/>
            <w:shd w:val="clear" w:color="auto" w:fill="auto"/>
            <w:vAlign w:val="center"/>
            <w:hideMark/>
          </w:tcPr>
          <w:p w:rsidR="001C1E30" w:rsidRPr="001C1E30" w:rsidRDefault="001C1E30" w:rsidP="001C1E30">
            <w:pPr>
              <w:rPr>
                <w:sz w:val="28"/>
                <w:szCs w:val="28"/>
              </w:rPr>
            </w:pPr>
            <w:r w:rsidRPr="001C1E30">
              <w:rPr>
                <w:sz w:val="28"/>
                <w:szCs w:val="28"/>
              </w:rPr>
              <w:t>отсутствует</w:t>
            </w:r>
          </w:p>
        </w:tc>
      </w:tr>
      <w:tr w:rsidR="001C1E30" w:rsidRPr="001C1E30" w:rsidTr="006F2F87">
        <w:trPr>
          <w:trHeight w:val="288"/>
        </w:trPr>
        <w:tc>
          <w:tcPr>
            <w:tcW w:w="628" w:type="pct"/>
            <w:vMerge/>
            <w:hideMark/>
          </w:tcPr>
          <w:p w:rsidR="001C1E30" w:rsidRPr="001C1E30" w:rsidRDefault="001C1E30" w:rsidP="001C1E30">
            <w:pPr>
              <w:rPr>
                <w:sz w:val="28"/>
                <w:szCs w:val="28"/>
              </w:rPr>
            </w:pPr>
          </w:p>
        </w:tc>
        <w:tc>
          <w:tcPr>
            <w:tcW w:w="1040" w:type="pct"/>
            <w:vMerge/>
          </w:tcPr>
          <w:p w:rsidR="001C1E30" w:rsidRPr="001C1E30" w:rsidRDefault="001C1E30" w:rsidP="001C1E30">
            <w:pPr>
              <w:rPr>
                <w:sz w:val="28"/>
                <w:szCs w:val="28"/>
              </w:rPr>
            </w:pPr>
          </w:p>
        </w:tc>
        <w:tc>
          <w:tcPr>
            <w:tcW w:w="493" w:type="pct"/>
            <w:shd w:val="clear" w:color="auto" w:fill="auto"/>
            <w:vAlign w:val="center"/>
            <w:hideMark/>
          </w:tcPr>
          <w:p w:rsidR="001C1E30" w:rsidRPr="001C1E30" w:rsidRDefault="001C1E30" w:rsidP="001C1E30">
            <w:pPr>
              <w:rPr>
                <w:sz w:val="28"/>
                <w:szCs w:val="28"/>
              </w:rPr>
            </w:pPr>
            <w:r w:rsidRPr="001C1E30">
              <w:rPr>
                <w:sz w:val="28"/>
                <w:szCs w:val="28"/>
              </w:rPr>
              <w:t>60⁰C</w:t>
            </w:r>
          </w:p>
        </w:tc>
        <w:tc>
          <w:tcPr>
            <w:tcW w:w="743" w:type="pct"/>
            <w:shd w:val="clear" w:color="auto" w:fill="auto"/>
            <w:vAlign w:val="center"/>
            <w:hideMark/>
          </w:tcPr>
          <w:p w:rsidR="001C1E30" w:rsidRPr="001C1E30" w:rsidRDefault="001C1E30" w:rsidP="001C1E30">
            <w:pPr>
              <w:rPr>
                <w:sz w:val="28"/>
                <w:szCs w:val="28"/>
              </w:rPr>
            </w:pPr>
            <w:r w:rsidRPr="001C1E30">
              <w:rPr>
                <w:sz w:val="28"/>
                <w:szCs w:val="28"/>
              </w:rPr>
              <w:t>0/20</w:t>
            </w:r>
          </w:p>
        </w:tc>
        <w:tc>
          <w:tcPr>
            <w:tcW w:w="2096" w:type="pct"/>
            <w:shd w:val="clear" w:color="auto" w:fill="auto"/>
            <w:vAlign w:val="center"/>
            <w:hideMark/>
          </w:tcPr>
          <w:p w:rsidR="001C1E30" w:rsidRPr="001C1E30" w:rsidRDefault="001C1E30" w:rsidP="001C1E30">
            <w:pPr>
              <w:rPr>
                <w:sz w:val="28"/>
                <w:szCs w:val="28"/>
              </w:rPr>
            </w:pPr>
            <w:r w:rsidRPr="001C1E30">
              <w:rPr>
                <w:sz w:val="28"/>
                <w:szCs w:val="28"/>
              </w:rPr>
              <w:t>отсутствует</w:t>
            </w:r>
          </w:p>
        </w:tc>
      </w:tr>
    </w:tbl>
    <w:p w:rsidR="001C1E30" w:rsidRPr="001C1E30" w:rsidRDefault="001C1E30" w:rsidP="001C1E30">
      <w:pPr>
        <w:rPr>
          <w:sz w:val="28"/>
          <w:szCs w:val="28"/>
        </w:rPr>
      </w:pPr>
    </w:p>
    <w:p w:rsidR="001C1E30" w:rsidRPr="001C1E30" w:rsidRDefault="001C1E30" w:rsidP="00B832C8">
      <w:pPr>
        <w:ind w:firstLine="709"/>
        <w:rPr>
          <w:sz w:val="28"/>
          <w:szCs w:val="28"/>
        </w:rPr>
      </w:pPr>
      <w:r w:rsidRPr="001C1E30">
        <w:rPr>
          <w:sz w:val="28"/>
          <w:szCs w:val="28"/>
        </w:rPr>
        <w:t>Качественную оценку – наличие и размеры амплифицированных фрагментов осуществляли на 3% агарозном геле (рисунок 51).</w:t>
      </w:r>
    </w:p>
    <w:p w:rsidR="001C1E30" w:rsidRPr="001C1E30" w:rsidRDefault="001C1E30" w:rsidP="001C1E30">
      <w:pPr>
        <w:rPr>
          <w:sz w:val="28"/>
          <w:szCs w:val="28"/>
        </w:rPr>
      </w:pPr>
    </w:p>
    <w:p w:rsidR="001C1E30" w:rsidRPr="001C1E30" w:rsidRDefault="001C1E30" w:rsidP="00B832C8">
      <w:pPr>
        <w:jc w:val="center"/>
        <w:rPr>
          <w:sz w:val="28"/>
          <w:szCs w:val="28"/>
        </w:rPr>
      </w:pPr>
      <w:r w:rsidRPr="001C1E30">
        <w:rPr>
          <w:noProof/>
          <w:sz w:val="28"/>
          <w:szCs w:val="28"/>
          <w:lang w:eastAsia="ru-RU"/>
        </w:rPr>
        <w:drawing>
          <wp:inline distT="0" distB="0" distL="0" distR="0" wp14:anchorId="15CE3186" wp14:editId="224E8F50">
            <wp:extent cx="3567558" cy="2446020"/>
            <wp:effectExtent l="0" t="0" r="0" b="0"/>
            <wp:docPr id="35" name="Рисунок 35" descr="C:\Users\User\Моноблок\Байменов\2025 год\докторантура\материалы и методы\Рисунки\Рисунок 51 – Качественная оценка наличия и размеров амплифицированных фрагментов (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Моноблок\Байменов\2025 год\докторантура\материалы и методы\Рисунки\Рисунок 51 – Качественная оценка наличия и размеров амплифицированных фрагментов (2).tiff"/>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610293" cy="2475320"/>
                    </a:xfrm>
                    <a:prstGeom prst="rect">
                      <a:avLst/>
                    </a:prstGeom>
                    <a:noFill/>
                    <a:ln>
                      <a:noFill/>
                    </a:ln>
                  </pic:spPr>
                </pic:pic>
              </a:graphicData>
            </a:graphic>
          </wp:inline>
        </w:drawing>
      </w:r>
    </w:p>
    <w:p w:rsidR="001C1E30" w:rsidRPr="001C1E30" w:rsidRDefault="001C1E30" w:rsidP="00B832C8">
      <w:pPr>
        <w:rPr>
          <w:sz w:val="28"/>
          <w:szCs w:val="28"/>
        </w:rPr>
      </w:pPr>
      <w:r w:rsidRPr="001C1E30">
        <w:rPr>
          <w:sz w:val="28"/>
          <w:szCs w:val="28"/>
        </w:rPr>
        <w:t>1,2,10,11 – nuc 77 п.н.; 3,4,12,13 – BlaZ 193 п.н.; 5,6,14,15 – ermC 142 п.н.; 7,8,16,17 – TetK 167 п.н.; 9 – ДНК-маркер 100-1000 п.н.</w:t>
      </w:r>
    </w:p>
    <w:p w:rsidR="001C1E30" w:rsidRPr="001C1E30" w:rsidRDefault="001C1E30" w:rsidP="00B832C8">
      <w:pPr>
        <w:jc w:val="center"/>
        <w:rPr>
          <w:sz w:val="28"/>
          <w:szCs w:val="28"/>
        </w:rPr>
      </w:pPr>
      <w:r w:rsidRPr="001C1E30">
        <w:rPr>
          <w:sz w:val="28"/>
          <w:szCs w:val="28"/>
        </w:rPr>
        <w:t>Рисунок 51 – Качественная оценка наличия и размеров амплифицированных фрагментов</w:t>
      </w:r>
    </w:p>
    <w:p w:rsidR="001C1E30" w:rsidRPr="001C1E30" w:rsidRDefault="001C1E30" w:rsidP="001C1E30">
      <w:pPr>
        <w:rPr>
          <w:sz w:val="28"/>
          <w:szCs w:val="28"/>
        </w:rPr>
      </w:pPr>
    </w:p>
    <w:p w:rsidR="001C1E30" w:rsidRPr="001C1E30" w:rsidRDefault="001C1E30" w:rsidP="00B832C8">
      <w:pPr>
        <w:ind w:firstLine="709"/>
        <w:rPr>
          <w:sz w:val="28"/>
          <w:szCs w:val="28"/>
        </w:rPr>
      </w:pPr>
      <w:r w:rsidRPr="001C1E30">
        <w:rPr>
          <w:sz w:val="28"/>
          <w:szCs w:val="28"/>
        </w:rPr>
        <w:t xml:space="preserve">Наличие четких полос (электрофоретических полос) после амплификации свидетельствует о том, что целевые участки ДНК были эффективно усилены. Продукты амплификации, содержащие целевые участки, будут использованы для последующих этапов. </w:t>
      </w:r>
    </w:p>
    <w:p w:rsidR="001C1E30" w:rsidRPr="001C1E30" w:rsidRDefault="001C1E30" w:rsidP="00B832C8">
      <w:pPr>
        <w:ind w:firstLine="709"/>
        <w:rPr>
          <w:sz w:val="28"/>
          <w:szCs w:val="28"/>
        </w:rPr>
      </w:pPr>
      <w:r w:rsidRPr="001C1E30">
        <w:rPr>
          <w:sz w:val="28"/>
          <w:szCs w:val="28"/>
        </w:rPr>
        <w:t>После очистки продуктов амплификации (набор QIAquick PCR Purification Kit»), на выходе было получено 30 мкл очищенной ПЦР-смеси.</w:t>
      </w:r>
    </w:p>
    <w:p w:rsidR="001C1E30" w:rsidRPr="001C1E30" w:rsidRDefault="001C1E30" w:rsidP="00B832C8">
      <w:pPr>
        <w:ind w:firstLine="709"/>
        <w:rPr>
          <w:sz w:val="28"/>
          <w:szCs w:val="28"/>
        </w:rPr>
      </w:pPr>
      <w:r w:rsidRPr="001C1E30">
        <w:rPr>
          <w:sz w:val="28"/>
          <w:szCs w:val="28"/>
        </w:rPr>
        <w:lastRenderedPageBreak/>
        <w:t>Лигирование и трансформация лигазной смеси проводили с помощью набора «pTG19-T PCR Cloning Vector» «Vivantis Technologies» по протоколу производителя. Для трансформации использовали химически компетентные клетки E. Coli DH5a с применением метода теплового шока.</w:t>
      </w:r>
    </w:p>
    <w:p w:rsidR="001C1E30" w:rsidRDefault="001C1E30" w:rsidP="00B832C8">
      <w:pPr>
        <w:ind w:firstLine="709"/>
        <w:rPr>
          <w:sz w:val="28"/>
          <w:szCs w:val="28"/>
        </w:rPr>
      </w:pPr>
      <w:r w:rsidRPr="001C1E30">
        <w:rPr>
          <w:sz w:val="28"/>
          <w:szCs w:val="28"/>
        </w:rPr>
        <w:t>Весь объем культуры переносили на заранее прогретую чашку Петри с МПА, инкубировали в течение ночи 37°C. Скрининг выросших колоний методом бело-голубой селекции представлен на рисунке 52.</w:t>
      </w:r>
    </w:p>
    <w:p w:rsidR="001C1E30" w:rsidRDefault="001C1E30" w:rsidP="001C1E30">
      <w:pPr>
        <w:rPr>
          <w:sz w:val="28"/>
          <w:szCs w:val="28"/>
        </w:rPr>
      </w:pPr>
    </w:p>
    <w:p w:rsidR="001C1E30" w:rsidRPr="001C1E30" w:rsidRDefault="001C1E30" w:rsidP="00B832C8">
      <w:pPr>
        <w:jc w:val="center"/>
        <w:rPr>
          <w:sz w:val="28"/>
          <w:szCs w:val="28"/>
        </w:rPr>
      </w:pPr>
      <w:r w:rsidRPr="001C1E30">
        <w:rPr>
          <w:noProof/>
          <w:sz w:val="28"/>
          <w:szCs w:val="28"/>
          <w:lang w:eastAsia="ru-RU"/>
        </w:rPr>
        <w:drawing>
          <wp:inline distT="0" distB="0" distL="0" distR="0" wp14:anchorId="3ADCBB4B" wp14:editId="4109EDCF">
            <wp:extent cx="2806001" cy="2758440"/>
            <wp:effectExtent l="0" t="0" r="0" b="3810"/>
            <wp:docPr id="37" name="Рисунок 37" descr="C:\Users\User\Моноблок\Байменов\2025 год\докторантура\материалы и методы\Рисунки\Рисунок 53 – Выросшие колонии E. coli DH5a после трансформации.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Моноблок\Байменов\2025 год\докторантура\материалы и методы\Рисунки\Рисунок 53 – Выросшие колонии E. coli DH5a после трансформации.tiff"/>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911609" cy="2862258"/>
                    </a:xfrm>
                    <a:prstGeom prst="rect">
                      <a:avLst/>
                    </a:prstGeom>
                    <a:noFill/>
                    <a:ln>
                      <a:noFill/>
                    </a:ln>
                  </pic:spPr>
                </pic:pic>
              </a:graphicData>
            </a:graphic>
          </wp:inline>
        </w:drawing>
      </w:r>
    </w:p>
    <w:p w:rsidR="001C1E30" w:rsidRPr="001C1E30" w:rsidRDefault="001C1E30" w:rsidP="00B832C8">
      <w:pPr>
        <w:jc w:val="center"/>
        <w:rPr>
          <w:sz w:val="28"/>
          <w:szCs w:val="28"/>
        </w:rPr>
      </w:pPr>
      <w:r w:rsidRPr="001C1E30">
        <w:rPr>
          <w:sz w:val="28"/>
          <w:szCs w:val="28"/>
        </w:rPr>
        <w:t>Рисунок 52 – Выросшие колонии E. coli DH5a после трансформации</w:t>
      </w:r>
    </w:p>
    <w:p w:rsidR="001C1E30" w:rsidRPr="001C1E30" w:rsidRDefault="001C1E30" w:rsidP="001C1E30">
      <w:pPr>
        <w:rPr>
          <w:sz w:val="28"/>
          <w:szCs w:val="28"/>
        </w:rPr>
      </w:pPr>
    </w:p>
    <w:p w:rsidR="001C1E30" w:rsidRDefault="001C1E30" w:rsidP="00B832C8">
      <w:pPr>
        <w:ind w:firstLine="709"/>
        <w:rPr>
          <w:sz w:val="28"/>
          <w:szCs w:val="28"/>
        </w:rPr>
      </w:pPr>
      <w:r w:rsidRPr="001C1E30">
        <w:rPr>
          <w:sz w:val="28"/>
          <w:szCs w:val="28"/>
        </w:rPr>
        <w:t>Выросшие белые колонии скалывали и переносили на сетку чашки Петри LB агаром с ампициллином (рисунок 53) и анализировали методом ПЦР с праймерами M13 (Таблица 25, 26).</w:t>
      </w:r>
    </w:p>
    <w:p w:rsidR="001C1E30" w:rsidRDefault="001C1E30" w:rsidP="001C1E30">
      <w:pPr>
        <w:rPr>
          <w:sz w:val="28"/>
          <w:szCs w:val="28"/>
        </w:rPr>
      </w:pPr>
    </w:p>
    <w:p w:rsidR="001C1E30" w:rsidRPr="001C1E30" w:rsidRDefault="001C1E30" w:rsidP="00B832C8">
      <w:pPr>
        <w:jc w:val="center"/>
        <w:rPr>
          <w:sz w:val="28"/>
          <w:szCs w:val="28"/>
        </w:rPr>
      </w:pPr>
      <w:r w:rsidRPr="001C1E30">
        <w:rPr>
          <w:noProof/>
          <w:sz w:val="28"/>
          <w:szCs w:val="28"/>
          <w:lang w:eastAsia="ru-RU"/>
        </w:rPr>
        <w:drawing>
          <wp:inline distT="0" distB="0" distL="0" distR="0" wp14:anchorId="34F4F591" wp14:editId="347D8D93">
            <wp:extent cx="2888673" cy="1670291"/>
            <wp:effectExtent l="0" t="0" r="6985" b="6350"/>
            <wp:docPr id="40" name="Рисунок 40" descr="C:\Users\User\Моноблок\Байменов\2025 год\докторантура\материалы и методы\Рисунки\Рисунок 54 – Сетки чашки Петри. LB агар с ампицилином.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Моноблок\Байменов\2025 год\докторантура\материалы и методы\Рисунки\Рисунок 54 – Сетки чашки Петри. LB агар с ампицилином.tiff"/>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947370" cy="1704231"/>
                    </a:xfrm>
                    <a:prstGeom prst="rect">
                      <a:avLst/>
                    </a:prstGeom>
                    <a:noFill/>
                    <a:ln>
                      <a:noFill/>
                    </a:ln>
                  </pic:spPr>
                </pic:pic>
              </a:graphicData>
            </a:graphic>
          </wp:inline>
        </w:drawing>
      </w:r>
    </w:p>
    <w:p w:rsidR="001C1E30" w:rsidRPr="001C1E30" w:rsidRDefault="001C1E30" w:rsidP="00B832C8">
      <w:pPr>
        <w:jc w:val="center"/>
        <w:rPr>
          <w:sz w:val="28"/>
          <w:szCs w:val="28"/>
        </w:rPr>
      </w:pPr>
      <w:r w:rsidRPr="001C1E30">
        <w:rPr>
          <w:sz w:val="28"/>
          <w:szCs w:val="28"/>
        </w:rPr>
        <w:t>Рисунок 53 – Сетки чашки Петри. LB агар с ампициллином</w:t>
      </w:r>
    </w:p>
    <w:p w:rsidR="00B832C8" w:rsidRDefault="00B832C8" w:rsidP="001C1E30">
      <w:pPr>
        <w:rPr>
          <w:sz w:val="28"/>
          <w:szCs w:val="28"/>
        </w:rPr>
      </w:pPr>
    </w:p>
    <w:p w:rsidR="001C1E30" w:rsidRPr="001C1E30" w:rsidRDefault="001C1E30" w:rsidP="00B832C8">
      <w:pPr>
        <w:ind w:firstLine="709"/>
        <w:rPr>
          <w:sz w:val="28"/>
          <w:szCs w:val="28"/>
        </w:rPr>
      </w:pPr>
      <w:r w:rsidRPr="001C1E30">
        <w:rPr>
          <w:sz w:val="28"/>
          <w:szCs w:val="28"/>
        </w:rPr>
        <w:t>Плазмиды pTG19-T, содержат ген устойчивости к ампициллину (bla), таким образом ампициллин играет роль селективного агента, который обеспечивает отбор только тех клеток, которые действительно приняли плазмидную ДНК.</w:t>
      </w:r>
    </w:p>
    <w:p w:rsidR="001C1E30" w:rsidRPr="001C1E30" w:rsidRDefault="001C1E30" w:rsidP="001C1E30">
      <w:pPr>
        <w:rPr>
          <w:sz w:val="28"/>
          <w:szCs w:val="28"/>
        </w:rPr>
      </w:pPr>
    </w:p>
    <w:p w:rsidR="001C1E30" w:rsidRDefault="001C1E30" w:rsidP="002C3D3F">
      <w:pPr>
        <w:jc w:val="left"/>
        <w:rPr>
          <w:sz w:val="28"/>
          <w:szCs w:val="28"/>
        </w:rPr>
      </w:pPr>
      <w:r w:rsidRPr="001C1E30">
        <w:rPr>
          <w:sz w:val="28"/>
          <w:szCs w:val="28"/>
        </w:rPr>
        <w:lastRenderedPageBreak/>
        <w:t>Таблица 25 – Расчет приготовления реакционной смеси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1"/>
        <w:gridCol w:w="4133"/>
      </w:tblGrid>
      <w:tr w:rsidR="001C1E30" w:rsidRPr="001C1E30" w:rsidTr="002C3D3F">
        <w:trPr>
          <w:trHeight w:val="193"/>
        </w:trPr>
        <w:tc>
          <w:tcPr>
            <w:tcW w:w="2903" w:type="pct"/>
            <w:noWrap/>
            <w:hideMark/>
          </w:tcPr>
          <w:p w:rsidR="001C1E30" w:rsidRPr="001C1E30" w:rsidRDefault="001C1E30" w:rsidP="001C1E30">
            <w:pPr>
              <w:rPr>
                <w:sz w:val="28"/>
              </w:rPr>
            </w:pPr>
            <w:r w:rsidRPr="001C1E30">
              <w:rPr>
                <w:sz w:val="28"/>
              </w:rPr>
              <w:t>Компонент</w:t>
            </w:r>
          </w:p>
        </w:tc>
        <w:tc>
          <w:tcPr>
            <w:tcW w:w="2097" w:type="pct"/>
            <w:noWrap/>
            <w:hideMark/>
          </w:tcPr>
          <w:p w:rsidR="001C1E30" w:rsidRPr="001C1E30" w:rsidRDefault="001C1E30" w:rsidP="001C1E30">
            <w:pPr>
              <w:rPr>
                <w:sz w:val="28"/>
              </w:rPr>
            </w:pPr>
            <w:r w:rsidRPr="001C1E30">
              <w:rPr>
                <w:sz w:val="28"/>
              </w:rPr>
              <w:t>Объем, мкл</w:t>
            </w:r>
          </w:p>
        </w:tc>
      </w:tr>
      <w:tr w:rsidR="001C1E30" w:rsidRPr="001C1E30" w:rsidTr="006F2F87">
        <w:tc>
          <w:tcPr>
            <w:tcW w:w="2903" w:type="pct"/>
          </w:tcPr>
          <w:p w:rsidR="001C1E30" w:rsidRPr="001C1E30" w:rsidRDefault="001C1E30" w:rsidP="001C1E30">
            <w:pPr>
              <w:rPr>
                <w:sz w:val="28"/>
              </w:rPr>
            </w:pPr>
            <w:r w:rsidRPr="001C1E30">
              <w:rPr>
                <w:sz w:val="28"/>
              </w:rPr>
              <w:t>2 мМ each dNTP</w:t>
            </w:r>
          </w:p>
        </w:tc>
        <w:tc>
          <w:tcPr>
            <w:tcW w:w="2097" w:type="pct"/>
          </w:tcPr>
          <w:p w:rsidR="001C1E30" w:rsidRPr="001C1E30" w:rsidRDefault="001C1E30" w:rsidP="001C1E30">
            <w:pPr>
              <w:rPr>
                <w:sz w:val="28"/>
              </w:rPr>
            </w:pPr>
            <w:r w:rsidRPr="001C1E30">
              <w:rPr>
                <w:sz w:val="28"/>
              </w:rPr>
              <w:t xml:space="preserve">2.5 </w:t>
            </w:r>
          </w:p>
        </w:tc>
      </w:tr>
      <w:tr w:rsidR="001C1E30" w:rsidRPr="001C1E30" w:rsidTr="006F2F87">
        <w:tc>
          <w:tcPr>
            <w:tcW w:w="2903" w:type="pct"/>
          </w:tcPr>
          <w:p w:rsidR="001C1E30" w:rsidRPr="001C1E30" w:rsidRDefault="001C1E30" w:rsidP="001C1E30">
            <w:pPr>
              <w:rPr>
                <w:sz w:val="28"/>
              </w:rPr>
            </w:pPr>
            <w:r w:rsidRPr="001C1E30">
              <w:rPr>
                <w:sz w:val="28"/>
              </w:rPr>
              <w:t>25 мМ MgCl2</w:t>
            </w:r>
          </w:p>
        </w:tc>
        <w:tc>
          <w:tcPr>
            <w:tcW w:w="2097" w:type="pct"/>
          </w:tcPr>
          <w:p w:rsidR="001C1E30" w:rsidRPr="001C1E30" w:rsidRDefault="001C1E30" w:rsidP="001C1E30">
            <w:pPr>
              <w:rPr>
                <w:sz w:val="28"/>
              </w:rPr>
            </w:pPr>
            <w:r w:rsidRPr="001C1E30">
              <w:rPr>
                <w:sz w:val="28"/>
              </w:rPr>
              <w:t xml:space="preserve">3 </w:t>
            </w:r>
          </w:p>
        </w:tc>
      </w:tr>
      <w:tr w:rsidR="001C1E30" w:rsidRPr="001C1E30" w:rsidTr="006F2F87">
        <w:tc>
          <w:tcPr>
            <w:tcW w:w="2903" w:type="pct"/>
          </w:tcPr>
          <w:p w:rsidR="001C1E30" w:rsidRPr="001C1E30" w:rsidRDefault="001C1E30" w:rsidP="001C1E30">
            <w:pPr>
              <w:rPr>
                <w:sz w:val="28"/>
              </w:rPr>
            </w:pPr>
            <w:r w:rsidRPr="001C1E30">
              <w:rPr>
                <w:sz w:val="28"/>
              </w:rPr>
              <w:t>10x Taq Buffer</w:t>
            </w:r>
          </w:p>
        </w:tc>
        <w:tc>
          <w:tcPr>
            <w:tcW w:w="2097" w:type="pct"/>
          </w:tcPr>
          <w:p w:rsidR="001C1E30" w:rsidRPr="001C1E30" w:rsidRDefault="001C1E30" w:rsidP="001C1E30">
            <w:pPr>
              <w:rPr>
                <w:sz w:val="28"/>
              </w:rPr>
            </w:pPr>
            <w:r w:rsidRPr="001C1E30">
              <w:rPr>
                <w:sz w:val="28"/>
              </w:rPr>
              <w:t xml:space="preserve">2.5 </w:t>
            </w:r>
          </w:p>
        </w:tc>
      </w:tr>
      <w:tr w:rsidR="001C1E30" w:rsidRPr="001C1E30" w:rsidTr="006F2F87">
        <w:tc>
          <w:tcPr>
            <w:tcW w:w="2903" w:type="pct"/>
          </w:tcPr>
          <w:p w:rsidR="001C1E30" w:rsidRPr="001C1E30" w:rsidRDefault="001C1E30" w:rsidP="001C1E30">
            <w:pPr>
              <w:rPr>
                <w:sz w:val="28"/>
              </w:rPr>
            </w:pPr>
            <w:r w:rsidRPr="001C1E30">
              <w:rPr>
                <w:sz w:val="28"/>
              </w:rPr>
              <w:t>Taq Pol</w:t>
            </w:r>
          </w:p>
        </w:tc>
        <w:tc>
          <w:tcPr>
            <w:tcW w:w="2097" w:type="pct"/>
          </w:tcPr>
          <w:p w:rsidR="001C1E30" w:rsidRPr="001C1E30" w:rsidRDefault="001C1E30" w:rsidP="001C1E30">
            <w:pPr>
              <w:rPr>
                <w:sz w:val="28"/>
              </w:rPr>
            </w:pPr>
            <w:r w:rsidRPr="001C1E30">
              <w:rPr>
                <w:sz w:val="28"/>
              </w:rPr>
              <w:t xml:space="preserve">1 </w:t>
            </w:r>
          </w:p>
        </w:tc>
      </w:tr>
      <w:tr w:rsidR="001C1E30" w:rsidRPr="001C1E30" w:rsidTr="006F2F87">
        <w:tc>
          <w:tcPr>
            <w:tcW w:w="2903" w:type="pct"/>
          </w:tcPr>
          <w:p w:rsidR="001C1E30" w:rsidRPr="001C1E30" w:rsidRDefault="001C1E30" w:rsidP="001C1E30">
            <w:pPr>
              <w:rPr>
                <w:sz w:val="28"/>
              </w:rPr>
            </w:pPr>
            <w:r w:rsidRPr="001C1E30">
              <w:rPr>
                <w:sz w:val="28"/>
              </w:rPr>
              <w:t>M13 FW 10 μМ</w:t>
            </w:r>
          </w:p>
        </w:tc>
        <w:tc>
          <w:tcPr>
            <w:tcW w:w="2097" w:type="pct"/>
          </w:tcPr>
          <w:p w:rsidR="001C1E30" w:rsidRPr="001C1E30" w:rsidRDefault="001C1E30" w:rsidP="001C1E30">
            <w:pPr>
              <w:rPr>
                <w:sz w:val="28"/>
              </w:rPr>
            </w:pPr>
            <w:r w:rsidRPr="001C1E30">
              <w:rPr>
                <w:sz w:val="28"/>
              </w:rPr>
              <w:t>1</w:t>
            </w:r>
          </w:p>
        </w:tc>
      </w:tr>
      <w:tr w:rsidR="001C1E30" w:rsidRPr="001C1E30" w:rsidTr="006F2F87">
        <w:tc>
          <w:tcPr>
            <w:tcW w:w="2903" w:type="pct"/>
          </w:tcPr>
          <w:p w:rsidR="001C1E30" w:rsidRPr="001C1E30" w:rsidRDefault="001C1E30" w:rsidP="001C1E30">
            <w:pPr>
              <w:rPr>
                <w:sz w:val="28"/>
              </w:rPr>
            </w:pPr>
            <w:r w:rsidRPr="001C1E30">
              <w:rPr>
                <w:sz w:val="28"/>
              </w:rPr>
              <w:t>M13 RV 10 μМ</w:t>
            </w:r>
          </w:p>
        </w:tc>
        <w:tc>
          <w:tcPr>
            <w:tcW w:w="2097" w:type="pct"/>
          </w:tcPr>
          <w:p w:rsidR="001C1E30" w:rsidRPr="001C1E30" w:rsidRDefault="001C1E30" w:rsidP="001C1E30">
            <w:pPr>
              <w:rPr>
                <w:sz w:val="28"/>
              </w:rPr>
            </w:pPr>
            <w:r w:rsidRPr="001C1E30">
              <w:rPr>
                <w:sz w:val="28"/>
              </w:rPr>
              <w:t>1</w:t>
            </w:r>
          </w:p>
        </w:tc>
      </w:tr>
      <w:tr w:rsidR="001C1E30" w:rsidRPr="001C1E30" w:rsidTr="006F2F87">
        <w:tc>
          <w:tcPr>
            <w:tcW w:w="2903" w:type="pct"/>
          </w:tcPr>
          <w:p w:rsidR="001C1E30" w:rsidRPr="001C1E30" w:rsidRDefault="001C1E30" w:rsidP="001C1E30">
            <w:pPr>
              <w:rPr>
                <w:sz w:val="28"/>
              </w:rPr>
            </w:pPr>
            <w:r w:rsidRPr="001C1E30">
              <w:rPr>
                <w:sz w:val="28"/>
              </w:rPr>
              <w:t>mQ</w:t>
            </w:r>
          </w:p>
        </w:tc>
        <w:tc>
          <w:tcPr>
            <w:tcW w:w="2097" w:type="pct"/>
          </w:tcPr>
          <w:p w:rsidR="001C1E30" w:rsidRPr="001C1E30" w:rsidRDefault="001C1E30" w:rsidP="001C1E30">
            <w:pPr>
              <w:rPr>
                <w:sz w:val="28"/>
              </w:rPr>
            </w:pPr>
            <w:r w:rsidRPr="001C1E30">
              <w:rPr>
                <w:sz w:val="28"/>
              </w:rPr>
              <w:t xml:space="preserve">14 </w:t>
            </w:r>
          </w:p>
        </w:tc>
      </w:tr>
      <w:tr w:rsidR="001C1E30" w:rsidRPr="001C1E30" w:rsidTr="006F2F87">
        <w:tc>
          <w:tcPr>
            <w:tcW w:w="2903" w:type="pct"/>
          </w:tcPr>
          <w:p w:rsidR="001C1E30" w:rsidRPr="001C1E30" w:rsidRDefault="001C1E30" w:rsidP="001C1E30">
            <w:pPr>
              <w:rPr>
                <w:sz w:val="28"/>
              </w:rPr>
            </w:pPr>
            <w:r w:rsidRPr="001C1E30">
              <w:rPr>
                <w:sz w:val="28"/>
              </w:rPr>
              <w:t>Объм реакции</w:t>
            </w:r>
          </w:p>
        </w:tc>
        <w:tc>
          <w:tcPr>
            <w:tcW w:w="2097" w:type="pct"/>
          </w:tcPr>
          <w:p w:rsidR="001C1E30" w:rsidRPr="001C1E30" w:rsidRDefault="001C1E30" w:rsidP="001C1E30">
            <w:pPr>
              <w:rPr>
                <w:sz w:val="28"/>
              </w:rPr>
            </w:pPr>
            <w:r w:rsidRPr="001C1E30">
              <w:rPr>
                <w:sz w:val="28"/>
              </w:rPr>
              <w:t>25</w:t>
            </w:r>
          </w:p>
        </w:tc>
      </w:tr>
    </w:tbl>
    <w:p w:rsidR="001C1E30" w:rsidRDefault="001C1E30" w:rsidP="001C1E30">
      <w:pPr>
        <w:rPr>
          <w:sz w:val="28"/>
          <w:szCs w:val="28"/>
        </w:rPr>
      </w:pPr>
    </w:p>
    <w:p w:rsidR="001C1E30" w:rsidRDefault="001C1E30" w:rsidP="002C3D3F">
      <w:pPr>
        <w:jc w:val="left"/>
        <w:rPr>
          <w:sz w:val="28"/>
          <w:szCs w:val="28"/>
        </w:rPr>
      </w:pPr>
      <w:r w:rsidRPr="001C1E30">
        <w:rPr>
          <w:sz w:val="28"/>
          <w:szCs w:val="28"/>
        </w:rPr>
        <w:t>Таблица 26 – Протокол амплификации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2"/>
        <w:gridCol w:w="2121"/>
        <w:gridCol w:w="2436"/>
        <w:gridCol w:w="3705"/>
      </w:tblGrid>
      <w:tr w:rsidR="001C1E30" w:rsidRPr="001C1E30" w:rsidTr="002C3D3F">
        <w:trPr>
          <w:trHeight w:val="80"/>
        </w:trPr>
        <w:tc>
          <w:tcPr>
            <w:tcW w:w="808" w:type="pct"/>
            <w:shd w:val="clear" w:color="auto" w:fill="auto"/>
            <w:hideMark/>
          </w:tcPr>
          <w:p w:rsidR="001C1E30" w:rsidRPr="001C1E30" w:rsidRDefault="001C1E30" w:rsidP="002C3D3F">
            <w:pPr>
              <w:jc w:val="center"/>
              <w:rPr>
                <w:sz w:val="28"/>
              </w:rPr>
            </w:pPr>
            <w:r w:rsidRPr="001C1E30">
              <w:rPr>
                <w:sz w:val="28"/>
              </w:rPr>
              <w:t>Блок</w:t>
            </w:r>
          </w:p>
        </w:tc>
        <w:tc>
          <w:tcPr>
            <w:tcW w:w="1076" w:type="pct"/>
            <w:shd w:val="clear" w:color="auto" w:fill="auto"/>
            <w:hideMark/>
          </w:tcPr>
          <w:p w:rsidR="001C1E30" w:rsidRPr="001C1E30" w:rsidRDefault="001C1E30" w:rsidP="002C3D3F">
            <w:pPr>
              <w:jc w:val="center"/>
              <w:rPr>
                <w:sz w:val="28"/>
              </w:rPr>
            </w:pPr>
            <w:r w:rsidRPr="001C1E30">
              <w:rPr>
                <w:sz w:val="28"/>
              </w:rPr>
              <w:t>Tm</w:t>
            </w:r>
          </w:p>
        </w:tc>
        <w:tc>
          <w:tcPr>
            <w:tcW w:w="1236" w:type="pct"/>
            <w:shd w:val="clear" w:color="auto" w:fill="auto"/>
            <w:hideMark/>
          </w:tcPr>
          <w:p w:rsidR="001C1E30" w:rsidRPr="001C1E30" w:rsidRDefault="001C1E30" w:rsidP="002C3D3F">
            <w:pPr>
              <w:jc w:val="center"/>
              <w:rPr>
                <w:sz w:val="28"/>
              </w:rPr>
            </w:pPr>
            <w:r w:rsidRPr="001C1E30">
              <w:rPr>
                <w:sz w:val="28"/>
              </w:rPr>
              <w:t>Время, мин/сек</w:t>
            </w:r>
          </w:p>
        </w:tc>
        <w:tc>
          <w:tcPr>
            <w:tcW w:w="1881" w:type="pct"/>
            <w:shd w:val="clear" w:color="auto" w:fill="auto"/>
            <w:hideMark/>
          </w:tcPr>
          <w:p w:rsidR="001C1E30" w:rsidRPr="001C1E30" w:rsidRDefault="001C1E30" w:rsidP="002C3D3F">
            <w:pPr>
              <w:jc w:val="center"/>
              <w:rPr>
                <w:sz w:val="28"/>
              </w:rPr>
            </w:pPr>
            <w:r w:rsidRPr="001C1E30">
              <w:rPr>
                <w:sz w:val="28"/>
              </w:rPr>
              <w:t>Количество циклов</w:t>
            </w:r>
          </w:p>
        </w:tc>
      </w:tr>
      <w:tr w:rsidR="001C1E30" w:rsidRPr="001C1E30" w:rsidTr="002C3D3F">
        <w:trPr>
          <w:trHeight w:val="288"/>
        </w:trPr>
        <w:tc>
          <w:tcPr>
            <w:tcW w:w="808" w:type="pct"/>
            <w:shd w:val="clear" w:color="auto" w:fill="auto"/>
            <w:hideMark/>
          </w:tcPr>
          <w:p w:rsidR="001C1E30" w:rsidRPr="001C1E30" w:rsidRDefault="001C1E30" w:rsidP="002C3D3F">
            <w:pPr>
              <w:jc w:val="center"/>
              <w:rPr>
                <w:sz w:val="28"/>
              </w:rPr>
            </w:pPr>
            <w:r w:rsidRPr="001C1E30">
              <w:rPr>
                <w:sz w:val="28"/>
              </w:rPr>
              <w:t>№1</w:t>
            </w:r>
          </w:p>
        </w:tc>
        <w:tc>
          <w:tcPr>
            <w:tcW w:w="1076" w:type="pct"/>
            <w:shd w:val="clear" w:color="auto" w:fill="auto"/>
            <w:hideMark/>
          </w:tcPr>
          <w:p w:rsidR="001C1E30" w:rsidRPr="001C1E30" w:rsidRDefault="001C1E30" w:rsidP="002C3D3F">
            <w:pPr>
              <w:jc w:val="center"/>
              <w:rPr>
                <w:sz w:val="28"/>
              </w:rPr>
            </w:pPr>
            <w:r w:rsidRPr="001C1E30">
              <w:rPr>
                <w:sz w:val="28"/>
              </w:rPr>
              <w:t>95⁰C</w:t>
            </w:r>
          </w:p>
        </w:tc>
        <w:tc>
          <w:tcPr>
            <w:tcW w:w="1236" w:type="pct"/>
            <w:shd w:val="clear" w:color="auto" w:fill="auto"/>
            <w:hideMark/>
          </w:tcPr>
          <w:p w:rsidR="001C1E30" w:rsidRPr="001C1E30" w:rsidRDefault="001C1E30" w:rsidP="002C3D3F">
            <w:pPr>
              <w:jc w:val="center"/>
              <w:rPr>
                <w:sz w:val="28"/>
              </w:rPr>
            </w:pPr>
            <w:r w:rsidRPr="001C1E30">
              <w:rPr>
                <w:sz w:val="28"/>
              </w:rPr>
              <w:t>5/0</w:t>
            </w:r>
          </w:p>
        </w:tc>
        <w:tc>
          <w:tcPr>
            <w:tcW w:w="1881" w:type="pct"/>
            <w:shd w:val="clear" w:color="auto" w:fill="auto"/>
            <w:hideMark/>
          </w:tcPr>
          <w:p w:rsidR="001C1E30" w:rsidRPr="001C1E30" w:rsidRDefault="001C1E30" w:rsidP="002C3D3F">
            <w:pPr>
              <w:jc w:val="center"/>
              <w:rPr>
                <w:sz w:val="28"/>
              </w:rPr>
            </w:pPr>
            <w:r w:rsidRPr="001C1E30">
              <w:rPr>
                <w:sz w:val="28"/>
              </w:rPr>
              <w:t>1</w:t>
            </w:r>
          </w:p>
        </w:tc>
      </w:tr>
      <w:tr w:rsidR="001C1E30" w:rsidRPr="001C1E30" w:rsidTr="002C3D3F">
        <w:trPr>
          <w:trHeight w:val="288"/>
        </w:trPr>
        <w:tc>
          <w:tcPr>
            <w:tcW w:w="808" w:type="pct"/>
            <w:vMerge w:val="restart"/>
            <w:shd w:val="clear" w:color="auto" w:fill="auto"/>
            <w:hideMark/>
          </w:tcPr>
          <w:p w:rsidR="001C1E30" w:rsidRPr="001C1E30" w:rsidRDefault="001C1E30" w:rsidP="002C3D3F">
            <w:pPr>
              <w:jc w:val="center"/>
              <w:rPr>
                <w:sz w:val="28"/>
              </w:rPr>
            </w:pPr>
            <w:r w:rsidRPr="001C1E30">
              <w:rPr>
                <w:sz w:val="28"/>
              </w:rPr>
              <w:t>№2</w:t>
            </w:r>
          </w:p>
        </w:tc>
        <w:tc>
          <w:tcPr>
            <w:tcW w:w="1076" w:type="pct"/>
            <w:shd w:val="clear" w:color="auto" w:fill="auto"/>
            <w:hideMark/>
          </w:tcPr>
          <w:p w:rsidR="001C1E30" w:rsidRPr="001C1E30" w:rsidRDefault="001C1E30" w:rsidP="002C3D3F">
            <w:pPr>
              <w:jc w:val="center"/>
              <w:rPr>
                <w:sz w:val="28"/>
              </w:rPr>
            </w:pPr>
            <w:r w:rsidRPr="001C1E30">
              <w:rPr>
                <w:sz w:val="28"/>
              </w:rPr>
              <w:t>95⁰C</w:t>
            </w:r>
          </w:p>
        </w:tc>
        <w:tc>
          <w:tcPr>
            <w:tcW w:w="1236" w:type="pct"/>
            <w:shd w:val="clear" w:color="auto" w:fill="auto"/>
            <w:hideMark/>
          </w:tcPr>
          <w:p w:rsidR="001C1E30" w:rsidRPr="001C1E30" w:rsidRDefault="001C1E30" w:rsidP="002C3D3F">
            <w:pPr>
              <w:jc w:val="center"/>
              <w:rPr>
                <w:sz w:val="28"/>
              </w:rPr>
            </w:pPr>
            <w:r w:rsidRPr="001C1E30">
              <w:rPr>
                <w:sz w:val="28"/>
              </w:rPr>
              <w:t>0/15</w:t>
            </w:r>
          </w:p>
        </w:tc>
        <w:tc>
          <w:tcPr>
            <w:tcW w:w="1881" w:type="pct"/>
            <w:vMerge w:val="restart"/>
            <w:shd w:val="clear" w:color="auto" w:fill="auto"/>
            <w:vAlign w:val="center"/>
            <w:hideMark/>
          </w:tcPr>
          <w:p w:rsidR="001C1E30" w:rsidRPr="001C1E30" w:rsidRDefault="001C1E30" w:rsidP="002C3D3F">
            <w:pPr>
              <w:jc w:val="center"/>
              <w:rPr>
                <w:sz w:val="28"/>
              </w:rPr>
            </w:pPr>
            <w:r w:rsidRPr="001C1E30">
              <w:rPr>
                <w:sz w:val="28"/>
              </w:rPr>
              <w:t>30</w:t>
            </w:r>
          </w:p>
        </w:tc>
      </w:tr>
      <w:tr w:rsidR="001C1E30" w:rsidRPr="001C1E30" w:rsidTr="002C3D3F">
        <w:trPr>
          <w:trHeight w:val="288"/>
        </w:trPr>
        <w:tc>
          <w:tcPr>
            <w:tcW w:w="808" w:type="pct"/>
            <w:vMerge/>
            <w:hideMark/>
          </w:tcPr>
          <w:p w:rsidR="001C1E30" w:rsidRPr="001C1E30" w:rsidRDefault="001C1E30" w:rsidP="002C3D3F">
            <w:pPr>
              <w:jc w:val="center"/>
              <w:rPr>
                <w:sz w:val="28"/>
              </w:rPr>
            </w:pPr>
          </w:p>
        </w:tc>
        <w:tc>
          <w:tcPr>
            <w:tcW w:w="1076" w:type="pct"/>
            <w:shd w:val="clear" w:color="auto" w:fill="auto"/>
            <w:hideMark/>
          </w:tcPr>
          <w:p w:rsidR="001C1E30" w:rsidRPr="001C1E30" w:rsidRDefault="001C1E30" w:rsidP="002C3D3F">
            <w:pPr>
              <w:jc w:val="center"/>
              <w:rPr>
                <w:sz w:val="28"/>
              </w:rPr>
            </w:pPr>
            <w:r w:rsidRPr="001C1E30">
              <w:rPr>
                <w:sz w:val="28"/>
              </w:rPr>
              <w:t>55⁰C</w:t>
            </w:r>
          </w:p>
        </w:tc>
        <w:tc>
          <w:tcPr>
            <w:tcW w:w="1236" w:type="pct"/>
            <w:shd w:val="clear" w:color="auto" w:fill="auto"/>
            <w:hideMark/>
          </w:tcPr>
          <w:p w:rsidR="001C1E30" w:rsidRPr="001C1E30" w:rsidRDefault="001C1E30" w:rsidP="002C3D3F">
            <w:pPr>
              <w:jc w:val="center"/>
              <w:rPr>
                <w:sz w:val="28"/>
              </w:rPr>
            </w:pPr>
            <w:r w:rsidRPr="001C1E30">
              <w:rPr>
                <w:sz w:val="28"/>
              </w:rPr>
              <w:t>0/15</w:t>
            </w:r>
          </w:p>
        </w:tc>
        <w:tc>
          <w:tcPr>
            <w:tcW w:w="1881" w:type="pct"/>
            <w:vMerge/>
            <w:hideMark/>
          </w:tcPr>
          <w:p w:rsidR="001C1E30" w:rsidRPr="001C1E30" w:rsidRDefault="001C1E30" w:rsidP="002C3D3F">
            <w:pPr>
              <w:jc w:val="center"/>
              <w:rPr>
                <w:sz w:val="28"/>
              </w:rPr>
            </w:pPr>
          </w:p>
        </w:tc>
      </w:tr>
      <w:tr w:rsidR="001C1E30" w:rsidRPr="001C1E30" w:rsidTr="002C3D3F">
        <w:trPr>
          <w:trHeight w:val="288"/>
        </w:trPr>
        <w:tc>
          <w:tcPr>
            <w:tcW w:w="808" w:type="pct"/>
            <w:vMerge/>
          </w:tcPr>
          <w:p w:rsidR="001C1E30" w:rsidRPr="001C1E30" w:rsidRDefault="001C1E30" w:rsidP="002C3D3F">
            <w:pPr>
              <w:jc w:val="center"/>
              <w:rPr>
                <w:sz w:val="28"/>
              </w:rPr>
            </w:pPr>
          </w:p>
        </w:tc>
        <w:tc>
          <w:tcPr>
            <w:tcW w:w="1076" w:type="pct"/>
            <w:shd w:val="clear" w:color="auto" w:fill="auto"/>
          </w:tcPr>
          <w:p w:rsidR="001C1E30" w:rsidRPr="001C1E30" w:rsidRDefault="001C1E30" w:rsidP="002C3D3F">
            <w:pPr>
              <w:jc w:val="center"/>
              <w:rPr>
                <w:sz w:val="28"/>
              </w:rPr>
            </w:pPr>
            <w:r w:rsidRPr="001C1E30">
              <w:rPr>
                <w:sz w:val="28"/>
              </w:rPr>
              <w:t>72⁰C</w:t>
            </w:r>
          </w:p>
        </w:tc>
        <w:tc>
          <w:tcPr>
            <w:tcW w:w="1236" w:type="pct"/>
            <w:shd w:val="clear" w:color="auto" w:fill="auto"/>
          </w:tcPr>
          <w:p w:rsidR="001C1E30" w:rsidRPr="001C1E30" w:rsidRDefault="001C1E30" w:rsidP="002C3D3F">
            <w:pPr>
              <w:jc w:val="center"/>
              <w:rPr>
                <w:sz w:val="28"/>
              </w:rPr>
            </w:pPr>
            <w:r w:rsidRPr="001C1E30">
              <w:rPr>
                <w:sz w:val="28"/>
              </w:rPr>
              <w:t>0/10</w:t>
            </w:r>
          </w:p>
        </w:tc>
        <w:tc>
          <w:tcPr>
            <w:tcW w:w="1881" w:type="pct"/>
            <w:vMerge/>
          </w:tcPr>
          <w:p w:rsidR="001C1E30" w:rsidRPr="001C1E30" w:rsidRDefault="001C1E30" w:rsidP="002C3D3F">
            <w:pPr>
              <w:jc w:val="center"/>
              <w:rPr>
                <w:sz w:val="28"/>
              </w:rPr>
            </w:pPr>
          </w:p>
        </w:tc>
      </w:tr>
      <w:tr w:rsidR="001C1E30" w:rsidRPr="001C1E30" w:rsidTr="002C3D3F">
        <w:trPr>
          <w:trHeight w:val="288"/>
        </w:trPr>
        <w:tc>
          <w:tcPr>
            <w:tcW w:w="808" w:type="pct"/>
          </w:tcPr>
          <w:p w:rsidR="001C1E30" w:rsidRPr="001C1E30" w:rsidRDefault="001C1E30" w:rsidP="002C3D3F">
            <w:pPr>
              <w:jc w:val="center"/>
              <w:rPr>
                <w:sz w:val="28"/>
              </w:rPr>
            </w:pPr>
            <w:r w:rsidRPr="001C1E30">
              <w:rPr>
                <w:sz w:val="28"/>
              </w:rPr>
              <w:t>№3</w:t>
            </w:r>
          </w:p>
        </w:tc>
        <w:tc>
          <w:tcPr>
            <w:tcW w:w="1076" w:type="pct"/>
            <w:shd w:val="clear" w:color="auto" w:fill="auto"/>
          </w:tcPr>
          <w:p w:rsidR="001C1E30" w:rsidRPr="001C1E30" w:rsidRDefault="001C1E30" w:rsidP="002C3D3F">
            <w:pPr>
              <w:jc w:val="center"/>
              <w:rPr>
                <w:sz w:val="28"/>
              </w:rPr>
            </w:pPr>
            <w:r w:rsidRPr="001C1E30">
              <w:rPr>
                <w:sz w:val="28"/>
              </w:rPr>
              <w:t>72⁰C</w:t>
            </w:r>
          </w:p>
        </w:tc>
        <w:tc>
          <w:tcPr>
            <w:tcW w:w="1236" w:type="pct"/>
            <w:shd w:val="clear" w:color="auto" w:fill="auto"/>
          </w:tcPr>
          <w:p w:rsidR="001C1E30" w:rsidRPr="001C1E30" w:rsidRDefault="001C1E30" w:rsidP="002C3D3F">
            <w:pPr>
              <w:jc w:val="center"/>
              <w:rPr>
                <w:sz w:val="28"/>
              </w:rPr>
            </w:pPr>
            <w:r w:rsidRPr="001C1E30">
              <w:rPr>
                <w:sz w:val="28"/>
              </w:rPr>
              <w:t>5/0</w:t>
            </w:r>
          </w:p>
        </w:tc>
        <w:tc>
          <w:tcPr>
            <w:tcW w:w="1881" w:type="pct"/>
          </w:tcPr>
          <w:p w:rsidR="001C1E30" w:rsidRPr="001C1E30" w:rsidRDefault="001C1E30" w:rsidP="002C3D3F">
            <w:pPr>
              <w:jc w:val="center"/>
              <w:rPr>
                <w:sz w:val="28"/>
              </w:rPr>
            </w:pPr>
            <w:r w:rsidRPr="001C1E30">
              <w:rPr>
                <w:sz w:val="28"/>
              </w:rPr>
              <w:t>1</w:t>
            </w:r>
          </w:p>
        </w:tc>
      </w:tr>
      <w:tr w:rsidR="001C1E30" w:rsidRPr="001C1E30" w:rsidTr="002C3D3F">
        <w:trPr>
          <w:trHeight w:val="288"/>
        </w:trPr>
        <w:tc>
          <w:tcPr>
            <w:tcW w:w="808" w:type="pct"/>
          </w:tcPr>
          <w:p w:rsidR="001C1E30" w:rsidRPr="001C1E30" w:rsidRDefault="001C1E30" w:rsidP="002C3D3F">
            <w:pPr>
              <w:jc w:val="center"/>
              <w:rPr>
                <w:sz w:val="28"/>
              </w:rPr>
            </w:pPr>
            <w:r w:rsidRPr="001C1E30">
              <w:rPr>
                <w:sz w:val="28"/>
              </w:rPr>
              <w:t>№4</w:t>
            </w:r>
          </w:p>
        </w:tc>
        <w:tc>
          <w:tcPr>
            <w:tcW w:w="1076" w:type="pct"/>
            <w:shd w:val="clear" w:color="auto" w:fill="auto"/>
          </w:tcPr>
          <w:p w:rsidR="001C1E30" w:rsidRPr="001C1E30" w:rsidRDefault="001C1E30" w:rsidP="002C3D3F">
            <w:pPr>
              <w:jc w:val="center"/>
              <w:rPr>
                <w:sz w:val="28"/>
              </w:rPr>
            </w:pPr>
            <w:r w:rsidRPr="001C1E30">
              <w:rPr>
                <w:sz w:val="28"/>
              </w:rPr>
              <w:t>12⁰C</w:t>
            </w:r>
          </w:p>
        </w:tc>
        <w:tc>
          <w:tcPr>
            <w:tcW w:w="1236" w:type="pct"/>
            <w:shd w:val="clear" w:color="auto" w:fill="auto"/>
          </w:tcPr>
          <w:p w:rsidR="001C1E30" w:rsidRPr="001C1E30" w:rsidRDefault="001C1E30" w:rsidP="002C3D3F">
            <w:pPr>
              <w:jc w:val="center"/>
              <w:rPr>
                <w:sz w:val="28"/>
              </w:rPr>
            </w:pPr>
            <w:r w:rsidRPr="001C1E30">
              <w:rPr>
                <w:sz w:val="28"/>
              </w:rPr>
              <w:t>∞</w:t>
            </w:r>
          </w:p>
        </w:tc>
        <w:tc>
          <w:tcPr>
            <w:tcW w:w="1881" w:type="pct"/>
          </w:tcPr>
          <w:p w:rsidR="001C1E30" w:rsidRPr="001C1E30" w:rsidRDefault="001C1E30" w:rsidP="002C3D3F">
            <w:pPr>
              <w:jc w:val="center"/>
              <w:rPr>
                <w:sz w:val="28"/>
              </w:rPr>
            </w:pPr>
            <w:r w:rsidRPr="001C1E30">
              <w:rPr>
                <w:sz w:val="28"/>
              </w:rPr>
              <w:t>1</w:t>
            </w:r>
          </w:p>
        </w:tc>
      </w:tr>
    </w:tbl>
    <w:p w:rsidR="001C1E30" w:rsidRDefault="001C1E30" w:rsidP="001C1E30">
      <w:pPr>
        <w:rPr>
          <w:sz w:val="28"/>
          <w:szCs w:val="28"/>
        </w:rPr>
      </w:pPr>
    </w:p>
    <w:p w:rsidR="001C1E30" w:rsidRPr="00B832C8" w:rsidRDefault="001C1E30" w:rsidP="00B832C8">
      <w:pPr>
        <w:ind w:firstLine="709"/>
        <w:rPr>
          <w:sz w:val="28"/>
          <w:szCs w:val="28"/>
        </w:rPr>
      </w:pPr>
      <w:r w:rsidRPr="00B832C8">
        <w:rPr>
          <w:sz w:val="28"/>
          <w:szCs w:val="28"/>
        </w:rPr>
        <w:t>В качестве матрицы ДНК скалывали белую колонию и помещали ее в реакционную смесь без этапа выделения ДНК. Результаты амплификации были анализированы на 1% агарозном геле, DNA маркер (100-1000 br) (рисунок 54, 55).</w:t>
      </w:r>
    </w:p>
    <w:p w:rsidR="001C1E30" w:rsidRPr="00B832C8" w:rsidRDefault="001C1E30" w:rsidP="00B832C8">
      <w:pPr>
        <w:ind w:firstLine="709"/>
        <w:rPr>
          <w:sz w:val="28"/>
          <w:szCs w:val="28"/>
        </w:rPr>
      </w:pPr>
      <w:r w:rsidRPr="00B832C8">
        <w:rPr>
          <w:sz w:val="28"/>
          <w:szCs w:val="28"/>
        </w:rPr>
        <w:t>Размер амплифицируемого участка праймерами М13 составляет 100-150 п.н., если в плазмиду клонирована вставка, то размер ампликона будет равен размеру клонируемого продукта плюс фланкирующий участок плазмиды (100-150 п.н.).</w:t>
      </w:r>
    </w:p>
    <w:p w:rsidR="001C1E30" w:rsidRPr="001C1E30" w:rsidRDefault="001C1E30" w:rsidP="001C1E30">
      <w:pPr>
        <w:rPr>
          <w:sz w:val="28"/>
        </w:rPr>
      </w:pPr>
    </w:p>
    <w:p w:rsidR="001C1E30" w:rsidRPr="001C1E30" w:rsidRDefault="001C1E30" w:rsidP="00B832C8">
      <w:pPr>
        <w:jc w:val="center"/>
        <w:rPr>
          <w:sz w:val="28"/>
        </w:rPr>
      </w:pPr>
      <w:r w:rsidRPr="001C1E30">
        <w:rPr>
          <w:noProof/>
          <w:sz w:val="28"/>
          <w:lang w:eastAsia="ru-RU"/>
        </w:rPr>
        <w:drawing>
          <wp:inline distT="0" distB="0" distL="0" distR="0" wp14:anchorId="4FAD0855" wp14:editId="3C258D1B">
            <wp:extent cx="3650673" cy="1608158"/>
            <wp:effectExtent l="0" t="0" r="6985" b="0"/>
            <wp:docPr id="41" name="Рисунок 41" descr="C:\Users\User\Моноблок\Байменов\2025 год\докторантура\материалы и методы\Рисунки\Рисунок 55 – Результаты скрининга.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Моноблок\Байменов\2025 год\докторантура\материалы и методы\Рисунки\Рисунок 55 – Результаты скрининга.tiff"/>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679382" cy="1620805"/>
                    </a:xfrm>
                    <a:prstGeom prst="rect">
                      <a:avLst/>
                    </a:prstGeom>
                    <a:noFill/>
                    <a:ln>
                      <a:noFill/>
                    </a:ln>
                  </pic:spPr>
                </pic:pic>
              </a:graphicData>
            </a:graphic>
          </wp:inline>
        </w:drawing>
      </w:r>
    </w:p>
    <w:p w:rsidR="001C1E30" w:rsidRPr="001C1E30" w:rsidRDefault="001C1E30" w:rsidP="002C3D3F">
      <w:pPr>
        <w:rPr>
          <w:sz w:val="28"/>
        </w:rPr>
      </w:pPr>
      <w:r w:rsidRPr="001C1E30">
        <w:rPr>
          <w:sz w:val="28"/>
        </w:rPr>
        <w:t xml:space="preserve">nuc – </w:t>
      </w:r>
      <w:r w:rsidR="00B832C8">
        <w:rPr>
          <w:sz w:val="28"/>
        </w:rPr>
        <w:t xml:space="preserve">12, 13; ermC – 6, 7, 8, 9; TetK </w:t>
      </w:r>
      <w:r w:rsidRPr="001C1E30">
        <w:rPr>
          <w:sz w:val="28"/>
        </w:rPr>
        <w:t>– 5; BlaZ – 1, 2, 3, 4; маркер молекулярного веса 100-10000 br</w:t>
      </w:r>
    </w:p>
    <w:p w:rsidR="001C1E30" w:rsidRPr="001C1E30" w:rsidRDefault="001C1E30" w:rsidP="00B832C8">
      <w:pPr>
        <w:jc w:val="center"/>
        <w:rPr>
          <w:sz w:val="28"/>
        </w:rPr>
      </w:pPr>
      <w:r w:rsidRPr="001C1E30">
        <w:rPr>
          <w:sz w:val="28"/>
        </w:rPr>
        <w:t>Рисунок 54 – Результаты скрининга на наличие вставок интересующих нас генов в плазмиде pTG19-T</w:t>
      </w:r>
    </w:p>
    <w:p w:rsidR="001C1E30" w:rsidRPr="001C1E30" w:rsidRDefault="001C1E30" w:rsidP="00B832C8">
      <w:pPr>
        <w:jc w:val="center"/>
        <w:rPr>
          <w:sz w:val="28"/>
        </w:rPr>
      </w:pPr>
      <w:r w:rsidRPr="001C1E30">
        <w:rPr>
          <w:noProof/>
          <w:sz w:val="28"/>
          <w:lang w:eastAsia="ru-RU"/>
        </w:rPr>
        <w:lastRenderedPageBreak/>
        <w:drawing>
          <wp:inline distT="0" distB="0" distL="0" distR="0" wp14:anchorId="07A311B0" wp14:editId="15EA4E5A">
            <wp:extent cx="3567545" cy="1562391"/>
            <wp:effectExtent l="0" t="0" r="0" b="0"/>
            <wp:docPr id="49" name="Рисунок 49" descr="C:\Users\User\Моноблок\Байменов\2025 год\докторантура\материалы и методы\Рисунки\Рисунок 56 – Результаты скрининга.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Моноблок\Байменов\2025 год\докторантура\материалы и методы\Рисунки\Рисунок 56 – Результаты скрининга.tiff"/>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610236" cy="1581087"/>
                    </a:xfrm>
                    <a:prstGeom prst="rect">
                      <a:avLst/>
                    </a:prstGeom>
                    <a:noFill/>
                    <a:ln>
                      <a:noFill/>
                    </a:ln>
                  </pic:spPr>
                </pic:pic>
              </a:graphicData>
            </a:graphic>
          </wp:inline>
        </w:drawing>
      </w:r>
    </w:p>
    <w:p w:rsidR="001C1E30" w:rsidRPr="001C1E30" w:rsidRDefault="001C1E30" w:rsidP="002C3D3F">
      <w:pPr>
        <w:rPr>
          <w:sz w:val="28"/>
        </w:rPr>
      </w:pPr>
      <w:r w:rsidRPr="001C1E30">
        <w:rPr>
          <w:sz w:val="28"/>
        </w:rPr>
        <w:t>nuc –13; ermC – 3, 4, 5; TetK – 6, 7, 8; BlaZ – 10, 11, 12; маркер молекулярного веса 100-10000 br</w:t>
      </w:r>
    </w:p>
    <w:p w:rsidR="001C1E30" w:rsidRPr="001C1E30" w:rsidRDefault="001C1E30" w:rsidP="00B832C8">
      <w:pPr>
        <w:jc w:val="center"/>
        <w:rPr>
          <w:sz w:val="28"/>
        </w:rPr>
      </w:pPr>
      <w:r w:rsidRPr="001C1E30">
        <w:rPr>
          <w:sz w:val="28"/>
        </w:rPr>
        <w:t>Рисунок 55 – Результаты скрининга на наличие вставок интересующих нас генов в плазмиде pTG19-T</w:t>
      </w:r>
    </w:p>
    <w:p w:rsidR="001C1E30" w:rsidRPr="001C1E30" w:rsidRDefault="001C1E30" w:rsidP="001C1E30">
      <w:pPr>
        <w:rPr>
          <w:sz w:val="28"/>
        </w:rPr>
      </w:pPr>
    </w:p>
    <w:p w:rsidR="001C1E30" w:rsidRPr="001C1E30" w:rsidRDefault="001C1E30" w:rsidP="00B832C8">
      <w:pPr>
        <w:ind w:firstLine="709"/>
        <w:rPr>
          <w:sz w:val="28"/>
        </w:rPr>
      </w:pPr>
      <w:r w:rsidRPr="001C1E30">
        <w:rPr>
          <w:sz w:val="28"/>
        </w:rPr>
        <w:t xml:space="preserve">На рисунках присутствуют четкие бенды, представляющие собой фрагменты плазмид со вставкой, и эти фрагменты подходят для создания положительного контроля. </w:t>
      </w:r>
    </w:p>
    <w:p w:rsidR="001C1E30" w:rsidRPr="001C1E30" w:rsidRDefault="001C1E30" w:rsidP="00B832C8">
      <w:pPr>
        <w:ind w:firstLine="709"/>
        <w:rPr>
          <w:sz w:val="28"/>
        </w:rPr>
      </w:pPr>
      <w:r w:rsidRPr="001C1E30">
        <w:rPr>
          <w:sz w:val="28"/>
        </w:rPr>
        <w:t>Положительные бактерии на наличие специфических вставок генов nuc, ermC, TetK, BlaZ, переносили на жидкую среду LB с ампициллином. Инкубировали в течение ночи 37°C, и после центрифугирования получали осадок бактериальных клеток.</w:t>
      </w:r>
    </w:p>
    <w:p w:rsidR="001C1E30" w:rsidRDefault="001C1E30" w:rsidP="00B832C8">
      <w:pPr>
        <w:ind w:firstLine="709"/>
        <w:rPr>
          <w:sz w:val="28"/>
        </w:rPr>
      </w:pPr>
      <w:r w:rsidRPr="001C1E30">
        <w:rPr>
          <w:sz w:val="28"/>
        </w:rPr>
        <w:t>После выделения плазмидной ДНК из бактериальных клеток, проводили ПЦР по отработанному протоколу с разработанными праймерами к генам nuc, ermC, TetK и BlaZ (таблица 24). Результаты амплификации были анализированы на 1% агарозном геле, DNA маркер (100-1000 br) (рисунок 56).</w:t>
      </w:r>
    </w:p>
    <w:p w:rsidR="00F34F69" w:rsidRPr="00F34F69" w:rsidRDefault="00F34F69" w:rsidP="00F34F69">
      <w:pPr>
        <w:rPr>
          <w:sz w:val="28"/>
        </w:rPr>
      </w:pPr>
    </w:p>
    <w:p w:rsidR="00F34F69" w:rsidRPr="00F34F69" w:rsidRDefault="00F34F69" w:rsidP="00B832C8">
      <w:pPr>
        <w:jc w:val="center"/>
        <w:rPr>
          <w:sz w:val="28"/>
        </w:rPr>
      </w:pPr>
      <w:r w:rsidRPr="00F34F69">
        <w:rPr>
          <w:noProof/>
          <w:sz w:val="28"/>
          <w:lang w:eastAsia="ru-RU"/>
        </w:rPr>
        <w:drawing>
          <wp:inline distT="0" distB="0" distL="0" distR="0" wp14:anchorId="58CC9C20" wp14:editId="3C8E51C4">
            <wp:extent cx="3320909" cy="2486890"/>
            <wp:effectExtent l="0" t="0" r="0" b="8890"/>
            <wp:docPr id="50" name="Рисунок 50" descr="C:\Users\User\Моноблок\Байменов\2025 год\докторантура\материалы и методы\Рисунки\Рисунок 57 – Результаты скрининга.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Моноблок\Байменов\2025 год\докторантура\материалы и методы\Рисунки\Рисунок 57 – Результаты скрининга.tiff"/>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378870" cy="2530294"/>
                    </a:xfrm>
                    <a:prstGeom prst="rect">
                      <a:avLst/>
                    </a:prstGeom>
                    <a:noFill/>
                    <a:ln>
                      <a:noFill/>
                    </a:ln>
                  </pic:spPr>
                </pic:pic>
              </a:graphicData>
            </a:graphic>
          </wp:inline>
        </w:drawing>
      </w:r>
    </w:p>
    <w:p w:rsidR="00F34F69" w:rsidRPr="00F34F69" w:rsidRDefault="00F34F69" w:rsidP="002C3D3F">
      <w:pPr>
        <w:rPr>
          <w:sz w:val="28"/>
        </w:rPr>
      </w:pPr>
      <w:r w:rsidRPr="00F34F69">
        <w:rPr>
          <w:sz w:val="28"/>
        </w:rPr>
        <w:t>nuc –5; ermC – 7; TetK – 6; BlaZ – 4; маркер молекулярного веса 100-10000 br</w:t>
      </w:r>
    </w:p>
    <w:p w:rsidR="00F34F69" w:rsidRPr="00F34F69" w:rsidRDefault="00F34F69" w:rsidP="00B832C8">
      <w:pPr>
        <w:jc w:val="center"/>
        <w:rPr>
          <w:sz w:val="28"/>
        </w:rPr>
      </w:pPr>
      <w:r w:rsidRPr="00F34F69">
        <w:rPr>
          <w:sz w:val="28"/>
        </w:rPr>
        <w:t>Рисунок 56 – Результаты скрининга</w:t>
      </w:r>
    </w:p>
    <w:p w:rsidR="00F34F69" w:rsidRPr="00F34F69" w:rsidRDefault="00F34F69" w:rsidP="00F34F69">
      <w:pPr>
        <w:rPr>
          <w:sz w:val="28"/>
        </w:rPr>
      </w:pPr>
    </w:p>
    <w:p w:rsidR="00F34F69" w:rsidRPr="00F34F69" w:rsidRDefault="00F34F69" w:rsidP="00B832C8">
      <w:pPr>
        <w:ind w:firstLine="709"/>
        <w:rPr>
          <w:sz w:val="28"/>
        </w:rPr>
      </w:pPr>
      <w:r w:rsidRPr="00F34F69">
        <w:rPr>
          <w:sz w:val="28"/>
        </w:rPr>
        <w:t xml:space="preserve">По результатам электрофореза определены нуклеотидные вставки генов nuc, ermC, TetK, BlaZ в плазмидах. Полученные плазмиды содержат в себе </w:t>
      </w:r>
      <w:r w:rsidRPr="00F34F69">
        <w:rPr>
          <w:sz w:val="28"/>
        </w:rPr>
        <w:lastRenderedPageBreak/>
        <w:t>необходимые последовательности генов, и могут быть использованы в качестве положительных контролей в ПЦР.</w:t>
      </w:r>
    </w:p>
    <w:p w:rsidR="00FE1507" w:rsidRDefault="00FE1507" w:rsidP="00B832C8">
      <w:pPr>
        <w:ind w:firstLine="709"/>
        <w:rPr>
          <w:b/>
          <w:sz w:val="28"/>
        </w:rPr>
      </w:pPr>
    </w:p>
    <w:p w:rsidR="00F34F69" w:rsidRPr="00C845FF" w:rsidRDefault="00F34F69" w:rsidP="00B832C8">
      <w:pPr>
        <w:ind w:firstLine="709"/>
        <w:rPr>
          <w:b/>
          <w:sz w:val="28"/>
        </w:rPr>
      </w:pPr>
      <w:r w:rsidRPr="00C845FF">
        <w:rPr>
          <w:b/>
          <w:sz w:val="28"/>
        </w:rPr>
        <w:t>3.</w:t>
      </w:r>
      <w:r w:rsidR="00E1739C">
        <w:rPr>
          <w:b/>
          <w:sz w:val="28"/>
        </w:rPr>
        <w:t>4</w:t>
      </w:r>
      <w:r w:rsidRPr="00C845FF">
        <w:rPr>
          <w:b/>
          <w:sz w:val="28"/>
        </w:rPr>
        <w:t xml:space="preserve"> Идентификация изолятов </w:t>
      </w:r>
      <w:r w:rsidR="007A7888" w:rsidRPr="007A7888">
        <w:rPr>
          <w:b/>
          <w:i/>
          <w:sz w:val="28"/>
        </w:rPr>
        <w:t>S. aureus</w:t>
      </w:r>
      <w:r w:rsidRPr="00C845FF">
        <w:rPr>
          <w:b/>
          <w:sz w:val="28"/>
        </w:rPr>
        <w:t xml:space="preserve"> и генетических маркеров устойчивости (blaZ, ermC и tetK) с применением разработанных праймерных и зондовых последовательностей. Проведение оценки согласованности фенотипических и генотипических методов идентификации</w:t>
      </w:r>
    </w:p>
    <w:p w:rsidR="00FE1507" w:rsidRDefault="00FE1507" w:rsidP="00B832C8">
      <w:pPr>
        <w:ind w:firstLine="709"/>
        <w:rPr>
          <w:b/>
          <w:sz w:val="28"/>
        </w:rPr>
      </w:pPr>
    </w:p>
    <w:p w:rsidR="00F34F69" w:rsidRPr="00FE1507" w:rsidRDefault="00F34F69" w:rsidP="00B832C8">
      <w:pPr>
        <w:ind w:firstLine="709"/>
        <w:rPr>
          <w:sz w:val="28"/>
        </w:rPr>
      </w:pPr>
      <w:r w:rsidRPr="00FE1507">
        <w:rPr>
          <w:sz w:val="28"/>
        </w:rPr>
        <w:t>3.</w:t>
      </w:r>
      <w:r w:rsidR="00E1739C">
        <w:rPr>
          <w:sz w:val="28"/>
        </w:rPr>
        <w:t>4</w:t>
      </w:r>
      <w:r w:rsidRPr="00FE1507">
        <w:rPr>
          <w:sz w:val="28"/>
        </w:rPr>
        <w:t xml:space="preserve">.1 Результаты выявления специфического гена nuc </w:t>
      </w:r>
      <w:r w:rsidR="007A7888" w:rsidRPr="007A7888">
        <w:rPr>
          <w:i/>
          <w:sz w:val="28"/>
        </w:rPr>
        <w:t>S. aureus</w:t>
      </w:r>
      <w:r w:rsidRPr="00FE1507">
        <w:rPr>
          <w:sz w:val="28"/>
        </w:rPr>
        <w:t>, а также генов резистентности blaZ, ermC и TetK</w:t>
      </w:r>
    </w:p>
    <w:p w:rsidR="00F34F69" w:rsidRDefault="00F34F69" w:rsidP="00B832C8">
      <w:pPr>
        <w:ind w:firstLine="709"/>
        <w:rPr>
          <w:sz w:val="28"/>
        </w:rPr>
      </w:pPr>
      <w:r w:rsidRPr="00F34F69">
        <w:rPr>
          <w:sz w:val="28"/>
        </w:rPr>
        <w:t>Исследование было направленно на одновременное обнаружение нескольких генов в каждой пробе – nuc, blaZ, ermC и TetK (таблица 27, рисунок 57).</w:t>
      </w:r>
    </w:p>
    <w:p w:rsidR="00F34F69" w:rsidRDefault="00F34F69" w:rsidP="00F34F69">
      <w:pPr>
        <w:rPr>
          <w:sz w:val="28"/>
        </w:rPr>
      </w:pPr>
    </w:p>
    <w:p w:rsidR="00F34F69" w:rsidRPr="00F34F69" w:rsidRDefault="00052C04" w:rsidP="00B832C8">
      <w:pPr>
        <w:jc w:val="center"/>
        <w:rPr>
          <w:sz w:val="28"/>
          <w:szCs w:val="28"/>
        </w:rPr>
      </w:pPr>
      <w:r w:rsidRPr="00052C04">
        <w:rPr>
          <w:noProof/>
          <w:sz w:val="28"/>
          <w:szCs w:val="28"/>
          <w:lang w:eastAsia="ru-RU"/>
        </w:rPr>
        <w:drawing>
          <wp:inline distT="0" distB="0" distL="0" distR="0" wp14:anchorId="3AE39363" wp14:editId="479A05DF">
            <wp:extent cx="4016750" cy="2308860"/>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4049655" cy="2327774"/>
                    </a:xfrm>
                    <a:prstGeom prst="rect">
                      <a:avLst/>
                    </a:prstGeom>
                  </pic:spPr>
                </pic:pic>
              </a:graphicData>
            </a:graphic>
          </wp:inline>
        </w:drawing>
      </w:r>
    </w:p>
    <w:p w:rsidR="00F34F69" w:rsidRPr="00F34F69" w:rsidRDefault="00F34F69" w:rsidP="00B832C8">
      <w:pPr>
        <w:jc w:val="center"/>
        <w:rPr>
          <w:sz w:val="28"/>
          <w:szCs w:val="28"/>
        </w:rPr>
      </w:pPr>
      <w:r w:rsidRPr="00F34F69">
        <w:rPr>
          <w:sz w:val="28"/>
          <w:szCs w:val="28"/>
        </w:rPr>
        <w:t>Рисунок 57 – Данные в разрезе выявления генов резистентности к АБП</w:t>
      </w:r>
    </w:p>
    <w:p w:rsidR="00F34F69" w:rsidRPr="00F34F69" w:rsidRDefault="00F34F69" w:rsidP="00F34F69">
      <w:pPr>
        <w:rPr>
          <w:sz w:val="28"/>
          <w:szCs w:val="28"/>
        </w:rPr>
      </w:pPr>
    </w:p>
    <w:p w:rsidR="00F34F69" w:rsidRDefault="00F34F69" w:rsidP="002C3D3F">
      <w:pPr>
        <w:jc w:val="left"/>
        <w:rPr>
          <w:sz w:val="28"/>
          <w:szCs w:val="28"/>
        </w:rPr>
      </w:pPr>
      <w:r w:rsidRPr="00F34F69">
        <w:rPr>
          <w:sz w:val="28"/>
          <w:szCs w:val="28"/>
        </w:rPr>
        <w:t xml:space="preserve">Таблица 27 – </w:t>
      </w:r>
      <w:r w:rsidR="00E9323D" w:rsidRPr="00E9323D">
        <w:rPr>
          <w:sz w:val="28"/>
          <w:szCs w:val="28"/>
        </w:rPr>
        <w:t>Результаты выявления генов резистентности к АБП</w:t>
      </w:r>
    </w:p>
    <w:tbl>
      <w:tblPr>
        <w:tblW w:w="8374" w:type="dxa"/>
        <w:tblLook w:val="04A0" w:firstRow="1" w:lastRow="0" w:firstColumn="1" w:lastColumn="0" w:noHBand="0" w:noVBand="1"/>
      </w:tblPr>
      <w:tblGrid>
        <w:gridCol w:w="1122"/>
        <w:gridCol w:w="1794"/>
        <w:gridCol w:w="1794"/>
        <w:gridCol w:w="1794"/>
        <w:gridCol w:w="1794"/>
        <w:gridCol w:w="1556"/>
      </w:tblGrid>
      <w:tr w:rsidR="00F34F69" w:rsidRPr="00C619F6" w:rsidTr="006F2F87">
        <w:trPr>
          <w:trHeight w:val="699"/>
        </w:trPr>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4F69" w:rsidRPr="00C619F6" w:rsidRDefault="007A7888" w:rsidP="00F34F69">
            <w:pPr>
              <w:rPr>
                <w:szCs w:val="24"/>
              </w:rPr>
            </w:pPr>
            <w:r w:rsidRPr="007A7888">
              <w:rPr>
                <w:i/>
                <w:szCs w:val="24"/>
              </w:rPr>
              <w:t>S. aureus</w:t>
            </w:r>
            <w:r w:rsidR="00F34F69" w:rsidRPr="00C619F6">
              <w:rPr>
                <w:szCs w:val="24"/>
              </w:rPr>
              <w:t>, всего изолятов</w:t>
            </w:r>
          </w:p>
        </w:tc>
        <w:tc>
          <w:tcPr>
            <w:tcW w:w="1513" w:type="dxa"/>
            <w:tcBorders>
              <w:top w:val="single" w:sz="4" w:space="0" w:color="auto"/>
              <w:left w:val="nil"/>
              <w:bottom w:val="single" w:sz="4" w:space="0" w:color="auto"/>
              <w:right w:val="single" w:sz="4" w:space="0" w:color="auto"/>
            </w:tcBorders>
            <w:shd w:val="clear" w:color="auto" w:fill="auto"/>
            <w:vAlign w:val="center"/>
            <w:hideMark/>
          </w:tcPr>
          <w:p w:rsidR="00F34F69" w:rsidRPr="00C619F6" w:rsidRDefault="00F34F69" w:rsidP="00F34F69">
            <w:pPr>
              <w:rPr>
                <w:szCs w:val="24"/>
              </w:rPr>
            </w:pPr>
            <w:r w:rsidRPr="00C619F6">
              <w:rPr>
                <w:szCs w:val="24"/>
              </w:rPr>
              <w:t>Не обнаружено генов резистентности</w:t>
            </w:r>
          </w:p>
        </w:tc>
        <w:tc>
          <w:tcPr>
            <w:tcW w:w="1513" w:type="dxa"/>
            <w:tcBorders>
              <w:top w:val="single" w:sz="4" w:space="0" w:color="auto"/>
              <w:left w:val="nil"/>
              <w:bottom w:val="single" w:sz="4" w:space="0" w:color="auto"/>
              <w:right w:val="single" w:sz="4" w:space="0" w:color="auto"/>
            </w:tcBorders>
            <w:shd w:val="clear" w:color="auto" w:fill="auto"/>
            <w:vAlign w:val="center"/>
            <w:hideMark/>
          </w:tcPr>
          <w:p w:rsidR="00F34F69" w:rsidRPr="00C619F6" w:rsidRDefault="00F34F69" w:rsidP="00F34F69">
            <w:pPr>
              <w:rPr>
                <w:szCs w:val="24"/>
              </w:rPr>
            </w:pPr>
            <w:r w:rsidRPr="00C619F6">
              <w:rPr>
                <w:szCs w:val="24"/>
              </w:rPr>
              <w:t>Обнаружен 1 ген резистентности</w:t>
            </w:r>
          </w:p>
        </w:tc>
        <w:tc>
          <w:tcPr>
            <w:tcW w:w="1513" w:type="dxa"/>
            <w:tcBorders>
              <w:top w:val="single" w:sz="4" w:space="0" w:color="auto"/>
              <w:left w:val="nil"/>
              <w:bottom w:val="single" w:sz="4" w:space="0" w:color="auto"/>
              <w:right w:val="single" w:sz="4" w:space="0" w:color="auto"/>
            </w:tcBorders>
            <w:shd w:val="clear" w:color="auto" w:fill="auto"/>
            <w:vAlign w:val="center"/>
            <w:hideMark/>
          </w:tcPr>
          <w:p w:rsidR="00F34F69" w:rsidRPr="00C619F6" w:rsidRDefault="00F34F69" w:rsidP="00F34F69">
            <w:pPr>
              <w:rPr>
                <w:szCs w:val="24"/>
              </w:rPr>
            </w:pPr>
            <w:r w:rsidRPr="00C619F6">
              <w:rPr>
                <w:szCs w:val="24"/>
              </w:rPr>
              <w:t>Обнаружено 2 гена резистентности</w:t>
            </w:r>
          </w:p>
        </w:tc>
        <w:tc>
          <w:tcPr>
            <w:tcW w:w="1513" w:type="dxa"/>
            <w:tcBorders>
              <w:top w:val="single" w:sz="4" w:space="0" w:color="auto"/>
              <w:left w:val="nil"/>
              <w:bottom w:val="single" w:sz="4" w:space="0" w:color="auto"/>
              <w:right w:val="single" w:sz="4" w:space="0" w:color="auto"/>
            </w:tcBorders>
            <w:shd w:val="clear" w:color="auto" w:fill="auto"/>
            <w:vAlign w:val="center"/>
            <w:hideMark/>
          </w:tcPr>
          <w:p w:rsidR="00F34F69" w:rsidRPr="00C619F6" w:rsidRDefault="00F34F69" w:rsidP="00F34F69">
            <w:pPr>
              <w:rPr>
                <w:szCs w:val="24"/>
              </w:rPr>
            </w:pPr>
            <w:r w:rsidRPr="00C619F6">
              <w:rPr>
                <w:szCs w:val="24"/>
              </w:rPr>
              <w:t>Обнаружено 3 гена резистентности</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rsidR="00F34F69" w:rsidRPr="00C619F6" w:rsidRDefault="00F34F69" w:rsidP="00F34F69">
            <w:pPr>
              <w:rPr>
                <w:szCs w:val="24"/>
              </w:rPr>
            </w:pPr>
            <w:r w:rsidRPr="00C619F6">
              <w:rPr>
                <w:szCs w:val="24"/>
              </w:rPr>
              <w:t>Имели хотя бы один из исследуемых генов</w:t>
            </w:r>
          </w:p>
        </w:tc>
      </w:tr>
      <w:tr w:rsidR="00F34F69" w:rsidRPr="00C619F6" w:rsidTr="006F2F87">
        <w:trPr>
          <w:trHeight w:val="160"/>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87</w:t>
            </w:r>
          </w:p>
        </w:tc>
        <w:tc>
          <w:tcPr>
            <w:tcW w:w="1513"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2</w:t>
            </w:r>
          </w:p>
        </w:tc>
        <w:tc>
          <w:tcPr>
            <w:tcW w:w="1513"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18</w:t>
            </w:r>
          </w:p>
        </w:tc>
        <w:tc>
          <w:tcPr>
            <w:tcW w:w="1513"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39</w:t>
            </w:r>
          </w:p>
        </w:tc>
        <w:tc>
          <w:tcPr>
            <w:tcW w:w="1513"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28</w:t>
            </w:r>
          </w:p>
        </w:tc>
        <w:tc>
          <w:tcPr>
            <w:tcW w:w="1380"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85</w:t>
            </w:r>
          </w:p>
        </w:tc>
      </w:tr>
      <w:tr w:rsidR="00F34F69" w:rsidRPr="00C619F6" w:rsidTr="006F2F87">
        <w:trPr>
          <w:trHeight w:val="312"/>
        </w:trPr>
        <w:tc>
          <w:tcPr>
            <w:tcW w:w="942" w:type="dxa"/>
            <w:tcBorders>
              <w:top w:val="nil"/>
              <w:left w:val="single" w:sz="4" w:space="0" w:color="auto"/>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100 %</w:t>
            </w:r>
          </w:p>
        </w:tc>
        <w:tc>
          <w:tcPr>
            <w:tcW w:w="1513"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2,30 %</w:t>
            </w:r>
          </w:p>
        </w:tc>
        <w:tc>
          <w:tcPr>
            <w:tcW w:w="1513"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20,69 %</w:t>
            </w:r>
          </w:p>
        </w:tc>
        <w:tc>
          <w:tcPr>
            <w:tcW w:w="1513"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44,83 %</w:t>
            </w:r>
          </w:p>
        </w:tc>
        <w:tc>
          <w:tcPr>
            <w:tcW w:w="1513"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32,18 %</w:t>
            </w:r>
          </w:p>
        </w:tc>
        <w:tc>
          <w:tcPr>
            <w:tcW w:w="1380" w:type="dxa"/>
            <w:tcBorders>
              <w:top w:val="nil"/>
              <w:left w:val="nil"/>
              <w:bottom w:val="single" w:sz="4" w:space="0" w:color="auto"/>
              <w:right w:val="single" w:sz="4" w:space="0" w:color="auto"/>
            </w:tcBorders>
            <w:shd w:val="clear" w:color="auto" w:fill="auto"/>
            <w:vAlign w:val="center"/>
            <w:hideMark/>
          </w:tcPr>
          <w:p w:rsidR="00F34F69" w:rsidRPr="00C619F6" w:rsidRDefault="00F34F69" w:rsidP="00B832C8">
            <w:pPr>
              <w:jc w:val="center"/>
              <w:rPr>
                <w:szCs w:val="24"/>
              </w:rPr>
            </w:pPr>
            <w:r w:rsidRPr="00C619F6">
              <w:rPr>
                <w:szCs w:val="24"/>
              </w:rPr>
              <w:t>97,70 %</w:t>
            </w:r>
          </w:p>
        </w:tc>
      </w:tr>
    </w:tbl>
    <w:p w:rsidR="00F34F69" w:rsidRPr="00F34F69" w:rsidRDefault="00F34F69" w:rsidP="00F34F69">
      <w:pPr>
        <w:rPr>
          <w:sz w:val="28"/>
        </w:rPr>
      </w:pPr>
    </w:p>
    <w:p w:rsidR="00F34F69" w:rsidRPr="00F34F69" w:rsidRDefault="00F34F69" w:rsidP="00B832C8">
      <w:pPr>
        <w:ind w:firstLine="709"/>
        <w:rPr>
          <w:sz w:val="28"/>
        </w:rPr>
      </w:pPr>
      <w:r w:rsidRPr="00F34F69">
        <w:rPr>
          <w:sz w:val="28"/>
        </w:rPr>
        <w:t xml:space="preserve">Из 87 изолятов </w:t>
      </w:r>
      <w:r w:rsidR="007A7888" w:rsidRPr="007A7888">
        <w:rPr>
          <w:i/>
          <w:sz w:val="28"/>
        </w:rPr>
        <w:t>S. aureus</w:t>
      </w:r>
      <w:r w:rsidRPr="00F34F69">
        <w:rPr>
          <w:sz w:val="28"/>
        </w:rPr>
        <w:t xml:space="preserve"> с установленной резистентностью, у 2 (2,3%) изолятов не обнаружено ни одного гена устойчивости к АБП. 18 (20,69%) изолятов имели 1 ген резистентности как минимум к одному из исследуемых детерминант устойчивости к АБП, 39 (44,83%) изолятов имели по два гена устойчивости, у 28 (35,18%) изолятов обнаружено сразу три гена </w:t>
      </w:r>
      <w:r w:rsidRPr="00F34F69">
        <w:rPr>
          <w:sz w:val="28"/>
        </w:rPr>
        <w:lastRenderedPageBreak/>
        <w:t>резистентности. 85 (97,7%) изолятов имели хотя бы один из исследуемых генов устойчивости</w:t>
      </w:r>
      <w:r w:rsidR="00052C04">
        <w:rPr>
          <w:sz w:val="28"/>
        </w:rPr>
        <w:t xml:space="preserve"> (</w:t>
      </w:r>
      <w:r w:rsidR="00052C04" w:rsidRPr="001C4327">
        <w:rPr>
          <w:sz w:val="28"/>
        </w:rPr>
        <w:t>таблица 28, приложение</w:t>
      </w:r>
      <w:r w:rsidR="001C4327">
        <w:rPr>
          <w:sz w:val="28"/>
        </w:rPr>
        <w:t xml:space="preserve"> Ф</w:t>
      </w:r>
      <w:r w:rsidR="00052C04">
        <w:rPr>
          <w:sz w:val="28"/>
        </w:rPr>
        <w:t>)</w:t>
      </w:r>
      <w:r w:rsidRPr="00F34F69">
        <w:rPr>
          <w:sz w:val="28"/>
        </w:rPr>
        <w:t>.</w:t>
      </w:r>
    </w:p>
    <w:p w:rsidR="00F34F69" w:rsidRPr="00F34F69" w:rsidRDefault="00F34F69" w:rsidP="00F34F69">
      <w:pPr>
        <w:rPr>
          <w:sz w:val="28"/>
        </w:rPr>
      </w:pPr>
    </w:p>
    <w:p w:rsidR="00F34F69" w:rsidRDefault="00F34F69" w:rsidP="00F34F69">
      <w:pPr>
        <w:rPr>
          <w:sz w:val="28"/>
        </w:rPr>
      </w:pPr>
      <w:r w:rsidRPr="00F34F69">
        <w:rPr>
          <w:sz w:val="28"/>
        </w:rPr>
        <w:t>Таблица 28 – Общие данные устойчивости к АБП в разрезе выявления генов резистентности</w:t>
      </w:r>
    </w:p>
    <w:tbl>
      <w:tblPr>
        <w:tblW w:w="0" w:type="auto"/>
        <w:tblLook w:val="04A0" w:firstRow="1" w:lastRow="0" w:firstColumn="1" w:lastColumn="0" w:noHBand="0" w:noVBand="1"/>
      </w:tblPr>
      <w:tblGrid>
        <w:gridCol w:w="626"/>
        <w:gridCol w:w="999"/>
        <w:gridCol w:w="1194"/>
        <w:gridCol w:w="1995"/>
        <w:gridCol w:w="1938"/>
        <w:gridCol w:w="1638"/>
        <w:gridCol w:w="1464"/>
      </w:tblGrid>
      <w:tr w:rsidR="00052C04" w:rsidRPr="00052C04" w:rsidTr="00052C04">
        <w:trPr>
          <w:trHeight w:val="792"/>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Ген</w:t>
            </w:r>
          </w:p>
        </w:tc>
        <w:tc>
          <w:tcPr>
            <w:tcW w:w="978" w:type="dxa"/>
            <w:tcBorders>
              <w:top w:val="single" w:sz="4" w:space="0" w:color="auto"/>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Выявлено ПЦР (n=87)</w:t>
            </w:r>
          </w:p>
        </w:tc>
        <w:tc>
          <w:tcPr>
            <w:tcW w:w="1168" w:type="dxa"/>
            <w:tcBorders>
              <w:top w:val="single" w:sz="4" w:space="0" w:color="auto"/>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Устойчивых по ДД-методу</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Ложноположительные случаи</w:t>
            </w:r>
          </w:p>
        </w:tc>
        <w:tc>
          <w:tcPr>
            <w:tcW w:w="1891" w:type="dxa"/>
            <w:tcBorders>
              <w:top w:val="single" w:sz="4" w:space="0" w:color="auto"/>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Ложноотрицательные случаи</w:t>
            </w:r>
          </w:p>
        </w:tc>
        <w:tc>
          <w:tcPr>
            <w:tcW w:w="1903" w:type="dxa"/>
            <w:tcBorders>
              <w:top w:val="single" w:sz="4" w:space="0" w:color="auto"/>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Чувствительность (%)</w:t>
            </w:r>
          </w:p>
        </w:tc>
        <w:tc>
          <w:tcPr>
            <w:tcW w:w="1128" w:type="dxa"/>
            <w:tcBorders>
              <w:top w:val="single" w:sz="4" w:space="0" w:color="auto"/>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Специфичность (%)</w:t>
            </w:r>
          </w:p>
        </w:tc>
      </w:tr>
      <w:tr w:rsidR="00052C04" w:rsidRPr="00052C04" w:rsidTr="00052C04">
        <w:trPr>
          <w:trHeight w:val="183"/>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nuc</w:t>
            </w:r>
          </w:p>
        </w:tc>
        <w:tc>
          <w:tcPr>
            <w:tcW w:w="97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87 </w:t>
            </w:r>
          </w:p>
          <w:p w:rsidR="00052C04" w:rsidRPr="00052C04" w:rsidRDefault="00052C04" w:rsidP="00052C04">
            <w:pPr>
              <w:jc w:val="center"/>
            </w:pPr>
            <w:r w:rsidRPr="00052C04">
              <w:t>(100%)</w:t>
            </w:r>
          </w:p>
        </w:tc>
        <w:tc>
          <w:tcPr>
            <w:tcW w:w="116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87</w:t>
            </w:r>
          </w:p>
        </w:tc>
        <w:tc>
          <w:tcPr>
            <w:tcW w:w="0" w:type="auto"/>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0</w:t>
            </w:r>
          </w:p>
        </w:tc>
        <w:tc>
          <w:tcPr>
            <w:tcW w:w="1891"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0</w:t>
            </w:r>
          </w:p>
        </w:tc>
        <w:tc>
          <w:tcPr>
            <w:tcW w:w="1903"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100</w:t>
            </w:r>
          </w:p>
        </w:tc>
        <w:tc>
          <w:tcPr>
            <w:tcW w:w="112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100</w:t>
            </w:r>
          </w:p>
        </w:tc>
      </w:tr>
      <w:tr w:rsidR="00052C04" w:rsidRPr="00052C04" w:rsidTr="00052C04">
        <w:trPr>
          <w:trHeight w:val="319"/>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blaZ</w:t>
            </w:r>
          </w:p>
        </w:tc>
        <w:tc>
          <w:tcPr>
            <w:tcW w:w="97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40</w:t>
            </w:r>
          </w:p>
        </w:tc>
        <w:tc>
          <w:tcPr>
            <w:tcW w:w="116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37</w:t>
            </w:r>
          </w:p>
        </w:tc>
        <w:tc>
          <w:tcPr>
            <w:tcW w:w="0" w:type="auto"/>
            <w:tcBorders>
              <w:top w:val="nil"/>
              <w:left w:val="nil"/>
              <w:bottom w:val="single" w:sz="4" w:space="0" w:color="auto"/>
              <w:right w:val="single" w:sz="4" w:space="0" w:color="auto"/>
            </w:tcBorders>
            <w:shd w:val="clear" w:color="auto" w:fill="auto"/>
            <w:vAlign w:val="center"/>
            <w:hideMark/>
          </w:tcPr>
          <w:p w:rsidR="00052C04" w:rsidRPr="00052C04" w:rsidRDefault="00052C04" w:rsidP="00052C04">
            <w:pPr>
              <w:jc w:val="center"/>
            </w:pPr>
            <w:r w:rsidRPr="00052C04">
              <w:t>3 (blaZ+, но чувствительны)</w:t>
            </w:r>
          </w:p>
        </w:tc>
        <w:tc>
          <w:tcPr>
            <w:tcW w:w="1891" w:type="dxa"/>
            <w:tcBorders>
              <w:top w:val="nil"/>
              <w:left w:val="nil"/>
              <w:bottom w:val="single" w:sz="4" w:space="0" w:color="auto"/>
              <w:right w:val="single" w:sz="4" w:space="0" w:color="auto"/>
            </w:tcBorders>
            <w:shd w:val="clear" w:color="auto" w:fill="auto"/>
            <w:vAlign w:val="center"/>
            <w:hideMark/>
          </w:tcPr>
          <w:p w:rsidR="00052C04" w:rsidRPr="00052C04" w:rsidRDefault="00052C04" w:rsidP="00052C04">
            <w:pPr>
              <w:jc w:val="center"/>
            </w:pPr>
            <w:r w:rsidRPr="00052C04">
              <w:t>9 (blaZ-, но устойчивы)</w:t>
            </w:r>
          </w:p>
        </w:tc>
        <w:tc>
          <w:tcPr>
            <w:tcW w:w="1903"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80,4</w:t>
            </w:r>
          </w:p>
        </w:tc>
        <w:tc>
          <w:tcPr>
            <w:tcW w:w="112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92,7</w:t>
            </w:r>
          </w:p>
        </w:tc>
      </w:tr>
      <w:tr w:rsidR="00052C04" w:rsidRPr="00052C04" w:rsidTr="00052C04">
        <w:trPr>
          <w:trHeight w:val="199"/>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ermC</w:t>
            </w:r>
          </w:p>
        </w:tc>
        <w:tc>
          <w:tcPr>
            <w:tcW w:w="97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67</w:t>
            </w:r>
          </w:p>
        </w:tc>
        <w:tc>
          <w:tcPr>
            <w:tcW w:w="116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53</w:t>
            </w:r>
          </w:p>
        </w:tc>
        <w:tc>
          <w:tcPr>
            <w:tcW w:w="0" w:type="auto"/>
            <w:tcBorders>
              <w:top w:val="nil"/>
              <w:left w:val="nil"/>
              <w:bottom w:val="single" w:sz="4" w:space="0" w:color="auto"/>
              <w:right w:val="single" w:sz="4" w:space="0" w:color="auto"/>
            </w:tcBorders>
            <w:shd w:val="clear" w:color="auto" w:fill="auto"/>
            <w:vAlign w:val="center"/>
            <w:hideMark/>
          </w:tcPr>
          <w:p w:rsidR="00052C04" w:rsidRPr="00052C04" w:rsidRDefault="00052C04" w:rsidP="00052C04">
            <w:pPr>
              <w:jc w:val="center"/>
            </w:pPr>
            <w:r w:rsidRPr="00052C04">
              <w:t>14 (ermC+, но чувствительны)</w:t>
            </w:r>
          </w:p>
        </w:tc>
        <w:tc>
          <w:tcPr>
            <w:tcW w:w="1891" w:type="dxa"/>
            <w:tcBorders>
              <w:top w:val="nil"/>
              <w:left w:val="nil"/>
              <w:bottom w:val="single" w:sz="4" w:space="0" w:color="auto"/>
              <w:right w:val="single" w:sz="4" w:space="0" w:color="auto"/>
            </w:tcBorders>
            <w:shd w:val="clear" w:color="auto" w:fill="auto"/>
            <w:vAlign w:val="center"/>
            <w:hideMark/>
          </w:tcPr>
          <w:p w:rsidR="00052C04" w:rsidRPr="00052C04" w:rsidRDefault="00052C04" w:rsidP="00052C04">
            <w:pPr>
              <w:jc w:val="center"/>
            </w:pPr>
            <w:r w:rsidRPr="00052C04">
              <w:t>12 (ermC-, но устойчивы)</w:t>
            </w:r>
          </w:p>
        </w:tc>
        <w:tc>
          <w:tcPr>
            <w:tcW w:w="1903"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81,5</w:t>
            </w:r>
          </w:p>
        </w:tc>
        <w:tc>
          <w:tcPr>
            <w:tcW w:w="112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36,4</w:t>
            </w:r>
          </w:p>
        </w:tc>
      </w:tr>
      <w:tr w:rsidR="00052C04" w:rsidRPr="00052C04" w:rsidTr="00052C04">
        <w:trPr>
          <w:trHeight w:val="349"/>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tetK</w:t>
            </w:r>
          </w:p>
        </w:tc>
        <w:tc>
          <w:tcPr>
            <w:tcW w:w="97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73</w:t>
            </w:r>
          </w:p>
        </w:tc>
        <w:tc>
          <w:tcPr>
            <w:tcW w:w="116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83</w:t>
            </w:r>
          </w:p>
        </w:tc>
        <w:tc>
          <w:tcPr>
            <w:tcW w:w="0" w:type="auto"/>
            <w:tcBorders>
              <w:top w:val="nil"/>
              <w:left w:val="nil"/>
              <w:bottom w:val="single" w:sz="4" w:space="0" w:color="auto"/>
              <w:right w:val="single" w:sz="4" w:space="0" w:color="auto"/>
            </w:tcBorders>
            <w:shd w:val="clear" w:color="auto" w:fill="auto"/>
            <w:vAlign w:val="center"/>
            <w:hideMark/>
          </w:tcPr>
          <w:p w:rsidR="00052C04" w:rsidRPr="00052C04" w:rsidRDefault="00052C04" w:rsidP="00052C04">
            <w:pPr>
              <w:jc w:val="center"/>
            </w:pPr>
            <w:r w:rsidRPr="00052C04">
              <w:t>0</w:t>
            </w:r>
          </w:p>
        </w:tc>
        <w:tc>
          <w:tcPr>
            <w:tcW w:w="1891" w:type="dxa"/>
            <w:tcBorders>
              <w:top w:val="nil"/>
              <w:left w:val="nil"/>
              <w:bottom w:val="single" w:sz="4" w:space="0" w:color="auto"/>
              <w:right w:val="single" w:sz="4" w:space="0" w:color="auto"/>
            </w:tcBorders>
            <w:shd w:val="clear" w:color="auto" w:fill="auto"/>
            <w:vAlign w:val="center"/>
            <w:hideMark/>
          </w:tcPr>
          <w:p w:rsidR="00052C04" w:rsidRPr="00052C04" w:rsidRDefault="00052C04" w:rsidP="00052C04">
            <w:pPr>
              <w:jc w:val="center"/>
            </w:pPr>
            <w:r w:rsidRPr="00052C04">
              <w:t>10 (tetK-, но устойчивы)</w:t>
            </w:r>
          </w:p>
        </w:tc>
        <w:tc>
          <w:tcPr>
            <w:tcW w:w="1903"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88</w:t>
            </w:r>
          </w:p>
        </w:tc>
        <w:tc>
          <w:tcPr>
            <w:tcW w:w="1128" w:type="dxa"/>
            <w:tcBorders>
              <w:top w:val="nil"/>
              <w:left w:val="nil"/>
              <w:bottom w:val="single" w:sz="4" w:space="0" w:color="auto"/>
              <w:right w:val="single" w:sz="4" w:space="0" w:color="auto"/>
            </w:tcBorders>
            <w:shd w:val="clear" w:color="000000" w:fill="FFFFFF"/>
            <w:vAlign w:val="center"/>
            <w:hideMark/>
          </w:tcPr>
          <w:p w:rsidR="00052C04" w:rsidRPr="00052C04" w:rsidRDefault="00052C04" w:rsidP="00052C04">
            <w:pPr>
              <w:jc w:val="center"/>
            </w:pPr>
            <w:r w:rsidRPr="00052C04">
              <w:t>100</w:t>
            </w:r>
          </w:p>
        </w:tc>
      </w:tr>
    </w:tbl>
    <w:p w:rsidR="00052C04" w:rsidRDefault="00052C04" w:rsidP="00F34F69">
      <w:pPr>
        <w:rPr>
          <w:sz w:val="28"/>
        </w:rPr>
      </w:pPr>
    </w:p>
    <w:p w:rsidR="00F34F69" w:rsidRDefault="00F34F69" w:rsidP="00B832C8">
      <w:pPr>
        <w:ind w:firstLine="709"/>
        <w:rPr>
          <w:sz w:val="28"/>
        </w:rPr>
      </w:pPr>
      <w:r w:rsidRPr="00F34F69">
        <w:rPr>
          <w:sz w:val="28"/>
        </w:rPr>
        <w:t xml:space="preserve">Как видно из таблицы, все 87 изолятов </w:t>
      </w:r>
      <w:r w:rsidR="007A7888" w:rsidRPr="007A7888">
        <w:rPr>
          <w:i/>
          <w:sz w:val="28"/>
        </w:rPr>
        <w:t>S. aureus</w:t>
      </w:r>
      <w:r w:rsidRPr="00F34F69">
        <w:rPr>
          <w:sz w:val="28"/>
        </w:rPr>
        <w:t xml:space="preserve"> </w:t>
      </w:r>
      <w:r w:rsidR="00616EA8">
        <w:rPr>
          <w:sz w:val="28"/>
        </w:rPr>
        <w:t xml:space="preserve">(100%) </w:t>
      </w:r>
      <w:r w:rsidRPr="00F34F69">
        <w:rPr>
          <w:sz w:val="28"/>
        </w:rPr>
        <w:t>показали положительный результат на присутствие специфического для золотистого стафилококка гена, кодирующего фермент термостабильной нуклеазы (nuc). 40 (46,0%) изолятов оказались положительными в отношении гена blaZ, кодирующего бета-лактамазу. 67 (77%) имели ген ermC, кодирующий метилтрансферазу. У 73 (83,9%) изолятов присутствовал ген TetK, кодирующий тетрациклин-специфическую эффлюкс-помпу. Общие данные устойчивости к АБП в разрезе выявления генов резистентности представлены в рисунке 58.</w:t>
      </w:r>
    </w:p>
    <w:p w:rsidR="00F34F69" w:rsidRDefault="00F34F69" w:rsidP="00F34F69">
      <w:pPr>
        <w:rPr>
          <w:sz w:val="28"/>
        </w:rPr>
      </w:pPr>
    </w:p>
    <w:p w:rsidR="00F34F69" w:rsidRPr="00F34F69" w:rsidRDefault="00F34F69" w:rsidP="00B832C8">
      <w:pPr>
        <w:jc w:val="center"/>
        <w:rPr>
          <w:sz w:val="28"/>
        </w:rPr>
      </w:pPr>
      <w:r w:rsidRPr="00F34F69">
        <w:rPr>
          <w:noProof/>
          <w:sz w:val="28"/>
          <w:lang w:eastAsia="ru-RU"/>
        </w:rPr>
        <w:drawing>
          <wp:inline distT="0" distB="0" distL="0" distR="0" wp14:anchorId="7AE00BBB" wp14:editId="002F0F55">
            <wp:extent cx="4675632" cy="26974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4774921" cy="2754762"/>
                    </a:xfrm>
                    <a:prstGeom prst="rect">
                      <a:avLst/>
                    </a:prstGeom>
                  </pic:spPr>
                </pic:pic>
              </a:graphicData>
            </a:graphic>
          </wp:inline>
        </w:drawing>
      </w:r>
    </w:p>
    <w:p w:rsidR="00F34F69" w:rsidRPr="00F34F69" w:rsidRDefault="00F34F69" w:rsidP="00B832C8">
      <w:pPr>
        <w:jc w:val="center"/>
        <w:rPr>
          <w:sz w:val="28"/>
        </w:rPr>
      </w:pPr>
      <w:r w:rsidRPr="00F34F69">
        <w:rPr>
          <w:sz w:val="28"/>
        </w:rPr>
        <w:t>Рисунок 58 – Общие данные устойчивости к АБП в разрезе выявления генов резистентности</w:t>
      </w:r>
    </w:p>
    <w:p w:rsidR="00F34F69" w:rsidRPr="00F34F69" w:rsidRDefault="00F34F69" w:rsidP="00F34F69">
      <w:pPr>
        <w:rPr>
          <w:sz w:val="28"/>
        </w:rPr>
      </w:pPr>
    </w:p>
    <w:p w:rsidR="00F34F69" w:rsidRPr="00FE1507" w:rsidRDefault="00F34F69" w:rsidP="00B832C8">
      <w:pPr>
        <w:ind w:firstLine="709"/>
        <w:rPr>
          <w:sz w:val="28"/>
        </w:rPr>
      </w:pPr>
      <w:r w:rsidRPr="00FE1507">
        <w:rPr>
          <w:sz w:val="28"/>
        </w:rPr>
        <w:lastRenderedPageBreak/>
        <w:t>3.</w:t>
      </w:r>
      <w:r w:rsidR="00E1739C">
        <w:rPr>
          <w:sz w:val="28"/>
        </w:rPr>
        <w:t>4</w:t>
      </w:r>
      <w:r w:rsidRPr="00FE1507">
        <w:rPr>
          <w:sz w:val="28"/>
        </w:rPr>
        <w:t>.</w:t>
      </w:r>
      <w:r w:rsidR="00C619F6">
        <w:rPr>
          <w:sz w:val="28"/>
        </w:rPr>
        <w:t>2</w:t>
      </w:r>
      <w:r w:rsidRPr="00FE1507">
        <w:rPr>
          <w:sz w:val="28"/>
        </w:rPr>
        <w:t xml:space="preserve"> Проведение оценки согласованности фенотипических и генотипических методов идентификации</w:t>
      </w:r>
    </w:p>
    <w:p w:rsidR="00F34F69" w:rsidRDefault="00F34F69" w:rsidP="00B832C8">
      <w:pPr>
        <w:ind w:firstLine="709"/>
        <w:rPr>
          <w:sz w:val="28"/>
        </w:rPr>
      </w:pPr>
      <w:r w:rsidRPr="00F34F69">
        <w:rPr>
          <w:sz w:val="28"/>
        </w:rPr>
        <w:t xml:space="preserve">Среди всех 87 фенотипически выявленных изолятов </w:t>
      </w:r>
      <w:r w:rsidR="007A7888" w:rsidRPr="007A7888">
        <w:rPr>
          <w:i/>
          <w:sz w:val="28"/>
        </w:rPr>
        <w:t>S. aureus</w:t>
      </w:r>
      <w:r w:rsidRPr="00F34F69">
        <w:rPr>
          <w:sz w:val="28"/>
        </w:rPr>
        <w:t>, ген термонуклеазы nuc, был выявлен в 100% случаев, таким образом диагностическая чувствительность разработанного метода РТ-ПЦР по гену nuc составила 100%, специфичность – 100%, PPV – 100%, NPV – 100%, а коэффициент Каппа – 1, что указывает на идеальное согласие между методами исследования</w:t>
      </w:r>
      <w:r w:rsidR="007D5D2F">
        <w:rPr>
          <w:sz w:val="28"/>
        </w:rPr>
        <w:t xml:space="preserve"> </w:t>
      </w:r>
      <w:r w:rsidR="007C01B1" w:rsidRPr="007C01B1">
        <w:rPr>
          <w:sz w:val="28"/>
        </w:rPr>
        <w:t>и согласуется c другими исследованиями в данной области, где ген nuc р</w:t>
      </w:r>
      <w:r w:rsidR="007C01B1">
        <w:rPr>
          <w:sz w:val="28"/>
        </w:rPr>
        <w:t>е</w:t>
      </w:r>
      <w:r w:rsidR="007C01B1" w:rsidRPr="007C01B1">
        <w:rPr>
          <w:sz w:val="28"/>
        </w:rPr>
        <w:t xml:space="preserve">комендуется использовать для обнаружения </w:t>
      </w:r>
      <w:r w:rsidR="007C01B1" w:rsidRPr="007C01B1">
        <w:rPr>
          <w:i/>
          <w:sz w:val="28"/>
        </w:rPr>
        <w:t>S. aureus</w:t>
      </w:r>
      <w:r w:rsidR="007C01B1" w:rsidRPr="007C01B1">
        <w:rPr>
          <w:sz w:val="28"/>
        </w:rPr>
        <w:t xml:space="preserve"> </w:t>
      </w:r>
      <w:r w:rsidR="007D5D2F">
        <w:rPr>
          <w:sz w:val="28"/>
        </w:rPr>
        <w:t>(таблица 29, рисунок 59)</w:t>
      </w:r>
      <w:r w:rsidR="007C01B1" w:rsidRPr="007C01B1">
        <w:rPr>
          <w:sz w:val="28"/>
        </w:rPr>
        <w:t xml:space="preserve"> [200</w:t>
      </w:r>
      <w:r w:rsidR="00057D24">
        <w:rPr>
          <w:sz w:val="28"/>
        </w:rPr>
        <w:t>, с. 1</w:t>
      </w:r>
      <w:r w:rsidR="007C01B1" w:rsidRPr="007C01B1">
        <w:rPr>
          <w:sz w:val="28"/>
        </w:rPr>
        <w:t>]</w:t>
      </w:r>
      <w:r w:rsidRPr="00F34F69">
        <w:rPr>
          <w:sz w:val="28"/>
        </w:rPr>
        <w:t>.</w:t>
      </w:r>
    </w:p>
    <w:p w:rsidR="007D5D2F" w:rsidRDefault="007D5D2F" w:rsidP="00B832C8">
      <w:pPr>
        <w:ind w:firstLine="709"/>
        <w:rPr>
          <w:sz w:val="28"/>
        </w:rPr>
      </w:pPr>
    </w:p>
    <w:p w:rsidR="007D5D2F" w:rsidRDefault="007D5D2F" w:rsidP="007D5D2F">
      <w:pPr>
        <w:rPr>
          <w:sz w:val="28"/>
        </w:rPr>
      </w:pPr>
      <w:r w:rsidRPr="00F34F69">
        <w:rPr>
          <w:sz w:val="28"/>
        </w:rPr>
        <w:t>Таблица 29 – Сравнение ПЦР с фенотипическими методами исследования</w:t>
      </w:r>
    </w:p>
    <w:tbl>
      <w:tblPr>
        <w:tblStyle w:val="a3"/>
        <w:tblW w:w="5000" w:type="pct"/>
        <w:tblLook w:val="04A0" w:firstRow="1" w:lastRow="0" w:firstColumn="1" w:lastColumn="0" w:noHBand="0" w:noVBand="1"/>
      </w:tblPr>
      <w:tblGrid>
        <w:gridCol w:w="771"/>
        <w:gridCol w:w="4076"/>
        <w:gridCol w:w="1062"/>
        <w:gridCol w:w="1315"/>
        <w:gridCol w:w="1315"/>
        <w:gridCol w:w="1315"/>
      </w:tblGrid>
      <w:tr w:rsidR="007D5D2F" w:rsidRPr="00F34F69" w:rsidTr="00060504">
        <w:tc>
          <w:tcPr>
            <w:tcW w:w="391" w:type="pct"/>
          </w:tcPr>
          <w:p w:rsidR="007D5D2F" w:rsidRPr="00F34F69" w:rsidRDefault="007D5D2F" w:rsidP="00060504">
            <w:pPr>
              <w:rPr>
                <w:sz w:val="28"/>
              </w:rPr>
            </w:pPr>
            <w:r w:rsidRPr="00F34F69">
              <w:rPr>
                <w:sz w:val="28"/>
              </w:rPr>
              <w:t>n</w:t>
            </w:r>
          </w:p>
        </w:tc>
        <w:tc>
          <w:tcPr>
            <w:tcW w:w="2068" w:type="pct"/>
          </w:tcPr>
          <w:p w:rsidR="007D5D2F" w:rsidRPr="00F34F69" w:rsidRDefault="007D5D2F" w:rsidP="00060504">
            <w:pPr>
              <w:rPr>
                <w:sz w:val="28"/>
              </w:rPr>
            </w:pPr>
            <w:r w:rsidRPr="00F34F69">
              <w:rPr>
                <w:sz w:val="28"/>
              </w:rPr>
              <w:t>Показатели</w:t>
            </w:r>
          </w:p>
        </w:tc>
        <w:tc>
          <w:tcPr>
            <w:tcW w:w="539" w:type="pct"/>
          </w:tcPr>
          <w:p w:rsidR="007D5D2F" w:rsidRPr="00F34F69" w:rsidRDefault="007D5D2F" w:rsidP="00060504">
            <w:pPr>
              <w:rPr>
                <w:sz w:val="28"/>
              </w:rPr>
            </w:pPr>
            <w:r w:rsidRPr="00F34F69">
              <w:rPr>
                <w:sz w:val="28"/>
              </w:rPr>
              <w:t>Nuc</w:t>
            </w:r>
          </w:p>
        </w:tc>
        <w:tc>
          <w:tcPr>
            <w:tcW w:w="667" w:type="pct"/>
          </w:tcPr>
          <w:p w:rsidR="007D5D2F" w:rsidRPr="00F34F69" w:rsidRDefault="007D5D2F" w:rsidP="00060504">
            <w:pPr>
              <w:rPr>
                <w:sz w:val="28"/>
              </w:rPr>
            </w:pPr>
            <w:r w:rsidRPr="00F34F69">
              <w:rPr>
                <w:sz w:val="28"/>
              </w:rPr>
              <w:t>blaZ</w:t>
            </w:r>
          </w:p>
        </w:tc>
        <w:tc>
          <w:tcPr>
            <w:tcW w:w="667" w:type="pct"/>
          </w:tcPr>
          <w:p w:rsidR="007D5D2F" w:rsidRPr="00F34F69" w:rsidRDefault="007D5D2F" w:rsidP="00060504">
            <w:pPr>
              <w:rPr>
                <w:sz w:val="28"/>
              </w:rPr>
            </w:pPr>
            <w:r w:rsidRPr="00F34F69">
              <w:rPr>
                <w:sz w:val="28"/>
              </w:rPr>
              <w:t>ermC</w:t>
            </w:r>
          </w:p>
        </w:tc>
        <w:tc>
          <w:tcPr>
            <w:tcW w:w="667" w:type="pct"/>
          </w:tcPr>
          <w:p w:rsidR="007D5D2F" w:rsidRPr="00F34F69" w:rsidRDefault="007D5D2F" w:rsidP="00060504">
            <w:pPr>
              <w:rPr>
                <w:sz w:val="28"/>
              </w:rPr>
            </w:pPr>
            <w:r w:rsidRPr="00F34F69">
              <w:rPr>
                <w:sz w:val="28"/>
              </w:rPr>
              <w:t>TetK</w:t>
            </w:r>
          </w:p>
        </w:tc>
      </w:tr>
      <w:tr w:rsidR="007D5D2F" w:rsidRPr="00F34F69" w:rsidTr="00060504">
        <w:tc>
          <w:tcPr>
            <w:tcW w:w="391" w:type="pct"/>
            <w:vMerge w:val="restart"/>
            <w:vAlign w:val="center"/>
          </w:tcPr>
          <w:p w:rsidR="007D5D2F" w:rsidRPr="00F34F69" w:rsidRDefault="007D5D2F" w:rsidP="00060504">
            <w:pPr>
              <w:rPr>
                <w:sz w:val="28"/>
              </w:rPr>
            </w:pPr>
            <w:r w:rsidRPr="00F34F69">
              <w:rPr>
                <w:sz w:val="28"/>
              </w:rPr>
              <w:t>87</w:t>
            </w:r>
          </w:p>
        </w:tc>
        <w:tc>
          <w:tcPr>
            <w:tcW w:w="2068" w:type="pct"/>
          </w:tcPr>
          <w:p w:rsidR="007D5D2F" w:rsidRPr="00F34F69" w:rsidRDefault="007D5D2F" w:rsidP="00060504">
            <w:pPr>
              <w:rPr>
                <w:sz w:val="28"/>
              </w:rPr>
            </w:pPr>
            <w:r w:rsidRPr="00F34F69">
              <w:rPr>
                <w:sz w:val="28"/>
              </w:rPr>
              <w:t>Чувствительность, %</w:t>
            </w:r>
          </w:p>
        </w:tc>
        <w:tc>
          <w:tcPr>
            <w:tcW w:w="539" w:type="pct"/>
            <w:vAlign w:val="center"/>
          </w:tcPr>
          <w:p w:rsidR="007D5D2F" w:rsidRPr="00F34F69" w:rsidRDefault="007D5D2F" w:rsidP="00060504">
            <w:pPr>
              <w:rPr>
                <w:sz w:val="28"/>
              </w:rPr>
            </w:pPr>
            <w:r w:rsidRPr="00F34F69">
              <w:rPr>
                <w:sz w:val="28"/>
              </w:rPr>
              <w:t>100</w:t>
            </w:r>
          </w:p>
        </w:tc>
        <w:tc>
          <w:tcPr>
            <w:tcW w:w="667" w:type="pct"/>
            <w:vAlign w:val="center"/>
          </w:tcPr>
          <w:p w:rsidR="007D5D2F" w:rsidRPr="00F34F69" w:rsidRDefault="007D5D2F" w:rsidP="00060504">
            <w:pPr>
              <w:rPr>
                <w:sz w:val="28"/>
              </w:rPr>
            </w:pPr>
            <w:r w:rsidRPr="00F34F69">
              <w:rPr>
                <w:sz w:val="28"/>
              </w:rPr>
              <w:t>80,43</w:t>
            </w:r>
          </w:p>
        </w:tc>
        <w:tc>
          <w:tcPr>
            <w:tcW w:w="667" w:type="pct"/>
            <w:vAlign w:val="center"/>
          </w:tcPr>
          <w:p w:rsidR="007D5D2F" w:rsidRPr="00F34F69" w:rsidRDefault="007D5D2F" w:rsidP="00060504">
            <w:pPr>
              <w:rPr>
                <w:sz w:val="28"/>
              </w:rPr>
            </w:pPr>
            <w:r w:rsidRPr="00F34F69">
              <w:rPr>
                <w:sz w:val="28"/>
              </w:rPr>
              <w:t>81,54</w:t>
            </w:r>
          </w:p>
        </w:tc>
        <w:tc>
          <w:tcPr>
            <w:tcW w:w="667" w:type="pct"/>
            <w:vAlign w:val="center"/>
          </w:tcPr>
          <w:p w:rsidR="007D5D2F" w:rsidRPr="00F34F69" w:rsidRDefault="007D5D2F" w:rsidP="00060504">
            <w:pPr>
              <w:rPr>
                <w:sz w:val="28"/>
              </w:rPr>
            </w:pPr>
            <w:r w:rsidRPr="00F34F69">
              <w:rPr>
                <w:sz w:val="28"/>
              </w:rPr>
              <w:t>87,95</w:t>
            </w:r>
          </w:p>
        </w:tc>
      </w:tr>
      <w:tr w:rsidR="007D5D2F" w:rsidRPr="00F34F69" w:rsidTr="00060504">
        <w:tc>
          <w:tcPr>
            <w:tcW w:w="391" w:type="pct"/>
            <w:vMerge/>
          </w:tcPr>
          <w:p w:rsidR="007D5D2F" w:rsidRPr="00F34F69" w:rsidRDefault="007D5D2F" w:rsidP="00060504">
            <w:pPr>
              <w:rPr>
                <w:sz w:val="28"/>
              </w:rPr>
            </w:pPr>
          </w:p>
        </w:tc>
        <w:tc>
          <w:tcPr>
            <w:tcW w:w="2068" w:type="pct"/>
          </w:tcPr>
          <w:p w:rsidR="007D5D2F" w:rsidRPr="00F34F69" w:rsidRDefault="007D5D2F" w:rsidP="00060504">
            <w:pPr>
              <w:rPr>
                <w:sz w:val="28"/>
              </w:rPr>
            </w:pPr>
            <w:r w:rsidRPr="00F34F69">
              <w:rPr>
                <w:sz w:val="28"/>
              </w:rPr>
              <w:t>Специфичность, %</w:t>
            </w:r>
          </w:p>
        </w:tc>
        <w:tc>
          <w:tcPr>
            <w:tcW w:w="539" w:type="pct"/>
            <w:vAlign w:val="center"/>
          </w:tcPr>
          <w:p w:rsidR="007D5D2F" w:rsidRPr="00F34F69" w:rsidRDefault="007D5D2F" w:rsidP="00060504">
            <w:pPr>
              <w:rPr>
                <w:sz w:val="28"/>
              </w:rPr>
            </w:pPr>
            <w:r w:rsidRPr="00F34F69">
              <w:rPr>
                <w:sz w:val="28"/>
              </w:rPr>
              <w:t>100</w:t>
            </w:r>
          </w:p>
        </w:tc>
        <w:tc>
          <w:tcPr>
            <w:tcW w:w="667" w:type="pct"/>
            <w:vAlign w:val="center"/>
          </w:tcPr>
          <w:p w:rsidR="007D5D2F" w:rsidRPr="00F34F69" w:rsidRDefault="007D5D2F" w:rsidP="00060504">
            <w:pPr>
              <w:rPr>
                <w:sz w:val="28"/>
              </w:rPr>
            </w:pPr>
            <w:r w:rsidRPr="00F34F69">
              <w:rPr>
                <w:sz w:val="28"/>
              </w:rPr>
              <w:t>92,68</w:t>
            </w:r>
          </w:p>
        </w:tc>
        <w:tc>
          <w:tcPr>
            <w:tcW w:w="667" w:type="pct"/>
            <w:vAlign w:val="center"/>
          </w:tcPr>
          <w:p w:rsidR="007D5D2F" w:rsidRPr="00F34F69" w:rsidRDefault="007D5D2F" w:rsidP="00060504">
            <w:pPr>
              <w:rPr>
                <w:sz w:val="28"/>
              </w:rPr>
            </w:pPr>
            <w:r w:rsidRPr="00F34F69">
              <w:rPr>
                <w:sz w:val="28"/>
              </w:rPr>
              <w:t>36,36</w:t>
            </w:r>
          </w:p>
        </w:tc>
        <w:tc>
          <w:tcPr>
            <w:tcW w:w="667" w:type="pct"/>
            <w:vAlign w:val="center"/>
          </w:tcPr>
          <w:p w:rsidR="007D5D2F" w:rsidRPr="00F34F69" w:rsidRDefault="007D5D2F" w:rsidP="00060504">
            <w:pPr>
              <w:rPr>
                <w:sz w:val="28"/>
              </w:rPr>
            </w:pPr>
            <w:r w:rsidRPr="00F34F69">
              <w:rPr>
                <w:sz w:val="28"/>
              </w:rPr>
              <w:t>100</w:t>
            </w:r>
          </w:p>
        </w:tc>
      </w:tr>
      <w:tr w:rsidR="007D5D2F" w:rsidRPr="00F34F69" w:rsidTr="00060504">
        <w:tc>
          <w:tcPr>
            <w:tcW w:w="391" w:type="pct"/>
            <w:vMerge/>
          </w:tcPr>
          <w:p w:rsidR="007D5D2F" w:rsidRPr="00F34F69" w:rsidRDefault="007D5D2F" w:rsidP="00060504">
            <w:pPr>
              <w:rPr>
                <w:sz w:val="28"/>
              </w:rPr>
            </w:pPr>
          </w:p>
        </w:tc>
        <w:tc>
          <w:tcPr>
            <w:tcW w:w="2068" w:type="pct"/>
          </w:tcPr>
          <w:p w:rsidR="007D5D2F" w:rsidRPr="00F34F69" w:rsidRDefault="007D5D2F" w:rsidP="00060504">
            <w:pPr>
              <w:rPr>
                <w:sz w:val="28"/>
              </w:rPr>
            </w:pPr>
            <w:r w:rsidRPr="00F34F69">
              <w:rPr>
                <w:sz w:val="28"/>
              </w:rPr>
              <w:t>PPV, %</w:t>
            </w:r>
          </w:p>
        </w:tc>
        <w:tc>
          <w:tcPr>
            <w:tcW w:w="539" w:type="pct"/>
            <w:vAlign w:val="center"/>
          </w:tcPr>
          <w:p w:rsidR="007D5D2F" w:rsidRPr="00F34F69" w:rsidRDefault="007D5D2F" w:rsidP="00060504">
            <w:pPr>
              <w:rPr>
                <w:sz w:val="28"/>
              </w:rPr>
            </w:pPr>
            <w:r w:rsidRPr="00F34F69">
              <w:rPr>
                <w:sz w:val="28"/>
              </w:rPr>
              <w:t>100</w:t>
            </w:r>
          </w:p>
        </w:tc>
        <w:tc>
          <w:tcPr>
            <w:tcW w:w="667" w:type="pct"/>
            <w:vAlign w:val="center"/>
          </w:tcPr>
          <w:p w:rsidR="007D5D2F" w:rsidRPr="00F34F69" w:rsidRDefault="007D5D2F" w:rsidP="00060504">
            <w:pPr>
              <w:rPr>
                <w:sz w:val="28"/>
              </w:rPr>
            </w:pPr>
            <w:r w:rsidRPr="00F34F69">
              <w:rPr>
                <w:sz w:val="28"/>
              </w:rPr>
              <w:t>92,50</w:t>
            </w:r>
          </w:p>
        </w:tc>
        <w:tc>
          <w:tcPr>
            <w:tcW w:w="667" w:type="pct"/>
            <w:vAlign w:val="center"/>
          </w:tcPr>
          <w:p w:rsidR="007D5D2F" w:rsidRPr="00F34F69" w:rsidRDefault="007D5D2F" w:rsidP="00060504">
            <w:pPr>
              <w:rPr>
                <w:sz w:val="28"/>
              </w:rPr>
            </w:pPr>
            <w:r w:rsidRPr="00F34F69">
              <w:rPr>
                <w:sz w:val="28"/>
              </w:rPr>
              <w:t>79,1</w:t>
            </w:r>
          </w:p>
        </w:tc>
        <w:tc>
          <w:tcPr>
            <w:tcW w:w="667" w:type="pct"/>
            <w:vAlign w:val="center"/>
          </w:tcPr>
          <w:p w:rsidR="007D5D2F" w:rsidRPr="00F34F69" w:rsidRDefault="007D5D2F" w:rsidP="00060504">
            <w:pPr>
              <w:rPr>
                <w:sz w:val="28"/>
              </w:rPr>
            </w:pPr>
            <w:r w:rsidRPr="00F34F69">
              <w:rPr>
                <w:sz w:val="28"/>
              </w:rPr>
              <w:t>100</w:t>
            </w:r>
          </w:p>
        </w:tc>
      </w:tr>
      <w:tr w:rsidR="007D5D2F" w:rsidRPr="00F34F69" w:rsidTr="00060504">
        <w:tc>
          <w:tcPr>
            <w:tcW w:w="391" w:type="pct"/>
            <w:vMerge/>
          </w:tcPr>
          <w:p w:rsidR="007D5D2F" w:rsidRPr="00F34F69" w:rsidRDefault="007D5D2F" w:rsidP="00060504">
            <w:pPr>
              <w:rPr>
                <w:sz w:val="28"/>
              </w:rPr>
            </w:pPr>
          </w:p>
        </w:tc>
        <w:tc>
          <w:tcPr>
            <w:tcW w:w="2068" w:type="pct"/>
          </w:tcPr>
          <w:p w:rsidR="007D5D2F" w:rsidRPr="00F34F69" w:rsidRDefault="007D5D2F" w:rsidP="00060504">
            <w:pPr>
              <w:rPr>
                <w:sz w:val="28"/>
              </w:rPr>
            </w:pPr>
            <w:r w:rsidRPr="00F34F69">
              <w:rPr>
                <w:sz w:val="28"/>
              </w:rPr>
              <w:t>NPV, %</w:t>
            </w:r>
          </w:p>
        </w:tc>
        <w:tc>
          <w:tcPr>
            <w:tcW w:w="539" w:type="pct"/>
            <w:vAlign w:val="center"/>
          </w:tcPr>
          <w:p w:rsidR="007D5D2F" w:rsidRPr="00F34F69" w:rsidRDefault="007D5D2F" w:rsidP="00060504">
            <w:pPr>
              <w:rPr>
                <w:sz w:val="28"/>
              </w:rPr>
            </w:pPr>
            <w:r w:rsidRPr="00F34F69">
              <w:rPr>
                <w:sz w:val="28"/>
              </w:rPr>
              <w:t>100</w:t>
            </w:r>
          </w:p>
        </w:tc>
        <w:tc>
          <w:tcPr>
            <w:tcW w:w="667" w:type="pct"/>
            <w:vAlign w:val="center"/>
          </w:tcPr>
          <w:p w:rsidR="007D5D2F" w:rsidRPr="00F34F69" w:rsidRDefault="007D5D2F" w:rsidP="00060504">
            <w:pPr>
              <w:rPr>
                <w:sz w:val="28"/>
              </w:rPr>
            </w:pPr>
            <w:r w:rsidRPr="00F34F69">
              <w:rPr>
                <w:sz w:val="28"/>
              </w:rPr>
              <w:t>80,85</w:t>
            </w:r>
          </w:p>
        </w:tc>
        <w:tc>
          <w:tcPr>
            <w:tcW w:w="667" w:type="pct"/>
            <w:vAlign w:val="center"/>
          </w:tcPr>
          <w:p w:rsidR="007D5D2F" w:rsidRPr="00F34F69" w:rsidRDefault="007D5D2F" w:rsidP="00060504">
            <w:pPr>
              <w:rPr>
                <w:sz w:val="28"/>
              </w:rPr>
            </w:pPr>
            <w:r w:rsidRPr="00F34F69">
              <w:rPr>
                <w:sz w:val="28"/>
              </w:rPr>
              <w:t>40</w:t>
            </w:r>
          </w:p>
        </w:tc>
        <w:tc>
          <w:tcPr>
            <w:tcW w:w="667" w:type="pct"/>
            <w:vAlign w:val="center"/>
          </w:tcPr>
          <w:p w:rsidR="007D5D2F" w:rsidRPr="00F34F69" w:rsidRDefault="007D5D2F" w:rsidP="00060504">
            <w:pPr>
              <w:rPr>
                <w:sz w:val="28"/>
              </w:rPr>
            </w:pPr>
            <w:r w:rsidRPr="00F34F69">
              <w:rPr>
                <w:sz w:val="28"/>
              </w:rPr>
              <w:t>28,57</w:t>
            </w:r>
          </w:p>
        </w:tc>
      </w:tr>
      <w:tr w:rsidR="007D5D2F" w:rsidRPr="00F34F69" w:rsidTr="00060504">
        <w:tc>
          <w:tcPr>
            <w:tcW w:w="391" w:type="pct"/>
            <w:vMerge/>
          </w:tcPr>
          <w:p w:rsidR="007D5D2F" w:rsidRPr="00F34F69" w:rsidRDefault="007D5D2F" w:rsidP="00060504">
            <w:pPr>
              <w:rPr>
                <w:sz w:val="28"/>
              </w:rPr>
            </w:pPr>
          </w:p>
        </w:tc>
        <w:tc>
          <w:tcPr>
            <w:tcW w:w="2068" w:type="pct"/>
          </w:tcPr>
          <w:p w:rsidR="007D5D2F" w:rsidRPr="00F34F69" w:rsidRDefault="007D5D2F" w:rsidP="00060504">
            <w:pPr>
              <w:rPr>
                <w:sz w:val="28"/>
              </w:rPr>
            </w:pPr>
            <w:r w:rsidRPr="00F34F69">
              <w:rPr>
                <w:sz w:val="28"/>
              </w:rPr>
              <w:t>Ка</w:t>
            </w:r>
            <w:r>
              <w:rPr>
                <w:sz w:val="28"/>
              </w:rPr>
              <w:t>пп</w:t>
            </w:r>
            <w:r w:rsidRPr="00F34F69">
              <w:rPr>
                <w:sz w:val="28"/>
              </w:rPr>
              <w:t>а коэффициент</w:t>
            </w:r>
          </w:p>
        </w:tc>
        <w:tc>
          <w:tcPr>
            <w:tcW w:w="539" w:type="pct"/>
            <w:vAlign w:val="center"/>
          </w:tcPr>
          <w:p w:rsidR="007D5D2F" w:rsidRPr="00F34F69" w:rsidRDefault="007D5D2F" w:rsidP="00060504">
            <w:pPr>
              <w:rPr>
                <w:sz w:val="28"/>
              </w:rPr>
            </w:pPr>
            <w:r w:rsidRPr="00F34F69">
              <w:rPr>
                <w:sz w:val="28"/>
              </w:rPr>
              <w:t>1</w:t>
            </w:r>
          </w:p>
        </w:tc>
        <w:tc>
          <w:tcPr>
            <w:tcW w:w="667" w:type="pct"/>
            <w:vAlign w:val="center"/>
          </w:tcPr>
          <w:p w:rsidR="007D5D2F" w:rsidRPr="00F34F69" w:rsidRDefault="007D5D2F" w:rsidP="00060504">
            <w:pPr>
              <w:rPr>
                <w:sz w:val="28"/>
              </w:rPr>
            </w:pPr>
            <w:r w:rsidRPr="00F34F69">
              <w:rPr>
                <w:sz w:val="28"/>
              </w:rPr>
              <w:t>0,73</w:t>
            </w:r>
          </w:p>
        </w:tc>
        <w:tc>
          <w:tcPr>
            <w:tcW w:w="667" w:type="pct"/>
            <w:vAlign w:val="center"/>
          </w:tcPr>
          <w:p w:rsidR="007D5D2F" w:rsidRPr="00F34F69" w:rsidRDefault="007D5D2F" w:rsidP="00060504">
            <w:pPr>
              <w:rPr>
                <w:sz w:val="28"/>
              </w:rPr>
            </w:pPr>
            <w:r w:rsidRPr="00F34F69">
              <w:rPr>
                <w:sz w:val="28"/>
              </w:rPr>
              <w:t>0,18</w:t>
            </w:r>
          </w:p>
        </w:tc>
        <w:tc>
          <w:tcPr>
            <w:tcW w:w="667" w:type="pct"/>
            <w:vAlign w:val="center"/>
          </w:tcPr>
          <w:p w:rsidR="007D5D2F" w:rsidRPr="00F34F69" w:rsidRDefault="007D5D2F" w:rsidP="00060504">
            <w:pPr>
              <w:rPr>
                <w:sz w:val="28"/>
              </w:rPr>
            </w:pPr>
            <w:r w:rsidRPr="00F34F69">
              <w:rPr>
                <w:sz w:val="28"/>
              </w:rPr>
              <w:t>0,40</w:t>
            </w:r>
          </w:p>
        </w:tc>
      </w:tr>
    </w:tbl>
    <w:p w:rsidR="007D5D2F" w:rsidRPr="00F34F69" w:rsidRDefault="007D5D2F" w:rsidP="00B832C8">
      <w:pPr>
        <w:ind w:firstLine="709"/>
        <w:rPr>
          <w:sz w:val="28"/>
        </w:rPr>
      </w:pPr>
    </w:p>
    <w:p w:rsidR="00F34F69" w:rsidRPr="00F34F69" w:rsidRDefault="00F34F69" w:rsidP="00B832C8">
      <w:pPr>
        <w:ind w:firstLine="709"/>
        <w:rPr>
          <w:sz w:val="28"/>
        </w:rPr>
      </w:pPr>
      <w:r w:rsidRPr="00F34F69">
        <w:rPr>
          <w:sz w:val="28"/>
        </w:rPr>
        <w:t xml:space="preserve">Ген blaZ, отвечающий за устойчивость к β-лактамным антибиотикам, выявлен у 40 изолятов, из них 37 образцов показали устойчивость к бензилпенициллину, что было подтверждено ДД методом. При этом у 9 изолятов </w:t>
      </w:r>
      <w:r w:rsidR="007A7888" w:rsidRPr="007A7888">
        <w:rPr>
          <w:i/>
          <w:sz w:val="28"/>
        </w:rPr>
        <w:t>S. aureus</w:t>
      </w:r>
      <w:r w:rsidRPr="00F34F69">
        <w:rPr>
          <w:sz w:val="28"/>
        </w:rPr>
        <w:t>, устойчивых к бензилпенициллину, ген blaZ не был обнаружен. 3 изолята положительных по гену blaZ, были чувствительны к указанному антимикробному препарату. Применяя ДД метод в качестве эталона, диагностическая чувствительность РТ-ПЦР по гену blaZ составила 80,43%, специфичность – 92,68%, PPV – 92,50%, NPV – 80,85%, Каппа-коэффициент составил 0,73, что свидетельствует о наличии расхождений в классификации изолятов как чувствительных или резистентных.</w:t>
      </w:r>
      <w:r w:rsidR="00CA3CAF">
        <w:rPr>
          <w:sz w:val="28"/>
        </w:rPr>
        <w:t xml:space="preserve"> </w:t>
      </w:r>
      <w:r w:rsidR="00CA3CAF" w:rsidRPr="00CA3CAF">
        <w:rPr>
          <w:sz w:val="28"/>
        </w:rPr>
        <w:t>Причиной несоответствия может быть наличие альтернативных механизмов устойчивости у изолятов без гена blaZ, либо, наоборот, некорректная интерпретация фенотипа, при которой чувствительные штаммы обладали blaZ и продуцировали β-лактамазу</w:t>
      </w:r>
      <w:r w:rsidR="00CA3CAF">
        <w:rPr>
          <w:sz w:val="28"/>
        </w:rPr>
        <w:t xml:space="preserve"> </w:t>
      </w:r>
      <w:r w:rsidR="00381A60" w:rsidRPr="00381A60">
        <w:rPr>
          <w:sz w:val="28"/>
        </w:rPr>
        <w:t>[413].</w:t>
      </w:r>
    </w:p>
    <w:p w:rsidR="00F34F69" w:rsidRPr="00F34F69" w:rsidRDefault="00F34F69" w:rsidP="00B832C8">
      <w:pPr>
        <w:ind w:firstLine="709"/>
        <w:rPr>
          <w:sz w:val="28"/>
        </w:rPr>
      </w:pPr>
      <w:r w:rsidRPr="00F34F69">
        <w:rPr>
          <w:sz w:val="28"/>
        </w:rPr>
        <w:t xml:space="preserve">Ген ermC, отвечающий за устойчивость к макролидам, определен у 67 изолятов, при этом фенотипическая устойчивость наблюдалась у 53 изолятов: к тилозину – 28, эритромицину – 32. У 12 устойчивых к тилозину изолятов, ген ermC не установлен, </w:t>
      </w:r>
      <w:r w:rsidR="00D44D44">
        <w:rPr>
          <w:sz w:val="28"/>
        </w:rPr>
        <w:t xml:space="preserve">у </w:t>
      </w:r>
      <w:r w:rsidRPr="00F34F69">
        <w:rPr>
          <w:sz w:val="28"/>
        </w:rPr>
        <w:t>14 положительных по гену ermC изолятов, фенотипическая устойчивость к эритромицину отсутствовала. Таким образом имелось статистически значимое различие ПЦР метода по гену ermC с показателями ДД метода. Диагностическая чувствительность РТ-ПЦР по гену ermC – 81,54%, специфичность – 36,36%, PPV – 79,1%, NPV – 40%, Каппа-коэффициент – 0,18. Это свидетельствует о значительных различиях в классификации изолятов как чувствительных или резистентных.</w:t>
      </w:r>
      <w:r w:rsidR="00CA3CAF">
        <w:rPr>
          <w:sz w:val="28"/>
        </w:rPr>
        <w:t xml:space="preserve"> </w:t>
      </w:r>
      <w:r w:rsidR="00CA3CAF" w:rsidRPr="00CA3CAF">
        <w:rPr>
          <w:sz w:val="28"/>
        </w:rPr>
        <w:t xml:space="preserve">Ген ermC </w:t>
      </w:r>
      <w:r w:rsidR="00CA3CAF" w:rsidRPr="00CA3CAF">
        <w:rPr>
          <w:sz w:val="28"/>
        </w:rPr>
        <w:lastRenderedPageBreak/>
        <w:t>продемонстрировал высокую распространённость, что согласуется с данными других исследований, где он также доминировал среди макролид-резистентных изолятов [414]. В то же время у 12 изолятов, устойчивых к тилозину, ermC не был выявлен. Это может свидетельствовать о наличии других генов устойчивости к макролидам, не охваченных данным исследованием, таких как ermA или ermB [415, 416].</w:t>
      </w:r>
    </w:p>
    <w:p w:rsidR="00F34F69" w:rsidRPr="00F34F69" w:rsidRDefault="00F34F69" w:rsidP="00B832C8">
      <w:pPr>
        <w:ind w:firstLine="709"/>
        <w:rPr>
          <w:sz w:val="28"/>
        </w:rPr>
      </w:pPr>
      <w:r w:rsidRPr="00F34F69">
        <w:rPr>
          <w:sz w:val="28"/>
        </w:rPr>
        <w:t>Ген TetK, отвечающий за устойчивость к тетрациклинам, установлен у 73 изолятов обладавших фенотипической устойчивостью к антибиотикам группы тетрациклинов, при чем у 6 изолятов, резистентных к тетрациклину, 4 изолятов резистентных к доксициклину, ген TetK не установлен. Тогда как фенотипическая устойчивость проявлялась у 83 штаммов: 51 штамм к тетрациклину, 50 к доксициклину, из которых 18 имели резистентность к двум антибактериальным препаратам. В сравнении с ДД методом, у РТ-ПЦР по гену TetK диагностическая чувствительность составила 87,95%, специфичность – 100%, PPV – 100%, NPV – 28,57%, Каппа-коэффициент – 0,40. Результаты показывают серьезную фенотипическую резистентность у изолятов и значительные различия между РТ-ПЦР и ДД методами в определении изолятов как чувствительных или резистентных.</w:t>
      </w:r>
      <w:r w:rsidR="001E740C">
        <w:rPr>
          <w:sz w:val="28"/>
        </w:rPr>
        <w:t xml:space="preserve"> </w:t>
      </w:r>
      <w:r w:rsidR="001E740C" w:rsidRPr="001E740C">
        <w:rPr>
          <w:sz w:val="28"/>
        </w:rPr>
        <w:t>Устойчивость к тетрациклинам может также быть обусловлена другими генетическими детерминантами, не охваченными в данном исследовании, такими как tetL, tetM и tetO [417].</w:t>
      </w:r>
    </w:p>
    <w:p w:rsidR="00F34F69" w:rsidRPr="00F34F69" w:rsidRDefault="00F34F69" w:rsidP="00F34F69">
      <w:pPr>
        <w:rPr>
          <w:sz w:val="28"/>
        </w:rPr>
      </w:pPr>
    </w:p>
    <w:p w:rsidR="00F34F69" w:rsidRPr="00F34F69" w:rsidRDefault="00F34F69" w:rsidP="002B0F4A">
      <w:pPr>
        <w:jc w:val="center"/>
        <w:rPr>
          <w:rFonts w:cs="Times New Roman"/>
          <w:sz w:val="28"/>
          <w:szCs w:val="28"/>
        </w:rPr>
      </w:pPr>
      <w:r w:rsidRPr="00F34F69">
        <w:rPr>
          <w:rFonts w:cs="Times New Roman"/>
          <w:noProof/>
          <w:sz w:val="28"/>
          <w:szCs w:val="28"/>
          <w:lang w:eastAsia="ru-RU"/>
        </w:rPr>
        <w:drawing>
          <wp:inline distT="0" distB="0" distL="0" distR="0" wp14:anchorId="286BCFE0" wp14:editId="4B128D5B">
            <wp:extent cx="4053670" cy="2377440"/>
            <wp:effectExtent l="0" t="0" r="4445"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4118950" cy="2415726"/>
                    </a:xfrm>
                    <a:prstGeom prst="rect">
                      <a:avLst/>
                    </a:prstGeom>
                  </pic:spPr>
                </pic:pic>
              </a:graphicData>
            </a:graphic>
          </wp:inline>
        </w:drawing>
      </w:r>
    </w:p>
    <w:p w:rsidR="00F34F69" w:rsidRPr="00F34F69" w:rsidRDefault="00F34F69" w:rsidP="002B0F4A">
      <w:pPr>
        <w:jc w:val="center"/>
        <w:rPr>
          <w:rFonts w:cs="Times New Roman"/>
          <w:sz w:val="28"/>
          <w:szCs w:val="28"/>
        </w:rPr>
      </w:pPr>
      <w:r w:rsidRPr="00F34F69">
        <w:rPr>
          <w:rFonts w:cs="Times New Roman"/>
          <w:sz w:val="28"/>
          <w:szCs w:val="28"/>
        </w:rPr>
        <w:t>Рисунок 59 – Сравнение ПЦР с фенотипическими методами исследования</w:t>
      </w:r>
    </w:p>
    <w:p w:rsidR="00F34F69" w:rsidRPr="00F34F69" w:rsidRDefault="00F34F69" w:rsidP="00F34F69">
      <w:pPr>
        <w:rPr>
          <w:rFonts w:cs="Times New Roman"/>
          <w:sz w:val="28"/>
          <w:szCs w:val="28"/>
        </w:rPr>
      </w:pPr>
    </w:p>
    <w:p w:rsidR="001E740C" w:rsidRDefault="001E740C" w:rsidP="00B73626">
      <w:pPr>
        <w:ind w:firstLine="709"/>
        <w:rPr>
          <w:rFonts w:cs="Times New Roman"/>
          <w:sz w:val="28"/>
          <w:szCs w:val="28"/>
        </w:rPr>
      </w:pPr>
      <w:r w:rsidRPr="001E740C">
        <w:rPr>
          <w:rFonts w:cs="Times New Roman"/>
          <w:sz w:val="28"/>
          <w:szCs w:val="28"/>
        </w:rPr>
        <w:t>Ещё один механизм устойчивости к антибактериальным препаратам, наблюдаемый у некоторых популяций микроорганизмов, — это персистенция, представляющая собой естественную нечувствительность к действию антибиотиков [418]. Кроме того, снижение чувствительности к антибиотикам может быть связано с образованием биоплёнок, которые благодаря полисахаридному матриксу и плотному клеточному взаимодействию создают барьер, ограничивающий проникновение и эффективность антимикробных препаратов [419].</w:t>
      </w:r>
    </w:p>
    <w:p w:rsidR="00B73626" w:rsidRDefault="00B73626" w:rsidP="00B73626">
      <w:pPr>
        <w:ind w:firstLine="709"/>
        <w:rPr>
          <w:rFonts w:cs="Times New Roman"/>
          <w:sz w:val="28"/>
          <w:szCs w:val="28"/>
        </w:rPr>
      </w:pPr>
      <w:r>
        <w:rPr>
          <w:rFonts w:cs="Times New Roman"/>
          <w:sz w:val="28"/>
          <w:szCs w:val="28"/>
        </w:rPr>
        <w:t>Таким образом, можно сделать следующие выводы:</w:t>
      </w:r>
    </w:p>
    <w:p w:rsidR="00B73626" w:rsidRPr="00B73626" w:rsidRDefault="00B73626" w:rsidP="00B73626">
      <w:pPr>
        <w:ind w:firstLine="709"/>
        <w:rPr>
          <w:rFonts w:cs="Times New Roman"/>
          <w:sz w:val="28"/>
          <w:szCs w:val="28"/>
        </w:rPr>
      </w:pPr>
      <w:r w:rsidRPr="00B73626">
        <w:rPr>
          <w:rFonts w:cs="Times New Roman"/>
          <w:sz w:val="28"/>
          <w:szCs w:val="28"/>
        </w:rPr>
        <w:lastRenderedPageBreak/>
        <w:t>Ген nuc — идеальный маркер для детекции золотистого стафилококка.</w:t>
      </w:r>
      <w:r w:rsidR="000169E3">
        <w:rPr>
          <w:rFonts w:cs="Times New Roman"/>
          <w:sz w:val="28"/>
          <w:szCs w:val="28"/>
        </w:rPr>
        <w:t xml:space="preserve"> Отличное согласие.</w:t>
      </w:r>
    </w:p>
    <w:p w:rsidR="00B73626" w:rsidRPr="00B73626" w:rsidRDefault="00B73626" w:rsidP="00B73626">
      <w:pPr>
        <w:ind w:firstLine="709"/>
        <w:rPr>
          <w:rFonts w:cs="Times New Roman"/>
          <w:sz w:val="28"/>
          <w:szCs w:val="28"/>
        </w:rPr>
      </w:pPr>
      <w:r w:rsidRPr="00B73626">
        <w:rPr>
          <w:rFonts w:cs="Times New Roman"/>
          <w:sz w:val="28"/>
          <w:szCs w:val="28"/>
        </w:rPr>
        <w:t>blaZ</w:t>
      </w:r>
      <w:r w:rsidR="000169E3">
        <w:rPr>
          <w:rFonts w:cs="Times New Roman"/>
          <w:sz w:val="28"/>
          <w:szCs w:val="28"/>
        </w:rPr>
        <w:t xml:space="preserve"> </w:t>
      </w:r>
      <w:r w:rsidR="000169E3" w:rsidRPr="00B73626">
        <w:rPr>
          <w:rFonts w:cs="Times New Roman"/>
          <w:sz w:val="28"/>
          <w:szCs w:val="28"/>
        </w:rPr>
        <w:t xml:space="preserve">— </w:t>
      </w:r>
      <w:r w:rsidRPr="00B73626">
        <w:rPr>
          <w:rFonts w:cs="Times New Roman"/>
          <w:sz w:val="28"/>
          <w:szCs w:val="28"/>
        </w:rPr>
        <w:t>имеет хорошую корреляцию с фенотипом. Хорошее согласие</w:t>
      </w:r>
      <w:r w:rsidR="000169E3">
        <w:rPr>
          <w:rFonts w:cs="Times New Roman"/>
          <w:sz w:val="28"/>
          <w:szCs w:val="28"/>
        </w:rPr>
        <w:t>.</w:t>
      </w:r>
    </w:p>
    <w:p w:rsidR="00B73626" w:rsidRPr="00B73626" w:rsidRDefault="00B73626" w:rsidP="00B73626">
      <w:pPr>
        <w:ind w:firstLine="709"/>
        <w:rPr>
          <w:rFonts w:cs="Times New Roman"/>
          <w:sz w:val="28"/>
          <w:szCs w:val="28"/>
        </w:rPr>
      </w:pPr>
      <w:r w:rsidRPr="00B73626">
        <w:rPr>
          <w:rFonts w:cs="Times New Roman"/>
          <w:sz w:val="28"/>
          <w:szCs w:val="28"/>
        </w:rPr>
        <w:t>ermC</w:t>
      </w:r>
      <w:r w:rsidR="000169E3">
        <w:rPr>
          <w:rFonts w:cs="Times New Roman"/>
          <w:sz w:val="28"/>
          <w:szCs w:val="28"/>
        </w:rPr>
        <w:t xml:space="preserve"> </w:t>
      </w:r>
      <w:r w:rsidR="000169E3" w:rsidRPr="00B73626">
        <w:rPr>
          <w:rFonts w:cs="Times New Roman"/>
          <w:sz w:val="28"/>
          <w:szCs w:val="28"/>
        </w:rPr>
        <w:t xml:space="preserve">— </w:t>
      </w:r>
      <w:r w:rsidRPr="00B73626">
        <w:rPr>
          <w:rFonts w:cs="Times New Roman"/>
          <w:sz w:val="28"/>
          <w:szCs w:val="28"/>
        </w:rPr>
        <w:t>имеет значительные расхождения. Очень слабое согласие</w:t>
      </w:r>
      <w:r w:rsidR="000169E3">
        <w:rPr>
          <w:rFonts w:cs="Times New Roman"/>
          <w:sz w:val="28"/>
          <w:szCs w:val="28"/>
        </w:rPr>
        <w:t>.</w:t>
      </w:r>
    </w:p>
    <w:p w:rsidR="00C619F6" w:rsidRPr="00B73626" w:rsidRDefault="00B73626" w:rsidP="00B73626">
      <w:pPr>
        <w:ind w:firstLine="709"/>
        <w:rPr>
          <w:rFonts w:cs="Times New Roman"/>
          <w:sz w:val="28"/>
          <w:szCs w:val="28"/>
        </w:rPr>
      </w:pPr>
      <w:r w:rsidRPr="00B73626">
        <w:rPr>
          <w:rFonts w:cs="Times New Roman"/>
          <w:sz w:val="28"/>
          <w:szCs w:val="28"/>
        </w:rPr>
        <w:t>tetK</w:t>
      </w:r>
      <w:r w:rsidR="000169E3">
        <w:rPr>
          <w:rFonts w:cs="Times New Roman"/>
          <w:sz w:val="28"/>
          <w:szCs w:val="28"/>
        </w:rPr>
        <w:t xml:space="preserve"> </w:t>
      </w:r>
      <w:r w:rsidR="000169E3" w:rsidRPr="00B73626">
        <w:rPr>
          <w:rFonts w:cs="Times New Roman"/>
          <w:sz w:val="28"/>
          <w:szCs w:val="28"/>
        </w:rPr>
        <w:t xml:space="preserve">— </w:t>
      </w:r>
      <w:r w:rsidRPr="00B73626">
        <w:rPr>
          <w:rFonts w:cs="Times New Roman"/>
          <w:sz w:val="28"/>
          <w:szCs w:val="28"/>
        </w:rPr>
        <w:t>ложноположительных результатов нет (специфичность 100%), но много ложноотрицательных (NPV=28.6%). Слабое согласие</w:t>
      </w:r>
      <w:r>
        <w:rPr>
          <w:rFonts w:cs="Times New Roman"/>
          <w:sz w:val="28"/>
          <w:szCs w:val="28"/>
        </w:rPr>
        <w:t>.</w:t>
      </w:r>
    </w:p>
    <w:p w:rsidR="00C619F6" w:rsidRDefault="00C619F6"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7D5D2F" w:rsidRDefault="007D5D2F" w:rsidP="002B0F4A">
      <w:pPr>
        <w:ind w:firstLine="709"/>
        <w:rPr>
          <w:rFonts w:cs="Times New Roman"/>
          <w:b/>
          <w:sz w:val="28"/>
          <w:szCs w:val="28"/>
        </w:rPr>
      </w:pPr>
    </w:p>
    <w:p w:rsidR="00052C04" w:rsidRDefault="00052C04" w:rsidP="002B0F4A">
      <w:pPr>
        <w:ind w:firstLine="709"/>
        <w:rPr>
          <w:rFonts w:cs="Times New Roman"/>
          <w:b/>
          <w:sz w:val="28"/>
          <w:szCs w:val="28"/>
        </w:rPr>
      </w:pPr>
    </w:p>
    <w:p w:rsidR="00052C04" w:rsidRDefault="00052C04"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E1739C" w:rsidRDefault="00E1739C" w:rsidP="002B0F4A">
      <w:pPr>
        <w:ind w:firstLine="709"/>
        <w:rPr>
          <w:rFonts w:cs="Times New Roman"/>
          <w:b/>
          <w:sz w:val="28"/>
          <w:szCs w:val="28"/>
        </w:rPr>
      </w:pPr>
    </w:p>
    <w:p w:rsidR="00F34F69" w:rsidRPr="00F34F69" w:rsidRDefault="00F34F69" w:rsidP="002B0F4A">
      <w:pPr>
        <w:ind w:firstLine="709"/>
        <w:rPr>
          <w:rFonts w:cs="Times New Roman"/>
          <w:b/>
          <w:sz w:val="28"/>
          <w:szCs w:val="28"/>
        </w:rPr>
      </w:pPr>
      <w:r w:rsidRPr="00F34F69">
        <w:rPr>
          <w:rFonts w:cs="Times New Roman"/>
          <w:b/>
          <w:sz w:val="28"/>
          <w:szCs w:val="28"/>
        </w:rPr>
        <w:lastRenderedPageBreak/>
        <w:t>4 Анализ и интерпретация результатов исследований</w:t>
      </w:r>
    </w:p>
    <w:p w:rsidR="00F34F69" w:rsidRPr="00F34F69" w:rsidRDefault="007A7888" w:rsidP="002B0F4A">
      <w:pPr>
        <w:ind w:firstLine="709"/>
        <w:rPr>
          <w:rFonts w:cs="Times New Roman"/>
          <w:sz w:val="28"/>
          <w:szCs w:val="28"/>
        </w:rPr>
      </w:pPr>
      <w:r w:rsidRPr="007A7888">
        <w:rPr>
          <w:rFonts w:cs="Times New Roman"/>
          <w:i/>
          <w:sz w:val="28"/>
          <w:szCs w:val="28"/>
        </w:rPr>
        <w:t>S. aureus</w:t>
      </w:r>
      <w:r w:rsidR="00F34F69" w:rsidRPr="00F34F69">
        <w:rPr>
          <w:rFonts w:cs="Times New Roman"/>
          <w:sz w:val="28"/>
          <w:szCs w:val="28"/>
        </w:rPr>
        <w:t xml:space="preserve"> является важным патогеном из-за сочетания токсин-опосредованной вирулентности, инвазивности и устойчивости к антибиотикам.</w:t>
      </w:r>
    </w:p>
    <w:p w:rsidR="00F34F69" w:rsidRPr="00F34F69" w:rsidRDefault="00F34F69" w:rsidP="002B0F4A">
      <w:pPr>
        <w:ind w:firstLine="709"/>
        <w:rPr>
          <w:rFonts w:cs="Times New Roman"/>
          <w:sz w:val="28"/>
          <w:szCs w:val="28"/>
        </w:rPr>
      </w:pPr>
      <w:r w:rsidRPr="00F34F69">
        <w:rPr>
          <w:rFonts w:cs="Times New Roman"/>
          <w:sz w:val="28"/>
          <w:szCs w:val="28"/>
        </w:rPr>
        <w:t>Согласно последним отчетам Европейского союза, «Единое здравоохранение», стафилококковые энтеротоксины являются одной из основных причин отравлений в Европе, и занимают третье место среди возбудителей пищевых токсикоинфекций.</w:t>
      </w:r>
    </w:p>
    <w:p w:rsidR="00F34F69" w:rsidRPr="00F34F69" w:rsidRDefault="00F34F69" w:rsidP="002B0F4A">
      <w:pPr>
        <w:ind w:firstLine="709"/>
        <w:rPr>
          <w:rFonts w:cs="Times New Roman"/>
          <w:sz w:val="28"/>
          <w:szCs w:val="28"/>
        </w:rPr>
      </w:pPr>
      <w:r w:rsidRPr="00F34F69">
        <w:rPr>
          <w:rFonts w:cs="Times New Roman"/>
          <w:sz w:val="28"/>
          <w:szCs w:val="28"/>
        </w:rPr>
        <w:t xml:space="preserve">Наряду с высокой патогенностью, стафилококки известны своей высокой устойчивостью к антибиотикам, </w:t>
      </w:r>
      <w:r w:rsidR="007A7888" w:rsidRPr="007A7888">
        <w:rPr>
          <w:rFonts w:cs="Times New Roman"/>
          <w:i/>
          <w:sz w:val="28"/>
          <w:szCs w:val="28"/>
        </w:rPr>
        <w:t>S. aureus</w:t>
      </w:r>
      <w:r w:rsidRPr="00F34F69">
        <w:rPr>
          <w:rFonts w:cs="Times New Roman"/>
          <w:sz w:val="28"/>
          <w:szCs w:val="28"/>
        </w:rPr>
        <w:t xml:space="preserve"> в результате мутаций или горизонтального переноса генов может развить устойчивость, практически, ко всем существующим антибиотикам. </w:t>
      </w:r>
    </w:p>
    <w:p w:rsidR="00F34F69" w:rsidRPr="00F34F69" w:rsidRDefault="00F34F69" w:rsidP="002B0F4A">
      <w:pPr>
        <w:ind w:firstLine="709"/>
        <w:rPr>
          <w:rFonts w:cs="Times New Roman"/>
          <w:sz w:val="28"/>
          <w:szCs w:val="28"/>
        </w:rPr>
      </w:pPr>
      <w:r w:rsidRPr="00F34F69">
        <w:rPr>
          <w:rFonts w:cs="Times New Roman"/>
          <w:sz w:val="28"/>
          <w:szCs w:val="28"/>
        </w:rPr>
        <w:t xml:space="preserve">В последние десятилетия в Казахстане, как и во всем мире, отмечается стремительное распространение устойчивости возбудителей инфекционных заболеваний к антибактериальным препаратам. Так на севере Казахстана отмечался высокий процент устойчивых изолятов </w:t>
      </w:r>
      <w:r w:rsidR="00B832C8" w:rsidRPr="00B832C8">
        <w:rPr>
          <w:rFonts w:cs="Times New Roman"/>
          <w:i/>
          <w:sz w:val="28"/>
          <w:szCs w:val="28"/>
        </w:rPr>
        <w:t>Salmonella</w:t>
      </w:r>
      <w:r w:rsidRPr="00F34F69">
        <w:rPr>
          <w:rFonts w:cs="Times New Roman"/>
          <w:sz w:val="28"/>
          <w:szCs w:val="28"/>
        </w:rPr>
        <w:t xml:space="preserve"> spp. и </w:t>
      </w:r>
      <w:r w:rsidR="007A7888" w:rsidRPr="007A7888">
        <w:rPr>
          <w:rFonts w:cs="Times New Roman"/>
          <w:i/>
          <w:sz w:val="28"/>
          <w:szCs w:val="28"/>
        </w:rPr>
        <w:t>S. aureus</w:t>
      </w:r>
      <w:r w:rsidRPr="00F34F69">
        <w:rPr>
          <w:rFonts w:cs="Times New Roman"/>
          <w:sz w:val="28"/>
          <w:szCs w:val="28"/>
        </w:rPr>
        <w:t xml:space="preserve"> выделенных от животных, особенно к антибиотикам групп тетрациклинов, нитрофуранов, β-лактамов и макролидов. По результатам ретроспективного анализа устойчивости к противомикробным препаратам Национального научного центра онкологии и трансплантологии (Астана, Казахстан) сообщалось о высоких показателях резистентности грамположительных и грамотрицательных бактерий, а также о тревожных показателях резистентности к карбапенемам.</w:t>
      </w:r>
    </w:p>
    <w:p w:rsidR="00F34F69" w:rsidRPr="00F34F69" w:rsidRDefault="00F34F69" w:rsidP="002B0F4A">
      <w:pPr>
        <w:ind w:firstLine="709"/>
        <w:rPr>
          <w:rFonts w:cs="Times New Roman"/>
          <w:sz w:val="28"/>
          <w:szCs w:val="28"/>
        </w:rPr>
      </w:pPr>
      <w:r w:rsidRPr="00F34F69">
        <w:rPr>
          <w:rFonts w:cs="Times New Roman"/>
          <w:sz w:val="28"/>
          <w:szCs w:val="28"/>
        </w:rPr>
        <w:t>Устойчивость к антимикробным препаратам имеет огромное социально-экономическое значение, представляет серьезную угрозу глобальной безопасности здравоохранения и социально-экономическому развитию стран, рассматривается как угроза национальной безопасности. Надзор за распространением антибиотикорезистентности является стратегической задачей ветеринарии и, включает в себя мониторинг антибиотикорезистентности возбудителей среди сельскохозяйственных животных и в животноводческой продукции потребительского назначения.</w:t>
      </w:r>
    </w:p>
    <w:p w:rsidR="00F34F69" w:rsidRPr="00F34F69" w:rsidRDefault="00F34F69" w:rsidP="002B0F4A">
      <w:pPr>
        <w:ind w:firstLine="709"/>
        <w:rPr>
          <w:rFonts w:cs="Times New Roman"/>
          <w:sz w:val="28"/>
          <w:szCs w:val="28"/>
        </w:rPr>
      </w:pPr>
      <w:r w:rsidRPr="00F34F69">
        <w:rPr>
          <w:rFonts w:cs="Times New Roman"/>
          <w:sz w:val="28"/>
          <w:szCs w:val="28"/>
        </w:rPr>
        <w:t>Одним из перспективных направлений, позволяющих расширить возможности в изучении и диагностике антибиотикорезистентности является использование молекулярно-генетических подходов: полимеразной цепной реакции (ПЦР), секвенирования и минисеквенирования, секвенирования нового поколения.</w:t>
      </w:r>
    </w:p>
    <w:p w:rsidR="00F34F69" w:rsidRPr="00F34F69" w:rsidRDefault="00F34F69" w:rsidP="002B0F4A">
      <w:pPr>
        <w:ind w:firstLine="709"/>
        <w:rPr>
          <w:rFonts w:cs="Times New Roman"/>
          <w:sz w:val="28"/>
          <w:szCs w:val="28"/>
        </w:rPr>
      </w:pPr>
      <w:r w:rsidRPr="00F34F69">
        <w:rPr>
          <w:rFonts w:cs="Times New Roman"/>
          <w:sz w:val="28"/>
          <w:szCs w:val="28"/>
        </w:rPr>
        <w:t>Преимущества генотипического определения устойчивости к антибиотикам заключаются в том, что выявление генотипа не зависит от фенотипических категорий, таких как чувствительность, промежуточная чувствительность и устойчивость, для которых пограничные значения могут различаться в разных странах.</w:t>
      </w:r>
    </w:p>
    <w:p w:rsidR="00F34F69" w:rsidRPr="00F34F69" w:rsidRDefault="00F34F69" w:rsidP="002B0F4A">
      <w:pPr>
        <w:ind w:firstLine="709"/>
        <w:rPr>
          <w:rFonts w:cs="Times New Roman"/>
          <w:sz w:val="28"/>
          <w:szCs w:val="28"/>
        </w:rPr>
      </w:pPr>
      <w:r w:rsidRPr="00F34F69">
        <w:rPr>
          <w:rFonts w:cs="Times New Roman"/>
          <w:sz w:val="28"/>
          <w:szCs w:val="28"/>
        </w:rPr>
        <w:t>Внедрение современных генетических методов при мониторинге метициллинрезистентных стафилококков необходимо для быстрой и точной идентификации микроорганизмов, контроля за эпизоотологической ситуацией и изучения необходимости проведения противоэпизоотических мероприятий.</w:t>
      </w:r>
    </w:p>
    <w:p w:rsidR="00F34F69" w:rsidRPr="00F34F69" w:rsidRDefault="00F34F69" w:rsidP="002B0F4A">
      <w:pPr>
        <w:ind w:firstLine="709"/>
        <w:rPr>
          <w:rFonts w:cs="Times New Roman"/>
          <w:sz w:val="28"/>
          <w:szCs w:val="28"/>
        </w:rPr>
      </w:pPr>
      <w:r w:rsidRPr="00F34F69">
        <w:rPr>
          <w:rFonts w:cs="Times New Roman"/>
          <w:sz w:val="28"/>
          <w:szCs w:val="28"/>
        </w:rPr>
        <w:lastRenderedPageBreak/>
        <w:t>В период проведения диссертационных исследований, осуществлен отбор 1680 проб продуктов животного происхождения в точках розничной торговли и различных хозяйствах Костанайской области, в том числе 1585 проб молочной продукции, 95 проб других продуктов животного происхождения.</w:t>
      </w:r>
    </w:p>
    <w:p w:rsidR="00F34F69" w:rsidRPr="00F34F69" w:rsidRDefault="00F34F69" w:rsidP="002B0F4A">
      <w:pPr>
        <w:ind w:firstLine="709"/>
        <w:rPr>
          <w:rFonts w:cs="Times New Roman"/>
          <w:sz w:val="28"/>
          <w:szCs w:val="28"/>
        </w:rPr>
      </w:pPr>
      <w:r w:rsidRPr="00F34F69">
        <w:rPr>
          <w:rFonts w:cs="Times New Roman"/>
          <w:sz w:val="28"/>
          <w:szCs w:val="28"/>
        </w:rPr>
        <w:t xml:space="preserve">В период с 2021 г. по 2023 г. было исследовано 1585 образцов молока, из которых выделено 82 (5,1%) штамма </w:t>
      </w:r>
      <w:r w:rsidR="007A7888" w:rsidRPr="007A7888">
        <w:rPr>
          <w:rFonts w:cs="Times New Roman"/>
          <w:i/>
          <w:sz w:val="28"/>
          <w:szCs w:val="28"/>
        </w:rPr>
        <w:t>S. aureus</w:t>
      </w:r>
      <w:r w:rsidRPr="00F34F69">
        <w:rPr>
          <w:rFonts w:cs="Times New Roman"/>
          <w:sz w:val="28"/>
          <w:szCs w:val="28"/>
        </w:rPr>
        <w:t xml:space="preserve">. В таких молочных хозяйствах, как ТОО «Баталинское», ТОО «Олжа Аккудук», проблема персистенции </w:t>
      </w:r>
      <w:r w:rsidR="007A7888" w:rsidRPr="007A7888">
        <w:rPr>
          <w:rFonts w:cs="Times New Roman"/>
          <w:i/>
          <w:sz w:val="28"/>
          <w:szCs w:val="28"/>
        </w:rPr>
        <w:t>S. aureus</w:t>
      </w:r>
      <w:r w:rsidRPr="00F34F69">
        <w:rPr>
          <w:rFonts w:cs="Times New Roman"/>
          <w:sz w:val="28"/>
          <w:szCs w:val="28"/>
        </w:rPr>
        <w:t xml:space="preserve">, как возбудителя мастита коров остается актуальной. </w:t>
      </w:r>
    </w:p>
    <w:p w:rsidR="00F34F69" w:rsidRPr="00F34F69" w:rsidRDefault="00F34F69" w:rsidP="002B0F4A">
      <w:pPr>
        <w:ind w:firstLine="709"/>
        <w:rPr>
          <w:rFonts w:cs="Times New Roman"/>
          <w:sz w:val="28"/>
          <w:szCs w:val="28"/>
        </w:rPr>
      </w:pPr>
      <w:r w:rsidRPr="00F34F69">
        <w:rPr>
          <w:rFonts w:cs="Times New Roman"/>
          <w:sz w:val="28"/>
          <w:szCs w:val="28"/>
        </w:rPr>
        <w:t xml:space="preserve">За три года исследований наибольшее количество штаммов </w:t>
      </w:r>
      <w:r w:rsidR="007A7888" w:rsidRPr="007A7888">
        <w:rPr>
          <w:rFonts w:cs="Times New Roman"/>
          <w:i/>
          <w:sz w:val="28"/>
          <w:szCs w:val="28"/>
        </w:rPr>
        <w:t>S. aureus</w:t>
      </w:r>
      <w:r w:rsidRPr="00F34F69">
        <w:rPr>
          <w:rFonts w:cs="Times New Roman"/>
          <w:sz w:val="28"/>
          <w:szCs w:val="28"/>
        </w:rPr>
        <w:t xml:space="preserve">, кроме молока и молочных продуктов, было выделено из птицеводческой продукции – 4. Других продуктов животного происхождения за 3 года исследовано 27 образцов, выделен 1 штамм </w:t>
      </w:r>
      <w:r w:rsidR="007A7888" w:rsidRPr="007A7888">
        <w:rPr>
          <w:rFonts w:cs="Times New Roman"/>
          <w:i/>
          <w:sz w:val="28"/>
          <w:szCs w:val="28"/>
        </w:rPr>
        <w:t>S. aureus</w:t>
      </w:r>
      <w:r w:rsidRPr="00F34F69">
        <w:rPr>
          <w:rFonts w:cs="Times New Roman"/>
          <w:sz w:val="28"/>
          <w:szCs w:val="28"/>
        </w:rPr>
        <w:t xml:space="preserve">. В готовой к употреблению продукции не обнаружено ни одного штамма </w:t>
      </w:r>
      <w:r w:rsidR="007A7888" w:rsidRPr="007A7888">
        <w:rPr>
          <w:rFonts w:cs="Times New Roman"/>
          <w:i/>
          <w:sz w:val="28"/>
          <w:szCs w:val="28"/>
        </w:rPr>
        <w:t>S. aureus</w:t>
      </w:r>
      <w:r w:rsidRPr="00F34F69">
        <w:rPr>
          <w:rFonts w:cs="Times New Roman"/>
          <w:sz w:val="28"/>
          <w:szCs w:val="28"/>
        </w:rPr>
        <w:t xml:space="preserve">, при этом исследован 31 образец. </w:t>
      </w:r>
    </w:p>
    <w:p w:rsidR="00F34F69" w:rsidRPr="00F34F69" w:rsidRDefault="00F34F69" w:rsidP="002B0F4A">
      <w:pPr>
        <w:ind w:firstLine="709"/>
        <w:rPr>
          <w:rFonts w:cs="Times New Roman"/>
          <w:sz w:val="28"/>
          <w:szCs w:val="28"/>
        </w:rPr>
      </w:pPr>
      <w:r w:rsidRPr="00F34F69">
        <w:rPr>
          <w:rFonts w:cs="Times New Roman"/>
          <w:sz w:val="28"/>
          <w:szCs w:val="28"/>
        </w:rPr>
        <w:t xml:space="preserve">Результаты исследований, показывающие присутствие бактерий </w:t>
      </w:r>
      <w:r w:rsidR="007A7888" w:rsidRPr="007A7888">
        <w:rPr>
          <w:rFonts w:cs="Times New Roman"/>
          <w:i/>
          <w:sz w:val="28"/>
          <w:szCs w:val="28"/>
        </w:rPr>
        <w:t>S. aureus</w:t>
      </w:r>
      <w:r w:rsidRPr="00F34F69">
        <w:rPr>
          <w:rFonts w:cs="Times New Roman"/>
          <w:sz w:val="28"/>
          <w:szCs w:val="28"/>
        </w:rPr>
        <w:t xml:space="preserve"> в пробах молока коров и молочных продуктов на территории Костанайской области, могут играть важную роль для понимания состояния здоровья животных и качества производимой продукции.</w:t>
      </w:r>
    </w:p>
    <w:p w:rsidR="00F34F69" w:rsidRPr="00F34F69" w:rsidRDefault="00F34F69" w:rsidP="002B0F4A">
      <w:pPr>
        <w:ind w:firstLine="709"/>
        <w:rPr>
          <w:rFonts w:cs="Times New Roman"/>
          <w:sz w:val="28"/>
          <w:szCs w:val="28"/>
        </w:rPr>
      </w:pPr>
      <w:r w:rsidRPr="00F34F69">
        <w:rPr>
          <w:rFonts w:cs="Times New Roman"/>
          <w:sz w:val="28"/>
          <w:szCs w:val="28"/>
        </w:rPr>
        <w:t xml:space="preserve">Для молекулярного подтверждения </w:t>
      </w:r>
      <w:r w:rsidR="007A7888" w:rsidRPr="007A7888">
        <w:rPr>
          <w:rFonts w:cs="Times New Roman"/>
          <w:i/>
          <w:sz w:val="28"/>
          <w:szCs w:val="28"/>
        </w:rPr>
        <w:t>S. aureus</w:t>
      </w:r>
      <w:r w:rsidRPr="00F34F69">
        <w:rPr>
          <w:rFonts w:cs="Times New Roman"/>
          <w:sz w:val="28"/>
          <w:szCs w:val="28"/>
        </w:rPr>
        <w:t xml:space="preserve"> и определения групп близкородственных микроорганизмов, провели молекулярную идентификацию 8 штаммов </w:t>
      </w:r>
      <w:r w:rsidR="007A7888" w:rsidRPr="007A7888">
        <w:rPr>
          <w:rFonts w:cs="Times New Roman"/>
          <w:i/>
          <w:sz w:val="28"/>
          <w:szCs w:val="28"/>
        </w:rPr>
        <w:t>S. aureus</w:t>
      </w:r>
      <w:r w:rsidRPr="00F34F69">
        <w:rPr>
          <w:rFonts w:cs="Times New Roman"/>
          <w:sz w:val="28"/>
          <w:szCs w:val="28"/>
        </w:rPr>
        <w:t xml:space="preserve"> методом секвенирования генов 16S рРНК по Сэнгеру. На основе полученных расчетов было построено филогенетическое дерево, согласно которому последовательности </w:t>
      </w:r>
      <w:r w:rsidR="007A7888" w:rsidRPr="007A7888">
        <w:rPr>
          <w:rFonts w:cs="Times New Roman"/>
          <w:i/>
          <w:sz w:val="28"/>
          <w:szCs w:val="28"/>
        </w:rPr>
        <w:t>S. aureus</w:t>
      </w:r>
      <w:r w:rsidRPr="00F34F69">
        <w:rPr>
          <w:rFonts w:cs="Times New Roman"/>
          <w:sz w:val="28"/>
          <w:szCs w:val="28"/>
        </w:rPr>
        <w:t xml:space="preserve"> образуют плотный кластер, расположенный на относительно близком расстоянии от других видов </w:t>
      </w:r>
      <w:r w:rsidR="00AE0408" w:rsidRPr="00AE0408">
        <w:rPr>
          <w:rFonts w:cs="Times New Roman"/>
          <w:i/>
          <w:sz w:val="28"/>
          <w:szCs w:val="28"/>
        </w:rPr>
        <w:t>Staphylococcus</w:t>
      </w:r>
      <w:r w:rsidRPr="00F34F69">
        <w:rPr>
          <w:rFonts w:cs="Times New Roman"/>
          <w:sz w:val="28"/>
          <w:szCs w:val="28"/>
        </w:rPr>
        <w:t>, что свидетельствует о близком эволюционном родстве.</w:t>
      </w:r>
    </w:p>
    <w:p w:rsidR="00F34F69" w:rsidRPr="00F34F69" w:rsidRDefault="00F34F69" w:rsidP="002B0F4A">
      <w:pPr>
        <w:ind w:firstLine="709"/>
        <w:rPr>
          <w:rFonts w:cs="Times New Roman"/>
          <w:sz w:val="28"/>
          <w:szCs w:val="28"/>
        </w:rPr>
      </w:pPr>
      <w:r w:rsidRPr="00F34F69">
        <w:rPr>
          <w:rFonts w:cs="Times New Roman"/>
          <w:sz w:val="28"/>
          <w:szCs w:val="28"/>
        </w:rPr>
        <w:t xml:space="preserve">Результаты тестирования на антибиотикорезистентность указывают на высокий уровень устойчивости штаммов </w:t>
      </w:r>
      <w:r w:rsidR="007A7888" w:rsidRPr="007A7888">
        <w:rPr>
          <w:rFonts w:cs="Times New Roman"/>
          <w:i/>
          <w:sz w:val="28"/>
          <w:szCs w:val="28"/>
        </w:rPr>
        <w:t>S. aureus</w:t>
      </w:r>
      <w:r w:rsidRPr="00F34F69">
        <w:rPr>
          <w:rFonts w:cs="Times New Roman"/>
          <w:sz w:val="28"/>
          <w:szCs w:val="28"/>
        </w:rPr>
        <w:t xml:space="preserve"> к различным группам антибактериальных препаратов. Наибольшее количество изолятов </w:t>
      </w:r>
      <w:r w:rsidR="007A7888" w:rsidRPr="007A7888">
        <w:rPr>
          <w:rFonts w:cs="Times New Roman"/>
          <w:i/>
          <w:sz w:val="28"/>
          <w:szCs w:val="28"/>
        </w:rPr>
        <w:t>S. aureus</w:t>
      </w:r>
      <w:r w:rsidRPr="00F34F69">
        <w:rPr>
          <w:rFonts w:cs="Times New Roman"/>
          <w:sz w:val="28"/>
          <w:szCs w:val="28"/>
        </w:rPr>
        <w:t xml:space="preserve"> проявили высокую чувствительность к группе β – лактамных антибиотиков – до 100%, к группе тетрациклинов и фторхинолонов – до 95,4%, макролидов – до 60,92%. Наименьшее количество резистентных штаммов выявлено к группе сульфаниламидов – 21,84% и группе аминогликозидов – 27,59%.</w:t>
      </w:r>
    </w:p>
    <w:p w:rsidR="00F34F69" w:rsidRPr="00F34F69" w:rsidRDefault="00F34F69" w:rsidP="002B0F4A">
      <w:pPr>
        <w:ind w:firstLine="709"/>
        <w:rPr>
          <w:rFonts w:cs="Times New Roman"/>
          <w:sz w:val="28"/>
          <w:szCs w:val="28"/>
        </w:rPr>
      </w:pPr>
      <w:r w:rsidRPr="00F34F69">
        <w:rPr>
          <w:rFonts w:cs="Times New Roman"/>
          <w:sz w:val="28"/>
          <w:szCs w:val="28"/>
        </w:rPr>
        <w:t xml:space="preserve">Из 87 изолятов </w:t>
      </w:r>
      <w:r w:rsidR="007A7888" w:rsidRPr="007A7888">
        <w:rPr>
          <w:rFonts w:cs="Times New Roman"/>
          <w:i/>
          <w:sz w:val="28"/>
          <w:szCs w:val="28"/>
        </w:rPr>
        <w:t>S. aureus</w:t>
      </w:r>
      <w:r w:rsidRPr="00F34F69">
        <w:rPr>
          <w:rFonts w:cs="Times New Roman"/>
          <w:sz w:val="28"/>
          <w:szCs w:val="28"/>
        </w:rPr>
        <w:t xml:space="preserve"> с установленной резистентностью 3 (3,44%) изолята были резистентны к двум группам АБП; 17 (19,54%) изолятов к трем группам АБП, 46 (52,87%) изолятов к четырем группам; 19 (21,83%) изолятов проявили резистентность сразу к пяти группам; 2 (2,29%) изолята резистентны одновременно к шести группам АБП. Наиболее эффективными антибиотиками в отношении </w:t>
      </w:r>
      <w:r w:rsidR="007A7888" w:rsidRPr="007A7888">
        <w:rPr>
          <w:rFonts w:cs="Times New Roman"/>
          <w:i/>
          <w:sz w:val="28"/>
          <w:szCs w:val="28"/>
        </w:rPr>
        <w:t>S. aureus</w:t>
      </w:r>
      <w:r w:rsidRPr="00F34F69">
        <w:rPr>
          <w:rFonts w:cs="Times New Roman"/>
          <w:sz w:val="28"/>
          <w:szCs w:val="28"/>
        </w:rPr>
        <w:t xml:space="preserve"> оказались гентамицин, канамицин и неомицин, тогда как, ампициллин, тетрациклин и ципрофлоксацин оказались менее эффективными. </w:t>
      </w:r>
    </w:p>
    <w:p w:rsidR="00F34F69" w:rsidRPr="00F34F69" w:rsidRDefault="00F34F69" w:rsidP="002B0F4A">
      <w:pPr>
        <w:ind w:firstLine="709"/>
        <w:rPr>
          <w:rFonts w:cs="Times New Roman"/>
          <w:sz w:val="28"/>
          <w:szCs w:val="28"/>
        </w:rPr>
      </w:pPr>
      <w:r w:rsidRPr="00F34F69">
        <w:rPr>
          <w:rFonts w:cs="Times New Roman"/>
          <w:sz w:val="28"/>
          <w:szCs w:val="28"/>
        </w:rPr>
        <w:t xml:space="preserve">Полученные результаты свидетельствуют о серьезной проблеме антибиотикорезистентности у выделенных штаммов </w:t>
      </w:r>
      <w:r w:rsidR="007A7888" w:rsidRPr="007A7888">
        <w:rPr>
          <w:rFonts w:cs="Times New Roman"/>
          <w:i/>
          <w:sz w:val="28"/>
          <w:szCs w:val="28"/>
        </w:rPr>
        <w:t>S. aureus</w:t>
      </w:r>
      <w:r w:rsidRPr="00F34F69">
        <w:rPr>
          <w:rFonts w:cs="Times New Roman"/>
          <w:sz w:val="28"/>
          <w:szCs w:val="28"/>
        </w:rPr>
        <w:t xml:space="preserve">. Это подчеркивает важность разумного и ответственного использования антибиотиков в ветеринарной практике и сельском хозяйстве, а также </w:t>
      </w:r>
      <w:r w:rsidRPr="00F34F69">
        <w:rPr>
          <w:rFonts w:cs="Times New Roman"/>
          <w:sz w:val="28"/>
          <w:szCs w:val="28"/>
        </w:rPr>
        <w:lastRenderedPageBreak/>
        <w:t>необходимость постоянного мониторинга резистентности бактерий к антибиотикам для эффективного лечения.</w:t>
      </w:r>
    </w:p>
    <w:p w:rsidR="00F34F69" w:rsidRPr="00F34F69" w:rsidRDefault="00F34F69" w:rsidP="002B0F4A">
      <w:pPr>
        <w:ind w:firstLine="709"/>
        <w:rPr>
          <w:rFonts w:cs="Times New Roman"/>
          <w:sz w:val="28"/>
          <w:szCs w:val="28"/>
        </w:rPr>
      </w:pPr>
      <w:r w:rsidRPr="00F34F69">
        <w:rPr>
          <w:rFonts w:cs="Times New Roman"/>
          <w:sz w:val="28"/>
          <w:szCs w:val="28"/>
        </w:rPr>
        <w:t xml:space="preserve">При разработке ПЦР для идентификации </w:t>
      </w:r>
      <w:r w:rsidR="007A7888" w:rsidRPr="007A7888">
        <w:rPr>
          <w:rFonts w:cs="Times New Roman"/>
          <w:i/>
          <w:sz w:val="28"/>
          <w:szCs w:val="28"/>
        </w:rPr>
        <w:t>S. aureus</w:t>
      </w:r>
      <w:r w:rsidRPr="00F34F69">
        <w:rPr>
          <w:rFonts w:cs="Times New Roman"/>
          <w:sz w:val="28"/>
          <w:szCs w:val="28"/>
        </w:rPr>
        <w:t xml:space="preserve"> выбран участок гена термостабильной нуклеазы (nuc). Данный ген кодирует фермент термостабильной нуклеазы, который характерен для </w:t>
      </w:r>
      <w:r w:rsidR="007A7888" w:rsidRPr="007A7888">
        <w:rPr>
          <w:rFonts w:cs="Times New Roman"/>
          <w:i/>
          <w:sz w:val="28"/>
          <w:szCs w:val="28"/>
        </w:rPr>
        <w:t>S. aureus</w:t>
      </w:r>
      <w:r w:rsidRPr="00F34F69">
        <w:rPr>
          <w:rFonts w:cs="Times New Roman"/>
          <w:sz w:val="28"/>
          <w:szCs w:val="28"/>
        </w:rPr>
        <w:t xml:space="preserve">. Выбор гена nuc для идентификации </w:t>
      </w:r>
      <w:r w:rsidR="007A7888" w:rsidRPr="007A7888">
        <w:rPr>
          <w:rFonts w:cs="Times New Roman"/>
          <w:i/>
          <w:sz w:val="28"/>
          <w:szCs w:val="28"/>
        </w:rPr>
        <w:t>S. aureus</w:t>
      </w:r>
      <w:r w:rsidRPr="00F34F69">
        <w:rPr>
          <w:rFonts w:cs="Times New Roman"/>
          <w:sz w:val="28"/>
          <w:szCs w:val="28"/>
        </w:rPr>
        <w:t xml:space="preserve"> основан на его высокой консервативности в пределах этого видового типа бактерий, что обеспечивает точность и надежность результатов, делая наш метод подходящим для идентификации </w:t>
      </w:r>
      <w:r w:rsidR="007A7888" w:rsidRPr="007A7888">
        <w:rPr>
          <w:rFonts w:cs="Times New Roman"/>
          <w:i/>
          <w:sz w:val="28"/>
          <w:szCs w:val="28"/>
        </w:rPr>
        <w:t>S. aureus</w:t>
      </w:r>
      <w:r w:rsidRPr="00F34F69">
        <w:rPr>
          <w:rFonts w:cs="Times New Roman"/>
          <w:sz w:val="28"/>
          <w:szCs w:val="28"/>
        </w:rPr>
        <w:t xml:space="preserve"> в клинических образцах или в других контекстах.</w:t>
      </w:r>
    </w:p>
    <w:p w:rsidR="00F34F69" w:rsidRPr="00F34F69" w:rsidRDefault="00F34F69" w:rsidP="002B0F4A">
      <w:pPr>
        <w:ind w:firstLine="709"/>
        <w:rPr>
          <w:rFonts w:cs="Times New Roman"/>
          <w:sz w:val="28"/>
          <w:szCs w:val="28"/>
        </w:rPr>
      </w:pPr>
      <w:r w:rsidRPr="00F34F69">
        <w:rPr>
          <w:rFonts w:cs="Times New Roman"/>
          <w:sz w:val="28"/>
          <w:szCs w:val="28"/>
        </w:rPr>
        <w:t xml:space="preserve">Результаты подбора праймеров и зондов. Для подбора праймеров и флуоресцентно-меченых зондов использовали специфические для </w:t>
      </w:r>
      <w:r w:rsidR="007A7888" w:rsidRPr="007A7888">
        <w:rPr>
          <w:rFonts w:cs="Times New Roman"/>
          <w:i/>
          <w:sz w:val="28"/>
          <w:szCs w:val="28"/>
        </w:rPr>
        <w:t>S. aureus</w:t>
      </w:r>
      <w:r w:rsidRPr="00F34F69">
        <w:rPr>
          <w:rFonts w:cs="Times New Roman"/>
          <w:sz w:val="28"/>
          <w:szCs w:val="28"/>
        </w:rPr>
        <w:t xml:space="preserve"> последовательности генов резистентности к антибиотикам группы бета-лактамов (BlaZ), макролидов (ermC) и тетрациклинов (TetK), широко описанных в научной литературе, как наиболее распространенных у штаммов </w:t>
      </w:r>
      <w:r w:rsidR="007A7888" w:rsidRPr="007A7888">
        <w:rPr>
          <w:rFonts w:cs="Times New Roman"/>
          <w:i/>
          <w:sz w:val="28"/>
          <w:szCs w:val="28"/>
        </w:rPr>
        <w:t>S. aureus</w:t>
      </w:r>
      <w:r w:rsidRPr="00F34F69">
        <w:rPr>
          <w:rFonts w:cs="Times New Roman"/>
          <w:sz w:val="28"/>
          <w:szCs w:val="28"/>
        </w:rPr>
        <w:t>.</w:t>
      </w:r>
    </w:p>
    <w:p w:rsidR="00F34F69" w:rsidRPr="00F34F69" w:rsidRDefault="00F34F69" w:rsidP="002B0F4A">
      <w:pPr>
        <w:ind w:firstLine="709"/>
        <w:rPr>
          <w:rFonts w:cs="Times New Roman"/>
          <w:sz w:val="28"/>
          <w:szCs w:val="28"/>
        </w:rPr>
      </w:pPr>
      <w:r w:rsidRPr="00F34F69">
        <w:rPr>
          <w:rFonts w:cs="Times New Roman"/>
          <w:sz w:val="28"/>
          <w:szCs w:val="28"/>
        </w:rPr>
        <w:t xml:space="preserve">Мониторинг вышеперечисленных генов у </w:t>
      </w:r>
      <w:r w:rsidR="007A7888" w:rsidRPr="007A7888">
        <w:rPr>
          <w:rFonts w:cs="Times New Roman"/>
          <w:i/>
          <w:sz w:val="28"/>
          <w:szCs w:val="28"/>
        </w:rPr>
        <w:t>S. aureus</w:t>
      </w:r>
      <w:r w:rsidRPr="00F34F69">
        <w:rPr>
          <w:rFonts w:cs="Times New Roman"/>
          <w:sz w:val="28"/>
          <w:szCs w:val="28"/>
        </w:rPr>
        <w:t>, позволит отслеживать изменения в уровнях антибиотикорезистентности и предостеречь от распространения устойчивых к АБП штаммов. Данные исследования также важны для разработки стратегий лечения и предотвращения распространения антибиотикорезистентных бактерий в ветеринарно-санитарной практике.</w:t>
      </w:r>
    </w:p>
    <w:p w:rsidR="00F34F69" w:rsidRPr="00F34F69" w:rsidRDefault="00F34F69" w:rsidP="002B0F4A">
      <w:pPr>
        <w:ind w:firstLine="709"/>
        <w:rPr>
          <w:rFonts w:cs="Times New Roman"/>
          <w:sz w:val="28"/>
          <w:szCs w:val="28"/>
        </w:rPr>
      </w:pPr>
      <w:r w:rsidRPr="00F34F69">
        <w:rPr>
          <w:rFonts w:cs="Times New Roman"/>
          <w:sz w:val="28"/>
          <w:szCs w:val="28"/>
        </w:rPr>
        <w:t xml:space="preserve">Для поиска этих генов использовались инструменты анализа последовательностей, такие как BLAST, в целях сравнения отобранных последовательностей с базой данных NCBI и определения их схожести с уже известными генами. В результате было отобрано 4 пары праймеров и 4 флуоресцентно-меченых зонда для идентификации </w:t>
      </w:r>
      <w:r w:rsidR="007A7888" w:rsidRPr="007A7888">
        <w:rPr>
          <w:rFonts w:cs="Times New Roman"/>
          <w:i/>
          <w:sz w:val="28"/>
          <w:szCs w:val="28"/>
        </w:rPr>
        <w:t>S. aureus</w:t>
      </w:r>
      <w:r w:rsidRPr="00F34F69">
        <w:rPr>
          <w:rFonts w:cs="Times New Roman"/>
          <w:sz w:val="28"/>
          <w:szCs w:val="28"/>
        </w:rPr>
        <w:t xml:space="preserve"> и трех генов устойчивости к антибиотикам: nuc, blaZ, ermC, TetK, которые будут служить генами мишенями в мультиплексной ПЦР.</w:t>
      </w:r>
    </w:p>
    <w:p w:rsidR="00F34F69" w:rsidRPr="00F34F69" w:rsidRDefault="00F34F69" w:rsidP="002B0F4A">
      <w:pPr>
        <w:ind w:firstLine="709"/>
        <w:rPr>
          <w:rFonts w:cs="Times New Roman"/>
          <w:sz w:val="28"/>
          <w:szCs w:val="28"/>
        </w:rPr>
      </w:pPr>
      <w:r w:rsidRPr="00F34F69">
        <w:rPr>
          <w:rFonts w:cs="Times New Roman"/>
          <w:sz w:val="28"/>
          <w:szCs w:val="28"/>
        </w:rPr>
        <w:t xml:space="preserve">Для предварительной оценки характеристик сконструированных олигонуклеотидов, провели анализ с помощью онлайн инструмента «Oligo Analyzer Tool». По результатам гомо-димерного и гетеро-димерного анализа праймеров и зондов, разработанные олигопоследовательности соответствуют требованиям в отношении возможности образования гомо- и гетеродимерных комплексов, и не представляет опасности образования дуплексов друг с другом. </w:t>
      </w:r>
    </w:p>
    <w:p w:rsidR="00F34F69" w:rsidRPr="00F34F69" w:rsidRDefault="00F34F69" w:rsidP="002B0F4A">
      <w:pPr>
        <w:ind w:firstLine="709"/>
        <w:rPr>
          <w:rFonts w:cs="Times New Roman"/>
          <w:sz w:val="28"/>
          <w:szCs w:val="28"/>
        </w:rPr>
      </w:pPr>
      <w:r w:rsidRPr="00F34F69">
        <w:rPr>
          <w:rFonts w:cs="Times New Roman"/>
          <w:sz w:val="28"/>
          <w:szCs w:val="28"/>
        </w:rPr>
        <w:t>Синтез праймеров и разрушаемых зондов, произведен с заданными модификациями (флуоресцентные метки для обеспечения возможности визуализации в процессе ПЦР).</w:t>
      </w:r>
    </w:p>
    <w:p w:rsidR="00F34F69" w:rsidRPr="00F34F69" w:rsidRDefault="00F34F69" w:rsidP="002B0F4A">
      <w:pPr>
        <w:ind w:firstLine="709"/>
        <w:rPr>
          <w:rFonts w:cs="Times New Roman"/>
          <w:sz w:val="28"/>
          <w:szCs w:val="28"/>
        </w:rPr>
      </w:pPr>
      <w:r w:rsidRPr="00F34F69">
        <w:rPr>
          <w:rFonts w:cs="Times New Roman"/>
          <w:sz w:val="28"/>
          <w:szCs w:val="28"/>
        </w:rPr>
        <w:t xml:space="preserve">Результаты оптимизации параметров ПЦР. Эксперименты по отработке и оптимизации реакции проводилась с использованием блока VeriFlex на приборе QuantStudio 5 в диапазоне температур от 60 до 65⁰ C. Исходя из результатов проведенных экспериментов и анализа оптических измерений кривых накопления флуоресцентного сигнала с использованием температурного градиента с вертикальным перепадом температур, установлен оптимальный температурный режим отжига праймеров - 60⁰C. В экспериментах использовали стандартную температуру денатурации 95°C в течение 5 минут, что обычно </w:t>
      </w:r>
      <w:r w:rsidRPr="00F34F69">
        <w:rPr>
          <w:rFonts w:cs="Times New Roman"/>
          <w:sz w:val="28"/>
          <w:szCs w:val="28"/>
        </w:rPr>
        <w:lastRenderedPageBreak/>
        <w:t xml:space="preserve">является типичным шагом для начальной денатурации в большинстве протоколов ПЦР. Для коротких фрагментов использовали короткое время денатурации в циклах, равных 10 секундам при 94°C.  </w:t>
      </w:r>
    </w:p>
    <w:p w:rsidR="00F34F69" w:rsidRPr="00F34F69" w:rsidRDefault="00F34F69" w:rsidP="002B0F4A">
      <w:pPr>
        <w:ind w:firstLine="709"/>
        <w:rPr>
          <w:rFonts w:cs="Times New Roman"/>
          <w:sz w:val="28"/>
          <w:szCs w:val="28"/>
        </w:rPr>
      </w:pPr>
      <w:r w:rsidRPr="00F34F69">
        <w:rPr>
          <w:rFonts w:cs="Times New Roman"/>
          <w:sz w:val="28"/>
          <w:szCs w:val="28"/>
        </w:rPr>
        <w:t xml:space="preserve">Для определения аналитической специфичности тестовых праймеров и зонда к выбранному целевому участку гена nuc для </w:t>
      </w:r>
      <w:r w:rsidR="007A7888" w:rsidRPr="007A7888">
        <w:rPr>
          <w:rFonts w:cs="Times New Roman"/>
          <w:i/>
          <w:sz w:val="28"/>
          <w:szCs w:val="28"/>
        </w:rPr>
        <w:t>S. aureus</w:t>
      </w:r>
      <w:r w:rsidRPr="00F34F69">
        <w:rPr>
          <w:rFonts w:cs="Times New Roman"/>
          <w:sz w:val="28"/>
          <w:szCs w:val="28"/>
        </w:rPr>
        <w:t xml:space="preserve">, было случайно отобрано и проанализировано 34 изолята </w:t>
      </w:r>
      <w:r w:rsidR="007A7888" w:rsidRPr="007A7888">
        <w:rPr>
          <w:rFonts w:cs="Times New Roman"/>
          <w:i/>
          <w:sz w:val="28"/>
          <w:szCs w:val="28"/>
        </w:rPr>
        <w:t>S. aureus</w:t>
      </w:r>
      <w:r w:rsidRPr="00F34F69">
        <w:rPr>
          <w:rFonts w:cs="Times New Roman"/>
          <w:sz w:val="28"/>
          <w:szCs w:val="28"/>
        </w:rPr>
        <w:t xml:space="preserve">, а также 56 изолятов не относящихся к </w:t>
      </w:r>
      <w:r w:rsidR="007A7888" w:rsidRPr="007A7888">
        <w:rPr>
          <w:rFonts w:cs="Times New Roman"/>
          <w:i/>
          <w:sz w:val="28"/>
          <w:szCs w:val="28"/>
        </w:rPr>
        <w:t>S. aureus</w:t>
      </w:r>
      <w:r w:rsidRPr="00F34F69">
        <w:rPr>
          <w:rFonts w:cs="Times New Roman"/>
          <w:sz w:val="28"/>
          <w:szCs w:val="28"/>
        </w:rPr>
        <w:t xml:space="preserve"> выделенных из смывов, биоматериала животных, и продуктов животного происхождения (</w:t>
      </w:r>
      <w:r w:rsidR="00053C28" w:rsidRPr="00053C28">
        <w:rPr>
          <w:rFonts w:cs="Times New Roman"/>
          <w:i/>
          <w:sz w:val="28"/>
          <w:szCs w:val="28"/>
        </w:rPr>
        <w:t>S. haemolyticus</w:t>
      </w:r>
      <w:r w:rsidRPr="00F34F69">
        <w:rPr>
          <w:rFonts w:cs="Times New Roman"/>
          <w:sz w:val="28"/>
          <w:szCs w:val="28"/>
        </w:rPr>
        <w:t xml:space="preserve">, </w:t>
      </w:r>
      <w:r w:rsidR="009B02A7" w:rsidRPr="009B02A7">
        <w:rPr>
          <w:rFonts w:cs="Times New Roman"/>
          <w:i/>
          <w:sz w:val="28"/>
          <w:szCs w:val="28"/>
        </w:rPr>
        <w:t>S. epidermidis</w:t>
      </w:r>
      <w:r w:rsidRPr="00F34F69">
        <w:rPr>
          <w:rFonts w:cs="Times New Roman"/>
          <w:sz w:val="28"/>
          <w:szCs w:val="28"/>
        </w:rPr>
        <w:t xml:space="preserve">, </w:t>
      </w:r>
      <w:r w:rsidR="00053C28" w:rsidRPr="00053C28">
        <w:rPr>
          <w:rFonts w:cs="Times New Roman"/>
          <w:i/>
          <w:sz w:val="28"/>
          <w:szCs w:val="28"/>
        </w:rPr>
        <w:t>Str. pyogenes</w:t>
      </w:r>
      <w:r w:rsidRPr="00F34F69">
        <w:rPr>
          <w:rFonts w:cs="Times New Roman"/>
          <w:sz w:val="28"/>
          <w:szCs w:val="28"/>
        </w:rPr>
        <w:t xml:space="preserve">, </w:t>
      </w:r>
      <w:r w:rsidR="00053C28" w:rsidRPr="00053C28">
        <w:rPr>
          <w:rFonts w:cs="Times New Roman"/>
          <w:i/>
          <w:sz w:val="28"/>
          <w:szCs w:val="28"/>
        </w:rPr>
        <w:t>Str. agalactiae</w:t>
      </w:r>
      <w:r w:rsidRPr="00F34F69">
        <w:rPr>
          <w:rFonts w:cs="Times New Roman"/>
          <w:sz w:val="28"/>
          <w:szCs w:val="28"/>
        </w:rPr>
        <w:t xml:space="preserve">, </w:t>
      </w:r>
      <w:r w:rsidR="00453C72" w:rsidRPr="00453C72">
        <w:rPr>
          <w:rFonts w:cs="Times New Roman"/>
          <w:i/>
          <w:sz w:val="28"/>
          <w:szCs w:val="28"/>
        </w:rPr>
        <w:t>Enterococcus faecium</w:t>
      </w:r>
      <w:r w:rsidRPr="00F34F69">
        <w:rPr>
          <w:rFonts w:cs="Times New Roman"/>
          <w:sz w:val="28"/>
          <w:szCs w:val="28"/>
        </w:rPr>
        <w:t xml:space="preserve">, </w:t>
      </w:r>
      <w:r w:rsidR="00B832C8" w:rsidRPr="00B832C8">
        <w:rPr>
          <w:rFonts w:cs="Times New Roman"/>
          <w:i/>
          <w:sz w:val="28"/>
          <w:szCs w:val="28"/>
        </w:rPr>
        <w:t>E. сoli</w:t>
      </w:r>
      <w:r w:rsidRPr="00F34F69">
        <w:rPr>
          <w:rFonts w:cs="Times New Roman"/>
          <w:sz w:val="28"/>
          <w:szCs w:val="28"/>
        </w:rPr>
        <w:t xml:space="preserve">, </w:t>
      </w:r>
      <w:r w:rsidR="00B832C8" w:rsidRPr="00B832C8">
        <w:rPr>
          <w:rFonts w:cs="Times New Roman"/>
          <w:i/>
          <w:sz w:val="28"/>
          <w:szCs w:val="28"/>
        </w:rPr>
        <w:t>Klebsiella</w:t>
      </w:r>
      <w:r w:rsidRPr="00F34F69">
        <w:rPr>
          <w:rFonts w:cs="Times New Roman"/>
          <w:sz w:val="28"/>
          <w:szCs w:val="28"/>
        </w:rPr>
        <w:t xml:space="preserve">, </w:t>
      </w:r>
      <w:r w:rsidR="00B832C8" w:rsidRPr="00B832C8">
        <w:rPr>
          <w:rFonts w:cs="Times New Roman"/>
          <w:i/>
          <w:sz w:val="28"/>
          <w:szCs w:val="28"/>
        </w:rPr>
        <w:t>Proteus</w:t>
      </w:r>
      <w:r w:rsidRPr="00F34F69">
        <w:rPr>
          <w:rFonts w:cs="Times New Roman"/>
          <w:sz w:val="28"/>
          <w:szCs w:val="28"/>
        </w:rPr>
        <w:t xml:space="preserve">, </w:t>
      </w:r>
      <w:r w:rsidR="00B832C8" w:rsidRPr="00B832C8">
        <w:rPr>
          <w:rFonts w:cs="Times New Roman"/>
          <w:i/>
          <w:sz w:val="28"/>
          <w:szCs w:val="28"/>
        </w:rPr>
        <w:t>Citrobacter</w:t>
      </w:r>
      <w:r w:rsidRPr="00F34F69">
        <w:rPr>
          <w:rFonts w:cs="Times New Roman"/>
          <w:sz w:val="28"/>
          <w:szCs w:val="28"/>
        </w:rPr>
        <w:t xml:space="preserve">, </w:t>
      </w:r>
      <w:r w:rsidR="00B832C8" w:rsidRPr="00B832C8">
        <w:rPr>
          <w:rFonts w:cs="Times New Roman"/>
          <w:i/>
          <w:sz w:val="28"/>
          <w:szCs w:val="28"/>
        </w:rPr>
        <w:t>S. chromogenes</w:t>
      </w:r>
      <w:r w:rsidRPr="00F34F69">
        <w:rPr>
          <w:rFonts w:cs="Times New Roman"/>
          <w:sz w:val="28"/>
          <w:szCs w:val="28"/>
        </w:rPr>
        <w:t xml:space="preserve">, </w:t>
      </w:r>
      <w:r w:rsidR="009B02A7" w:rsidRPr="009B02A7">
        <w:rPr>
          <w:rFonts w:cs="Times New Roman"/>
          <w:i/>
          <w:sz w:val="28"/>
          <w:szCs w:val="28"/>
        </w:rPr>
        <w:t>S. simulans</w:t>
      </w:r>
      <w:r w:rsidRPr="00F34F69">
        <w:rPr>
          <w:rFonts w:cs="Times New Roman"/>
          <w:sz w:val="28"/>
          <w:szCs w:val="28"/>
        </w:rPr>
        <w:t xml:space="preserve">, </w:t>
      </w:r>
      <w:r w:rsidR="00B832C8" w:rsidRPr="00B832C8">
        <w:rPr>
          <w:rFonts w:cs="Times New Roman"/>
          <w:i/>
          <w:sz w:val="28"/>
          <w:szCs w:val="28"/>
        </w:rPr>
        <w:t>Salmonella</w:t>
      </w:r>
      <w:r w:rsidRPr="00F34F69">
        <w:rPr>
          <w:rFonts w:cs="Times New Roman"/>
          <w:sz w:val="28"/>
          <w:szCs w:val="28"/>
        </w:rPr>
        <w:t xml:space="preserve">, </w:t>
      </w:r>
      <w:r w:rsidR="00B832C8" w:rsidRPr="00B832C8">
        <w:rPr>
          <w:rFonts w:cs="Times New Roman"/>
          <w:i/>
          <w:sz w:val="28"/>
          <w:szCs w:val="28"/>
        </w:rPr>
        <w:t>Listeria monocytogenes</w:t>
      </w:r>
      <w:r w:rsidRPr="00F34F69">
        <w:rPr>
          <w:rFonts w:cs="Times New Roman"/>
          <w:sz w:val="28"/>
          <w:szCs w:val="28"/>
        </w:rPr>
        <w:t>).</w:t>
      </w:r>
    </w:p>
    <w:p w:rsidR="00F34F69" w:rsidRPr="00F34F69" w:rsidRDefault="00F34F69" w:rsidP="002B0F4A">
      <w:pPr>
        <w:ind w:firstLine="709"/>
        <w:rPr>
          <w:rFonts w:cs="Times New Roman"/>
          <w:sz w:val="28"/>
          <w:szCs w:val="28"/>
        </w:rPr>
      </w:pPr>
      <w:r w:rsidRPr="00F34F69">
        <w:rPr>
          <w:rFonts w:cs="Times New Roman"/>
          <w:sz w:val="28"/>
          <w:szCs w:val="28"/>
        </w:rPr>
        <w:t xml:space="preserve">Все 34 изолята </w:t>
      </w:r>
      <w:r w:rsidR="007A7888" w:rsidRPr="007A7888">
        <w:rPr>
          <w:rFonts w:cs="Times New Roman"/>
          <w:i/>
          <w:sz w:val="28"/>
          <w:szCs w:val="28"/>
        </w:rPr>
        <w:t>S. aureus</w:t>
      </w:r>
      <w:r w:rsidRPr="00F34F69">
        <w:rPr>
          <w:rFonts w:cs="Times New Roman"/>
          <w:sz w:val="28"/>
          <w:szCs w:val="28"/>
        </w:rPr>
        <w:t xml:space="preserve"> были правильно идентифицированы по выбранному целевому участку гена термостабильной нуклеазы (nuc). 56 изолятов, не относящиеся к </w:t>
      </w:r>
      <w:r w:rsidR="007A7888" w:rsidRPr="007A7888">
        <w:rPr>
          <w:rFonts w:cs="Times New Roman"/>
          <w:i/>
          <w:sz w:val="28"/>
          <w:szCs w:val="28"/>
        </w:rPr>
        <w:t>S. aureus</w:t>
      </w:r>
      <w:r w:rsidRPr="00F34F69">
        <w:rPr>
          <w:rFonts w:cs="Times New Roman"/>
          <w:sz w:val="28"/>
          <w:szCs w:val="28"/>
        </w:rPr>
        <w:t>, дали отрицательный результат, что важно для исключения возможных ложноположительных результатов, которые могли бы возникнуть из-за наличия ДНК нецелевых организмов.</w:t>
      </w:r>
    </w:p>
    <w:p w:rsidR="00F34F69" w:rsidRPr="00F34F69" w:rsidRDefault="00F34F69" w:rsidP="002B0F4A">
      <w:pPr>
        <w:ind w:firstLine="709"/>
        <w:rPr>
          <w:rFonts w:cs="Times New Roman"/>
          <w:sz w:val="28"/>
          <w:szCs w:val="28"/>
        </w:rPr>
      </w:pPr>
      <w:r w:rsidRPr="00F34F69">
        <w:rPr>
          <w:rFonts w:cs="Times New Roman"/>
          <w:sz w:val="28"/>
          <w:szCs w:val="28"/>
        </w:rPr>
        <w:t xml:space="preserve">Таким образом, присутствие ДНК нецелевых видов бактерий никак не влияло на идентификацию </w:t>
      </w:r>
      <w:r w:rsidR="007A7888" w:rsidRPr="007A7888">
        <w:rPr>
          <w:rFonts w:cs="Times New Roman"/>
          <w:i/>
          <w:sz w:val="28"/>
          <w:szCs w:val="28"/>
        </w:rPr>
        <w:t>S. aureus</w:t>
      </w:r>
      <w:r w:rsidRPr="00F34F69">
        <w:rPr>
          <w:rFonts w:cs="Times New Roman"/>
          <w:sz w:val="28"/>
          <w:szCs w:val="28"/>
        </w:rPr>
        <w:t xml:space="preserve"> по выбранному специфичному участку гена, и свидетельствуют о высокой специфичности праймеров и метода анализа.</w:t>
      </w:r>
    </w:p>
    <w:p w:rsidR="00F34F69" w:rsidRPr="00F34F69" w:rsidRDefault="00F34F69" w:rsidP="002B0F4A">
      <w:pPr>
        <w:ind w:firstLine="709"/>
        <w:rPr>
          <w:rFonts w:cs="Times New Roman"/>
          <w:sz w:val="28"/>
          <w:szCs w:val="28"/>
        </w:rPr>
      </w:pPr>
      <w:r w:rsidRPr="00F34F69">
        <w:rPr>
          <w:rFonts w:cs="Times New Roman"/>
          <w:sz w:val="28"/>
          <w:szCs w:val="28"/>
        </w:rPr>
        <w:t xml:space="preserve">Для определения аналитической чувствительности тестовых праймеров и зондов к выбранному целевому участку гена nuc для </w:t>
      </w:r>
      <w:r w:rsidR="007A7888" w:rsidRPr="007A7888">
        <w:rPr>
          <w:rFonts w:cs="Times New Roman"/>
          <w:i/>
          <w:sz w:val="28"/>
          <w:szCs w:val="28"/>
        </w:rPr>
        <w:t>S. aureus</w:t>
      </w:r>
      <w:r w:rsidRPr="00F34F69">
        <w:rPr>
          <w:rFonts w:cs="Times New Roman"/>
          <w:sz w:val="28"/>
          <w:szCs w:val="28"/>
        </w:rPr>
        <w:t xml:space="preserve">, произвели последовательные разведения выделенной ДНК </w:t>
      </w:r>
      <w:r w:rsidR="007A7888" w:rsidRPr="007A7888">
        <w:rPr>
          <w:rFonts w:cs="Times New Roman"/>
          <w:i/>
          <w:sz w:val="28"/>
          <w:szCs w:val="28"/>
        </w:rPr>
        <w:t>S. aureus</w:t>
      </w:r>
      <w:r w:rsidRPr="00F34F69">
        <w:rPr>
          <w:rFonts w:cs="Times New Roman"/>
          <w:sz w:val="28"/>
          <w:szCs w:val="28"/>
        </w:rPr>
        <w:t xml:space="preserve">, рассчитав процент геномов, при котором еще можно наблюдать специфические сигналы на кривых ПЦР. По результатам проведенных экспериментов, установлена диагностическая чувствительность протокола ПЦР для целевого гена nuc </w:t>
      </w:r>
      <w:r w:rsidR="007A7888" w:rsidRPr="007A7888">
        <w:rPr>
          <w:rFonts w:cs="Times New Roman"/>
          <w:i/>
          <w:sz w:val="28"/>
          <w:szCs w:val="28"/>
        </w:rPr>
        <w:t>S. aureus</w:t>
      </w:r>
      <w:r w:rsidRPr="00F34F69">
        <w:rPr>
          <w:rFonts w:cs="Times New Roman"/>
          <w:sz w:val="28"/>
          <w:szCs w:val="28"/>
        </w:rPr>
        <w:t xml:space="preserve">, которая составила 13 и 10 копий ДНК/мкл.  </w:t>
      </w:r>
    </w:p>
    <w:p w:rsidR="00F34F69" w:rsidRPr="00F34F69" w:rsidRDefault="00F34F69" w:rsidP="002B0F4A">
      <w:pPr>
        <w:ind w:firstLine="709"/>
        <w:rPr>
          <w:rFonts w:cs="Times New Roman"/>
          <w:sz w:val="28"/>
          <w:szCs w:val="28"/>
        </w:rPr>
      </w:pPr>
      <w:r w:rsidRPr="00F34F69">
        <w:rPr>
          <w:rFonts w:cs="Times New Roman"/>
          <w:sz w:val="28"/>
          <w:szCs w:val="28"/>
        </w:rPr>
        <w:t>Таким образом, разработанный набор для мультиплексной ПЦР может служить надежным инструментом скрининга, особенно в образцах, с низким содержанием исследуемых патогенов, что соответствует представленным результатам ученых в данной области исследований.</w:t>
      </w:r>
    </w:p>
    <w:p w:rsidR="00F34F69" w:rsidRPr="00F34F69" w:rsidRDefault="00F34F69" w:rsidP="002B0F4A">
      <w:pPr>
        <w:ind w:firstLine="709"/>
        <w:rPr>
          <w:rFonts w:cs="Times New Roman"/>
          <w:sz w:val="28"/>
          <w:szCs w:val="28"/>
        </w:rPr>
      </w:pPr>
      <w:r w:rsidRPr="00F34F69">
        <w:rPr>
          <w:rFonts w:cs="Times New Roman"/>
          <w:sz w:val="28"/>
          <w:szCs w:val="28"/>
        </w:rPr>
        <w:t>Разработан рекомбинантный положительный контрольный образец для подтверждения результатов ПЦР.</w:t>
      </w:r>
    </w:p>
    <w:p w:rsidR="00F34F69" w:rsidRPr="00F34F69" w:rsidRDefault="00F34F69" w:rsidP="002B0F4A">
      <w:pPr>
        <w:ind w:firstLine="709"/>
        <w:rPr>
          <w:rFonts w:cs="Times New Roman"/>
          <w:sz w:val="28"/>
          <w:szCs w:val="28"/>
        </w:rPr>
      </w:pPr>
      <w:r w:rsidRPr="00F34F69">
        <w:rPr>
          <w:rFonts w:cs="Times New Roman"/>
          <w:sz w:val="28"/>
          <w:szCs w:val="28"/>
        </w:rPr>
        <w:t xml:space="preserve">Проведена идентификация изолятов </w:t>
      </w:r>
      <w:r w:rsidR="007A7888" w:rsidRPr="007A7888">
        <w:rPr>
          <w:rFonts w:cs="Times New Roman"/>
          <w:i/>
          <w:sz w:val="28"/>
          <w:szCs w:val="28"/>
        </w:rPr>
        <w:t>S. aureus</w:t>
      </w:r>
      <w:r w:rsidRPr="00F34F69">
        <w:rPr>
          <w:rFonts w:cs="Times New Roman"/>
          <w:sz w:val="28"/>
          <w:szCs w:val="28"/>
        </w:rPr>
        <w:t xml:space="preserve"> и генетических маркеров устойчивости (blaZ, ermC и tetK) с применением разработанных праймерных и зондовых последовательностей. Проведена оценка согласованности фенотипических и генотипических методов идентификации.</w:t>
      </w:r>
    </w:p>
    <w:p w:rsidR="00F34F69" w:rsidRPr="00F34F69" w:rsidRDefault="00F34F69" w:rsidP="002B0F4A">
      <w:pPr>
        <w:ind w:firstLine="709"/>
        <w:rPr>
          <w:rFonts w:cs="Times New Roman"/>
          <w:sz w:val="28"/>
          <w:szCs w:val="28"/>
        </w:rPr>
      </w:pPr>
      <w:r w:rsidRPr="00F34F69">
        <w:rPr>
          <w:rFonts w:cs="Times New Roman"/>
          <w:sz w:val="28"/>
          <w:szCs w:val="28"/>
        </w:rPr>
        <w:t xml:space="preserve">Таким образом, разработана мультиплексная полимеразная цепная реакция в реальном времени для экспресс-идентификации </w:t>
      </w:r>
      <w:r w:rsidR="007A7888" w:rsidRPr="007A7888">
        <w:rPr>
          <w:rFonts w:cs="Times New Roman"/>
          <w:i/>
          <w:sz w:val="28"/>
          <w:szCs w:val="28"/>
        </w:rPr>
        <w:t>S. аureus</w:t>
      </w:r>
      <w:r w:rsidRPr="00F34F69">
        <w:rPr>
          <w:rFonts w:cs="Times New Roman"/>
          <w:sz w:val="28"/>
          <w:szCs w:val="28"/>
        </w:rPr>
        <w:t xml:space="preserve"> с одновременным определением генов устойчивости (blaZ, ermC и tetK) к антимикробным препаратам. Научно обоснована и экспериментально доказана эффективность его использования для исследования пищевых продуктов и биологического материала животного происхождения. Аналитическая чувствительность набора составила от 10 копий ДНК/мкл, специфичность – 100%, воспроизводимость – 100%.</w:t>
      </w:r>
    </w:p>
    <w:p w:rsidR="00F34F69" w:rsidRPr="00F34F69" w:rsidRDefault="00F34F69" w:rsidP="00F34F69">
      <w:pPr>
        <w:rPr>
          <w:rFonts w:cs="Times New Roman"/>
          <w:sz w:val="28"/>
          <w:szCs w:val="28"/>
        </w:rPr>
      </w:pPr>
    </w:p>
    <w:p w:rsidR="00F34F69" w:rsidRPr="00F34F69" w:rsidRDefault="00F34F69" w:rsidP="00F34F69">
      <w:pPr>
        <w:rPr>
          <w:rFonts w:cs="Times New Roman"/>
          <w:sz w:val="28"/>
          <w:szCs w:val="28"/>
        </w:rPr>
      </w:pPr>
    </w:p>
    <w:p w:rsidR="00F34F69" w:rsidRPr="006F2F87" w:rsidRDefault="00F34F69" w:rsidP="002B0F4A">
      <w:pPr>
        <w:jc w:val="center"/>
        <w:rPr>
          <w:rFonts w:cs="Times New Roman"/>
          <w:b/>
          <w:sz w:val="28"/>
          <w:szCs w:val="28"/>
        </w:rPr>
      </w:pPr>
      <w:r w:rsidRPr="006F2F87">
        <w:rPr>
          <w:rFonts w:cs="Times New Roman"/>
          <w:b/>
          <w:sz w:val="28"/>
          <w:szCs w:val="28"/>
        </w:rPr>
        <w:t>ЗАКЛЮЧЕНИЕ</w:t>
      </w:r>
    </w:p>
    <w:p w:rsidR="00F34F69" w:rsidRPr="00F34F69" w:rsidRDefault="00F34F69" w:rsidP="00F34F69">
      <w:pPr>
        <w:rPr>
          <w:rFonts w:cs="Times New Roman"/>
          <w:sz w:val="28"/>
          <w:szCs w:val="28"/>
        </w:rPr>
      </w:pPr>
    </w:p>
    <w:p w:rsidR="00F34F69" w:rsidRPr="00F34F69" w:rsidRDefault="00F34F69" w:rsidP="002B0F4A">
      <w:pPr>
        <w:ind w:firstLine="709"/>
        <w:rPr>
          <w:rFonts w:cs="Times New Roman"/>
          <w:sz w:val="28"/>
          <w:szCs w:val="28"/>
        </w:rPr>
      </w:pPr>
      <w:r w:rsidRPr="00F34F69">
        <w:rPr>
          <w:rFonts w:cs="Times New Roman"/>
          <w:sz w:val="28"/>
          <w:szCs w:val="28"/>
        </w:rPr>
        <w:t>На основании проведенных исследований и полученных результатов нами сделаны следующие выводы:</w:t>
      </w:r>
    </w:p>
    <w:p w:rsidR="00F34F69" w:rsidRPr="00F34F69" w:rsidRDefault="00F34F69" w:rsidP="002B0F4A">
      <w:pPr>
        <w:ind w:firstLine="709"/>
        <w:rPr>
          <w:rFonts w:cs="Times New Roman"/>
          <w:sz w:val="28"/>
          <w:szCs w:val="28"/>
        </w:rPr>
      </w:pPr>
      <w:r w:rsidRPr="00F34F69">
        <w:rPr>
          <w:rFonts w:cs="Times New Roman"/>
          <w:sz w:val="28"/>
          <w:szCs w:val="28"/>
        </w:rPr>
        <w:t>1. В период проведения диссертационных исследований, осуществлен отбор 1680 проб продуктов животного происхождения в точках розничной торговли и различных хозяйствах Костанайской области, в том числе 1585 проб молочной продукции, 95 проб других продуктов животного происхождения.</w:t>
      </w:r>
    </w:p>
    <w:p w:rsidR="00F34F69" w:rsidRPr="00F34F69" w:rsidRDefault="00F34F69" w:rsidP="002B0F4A">
      <w:pPr>
        <w:ind w:firstLine="709"/>
        <w:rPr>
          <w:rFonts w:cs="Times New Roman"/>
          <w:sz w:val="28"/>
          <w:szCs w:val="28"/>
        </w:rPr>
      </w:pPr>
      <w:r w:rsidRPr="00F34F69">
        <w:rPr>
          <w:rFonts w:cs="Times New Roman"/>
          <w:sz w:val="28"/>
          <w:szCs w:val="28"/>
        </w:rPr>
        <w:t xml:space="preserve">В период с 2021 г. по 2023 г. было исследовано 1585 образцов молока, из которых выделено 82 (5,1%) штамма </w:t>
      </w:r>
      <w:r w:rsidR="007A7888" w:rsidRPr="007A7888">
        <w:rPr>
          <w:rFonts w:cs="Times New Roman"/>
          <w:i/>
          <w:sz w:val="28"/>
          <w:szCs w:val="28"/>
        </w:rPr>
        <w:t>S. aureus</w:t>
      </w:r>
      <w:r w:rsidRPr="00F34F69">
        <w:rPr>
          <w:rFonts w:cs="Times New Roman"/>
          <w:sz w:val="28"/>
          <w:szCs w:val="28"/>
        </w:rPr>
        <w:t xml:space="preserve">. В таких молочных хозяйствах, как ТОО «Баталинское», ТОО «Олжа Аккудук», проблема персистенции </w:t>
      </w:r>
      <w:r w:rsidR="007A7888" w:rsidRPr="007A7888">
        <w:rPr>
          <w:rFonts w:cs="Times New Roman"/>
          <w:i/>
          <w:sz w:val="28"/>
          <w:szCs w:val="28"/>
        </w:rPr>
        <w:t>S. aureus</w:t>
      </w:r>
      <w:r w:rsidRPr="00F34F69">
        <w:rPr>
          <w:rFonts w:cs="Times New Roman"/>
          <w:sz w:val="28"/>
          <w:szCs w:val="28"/>
        </w:rPr>
        <w:t>, как возбудителя мастита коров остается актуальной.</w:t>
      </w:r>
    </w:p>
    <w:p w:rsidR="00F34F69" w:rsidRPr="00F34F69" w:rsidRDefault="00F34F69" w:rsidP="002B0F4A">
      <w:pPr>
        <w:ind w:firstLine="709"/>
        <w:rPr>
          <w:rFonts w:cs="Times New Roman"/>
          <w:sz w:val="28"/>
          <w:szCs w:val="28"/>
        </w:rPr>
      </w:pPr>
      <w:r w:rsidRPr="00F34F69">
        <w:rPr>
          <w:rFonts w:cs="Times New Roman"/>
          <w:sz w:val="28"/>
          <w:szCs w:val="28"/>
        </w:rPr>
        <w:t xml:space="preserve">Других продуктов животного происхождения за 3 года исследовано 95, выделено 5 (5,2%).  При этом наибольшее количество штаммов </w:t>
      </w:r>
      <w:r w:rsidR="007A7888" w:rsidRPr="007A7888">
        <w:rPr>
          <w:rFonts w:cs="Times New Roman"/>
          <w:i/>
          <w:sz w:val="28"/>
          <w:szCs w:val="28"/>
        </w:rPr>
        <w:t>S. aureus</w:t>
      </w:r>
      <w:r w:rsidRPr="00F34F69">
        <w:rPr>
          <w:rFonts w:cs="Times New Roman"/>
          <w:sz w:val="28"/>
          <w:szCs w:val="28"/>
        </w:rPr>
        <w:t xml:space="preserve"> было выделено из птицеводческой продукции – 4 (10,8%). Других продуктов животного происхождения за 3 года исследовано 27 образцов, выделен 1 (3,7%) штамм </w:t>
      </w:r>
      <w:r w:rsidR="007A7888" w:rsidRPr="007A7888">
        <w:rPr>
          <w:rFonts w:cs="Times New Roman"/>
          <w:i/>
          <w:sz w:val="28"/>
          <w:szCs w:val="28"/>
        </w:rPr>
        <w:t>S. aureus</w:t>
      </w:r>
      <w:r w:rsidRPr="00F34F69">
        <w:rPr>
          <w:rFonts w:cs="Times New Roman"/>
          <w:sz w:val="28"/>
          <w:szCs w:val="28"/>
        </w:rPr>
        <w:t xml:space="preserve">. В готовой к употреблению продукции не обнаружено ни одного штамма </w:t>
      </w:r>
      <w:r w:rsidR="007A7888" w:rsidRPr="007A7888">
        <w:rPr>
          <w:rFonts w:cs="Times New Roman"/>
          <w:i/>
          <w:sz w:val="28"/>
          <w:szCs w:val="28"/>
        </w:rPr>
        <w:t>S. aureus</w:t>
      </w:r>
      <w:r w:rsidRPr="00F34F69">
        <w:rPr>
          <w:rFonts w:cs="Times New Roman"/>
          <w:sz w:val="28"/>
          <w:szCs w:val="28"/>
        </w:rPr>
        <w:t>, при этом исследован 31 образец.</w:t>
      </w:r>
    </w:p>
    <w:p w:rsidR="00F34F69" w:rsidRPr="00F34F69" w:rsidRDefault="00F34F69" w:rsidP="002B0F4A">
      <w:pPr>
        <w:ind w:firstLine="709"/>
        <w:rPr>
          <w:rFonts w:cs="Times New Roman"/>
          <w:sz w:val="28"/>
          <w:szCs w:val="28"/>
        </w:rPr>
      </w:pPr>
      <w:r w:rsidRPr="00F34F69">
        <w:rPr>
          <w:rFonts w:cs="Times New Roman"/>
          <w:sz w:val="28"/>
          <w:szCs w:val="28"/>
        </w:rPr>
        <w:t xml:space="preserve">Результаты исследований, показывающие присутствие бактерий </w:t>
      </w:r>
      <w:r w:rsidR="007A7888" w:rsidRPr="007A7888">
        <w:rPr>
          <w:rFonts w:cs="Times New Roman"/>
          <w:i/>
          <w:sz w:val="28"/>
          <w:szCs w:val="28"/>
        </w:rPr>
        <w:t>S. aureus</w:t>
      </w:r>
      <w:r w:rsidRPr="00F34F69">
        <w:rPr>
          <w:rFonts w:cs="Times New Roman"/>
          <w:sz w:val="28"/>
          <w:szCs w:val="28"/>
        </w:rPr>
        <w:t xml:space="preserve"> в пробах молока коров и молочных продуктов на территории Костанайской области, могут играть важную роль для понимания состояния здоровья животных и качества производимой продукции.</w:t>
      </w:r>
    </w:p>
    <w:p w:rsidR="00F34F69" w:rsidRPr="00F34F69" w:rsidRDefault="00F34F69" w:rsidP="002B0F4A">
      <w:pPr>
        <w:ind w:firstLine="709"/>
        <w:rPr>
          <w:rFonts w:cs="Times New Roman"/>
          <w:sz w:val="28"/>
          <w:szCs w:val="28"/>
        </w:rPr>
      </w:pPr>
      <w:r w:rsidRPr="00F34F69">
        <w:rPr>
          <w:rFonts w:cs="Times New Roman"/>
          <w:sz w:val="28"/>
          <w:szCs w:val="28"/>
        </w:rPr>
        <w:t xml:space="preserve">2. Результаты тестирования на антибиотикорезистентность указывают на высокий уровень устойчивости штаммов </w:t>
      </w:r>
      <w:r w:rsidR="007A7888" w:rsidRPr="007A7888">
        <w:rPr>
          <w:rFonts w:cs="Times New Roman"/>
          <w:i/>
          <w:sz w:val="28"/>
          <w:szCs w:val="28"/>
        </w:rPr>
        <w:t>S. aureus</w:t>
      </w:r>
      <w:r w:rsidRPr="00F34F69">
        <w:rPr>
          <w:rFonts w:cs="Times New Roman"/>
          <w:sz w:val="28"/>
          <w:szCs w:val="28"/>
        </w:rPr>
        <w:t xml:space="preserve"> к различным группам антибактериальных препаратов. Наибольшее количество изолятов </w:t>
      </w:r>
      <w:r w:rsidR="007A7888" w:rsidRPr="007A7888">
        <w:rPr>
          <w:rFonts w:cs="Times New Roman"/>
          <w:i/>
          <w:sz w:val="28"/>
          <w:szCs w:val="28"/>
        </w:rPr>
        <w:t>S. aureus</w:t>
      </w:r>
      <w:r w:rsidRPr="00F34F69">
        <w:rPr>
          <w:rFonts w:cs="Times New Roman"/>
          <w:sz w:val="28"/>
          <w:szCs w:val="28"/>
        </w:rPr>
        <w:t xml:space="preserve"> проявили высокую чувствительность к группе β – лактамных антибиотиков – до 100%, к группе тетрациклинов и фторхинолонов – до 95,4%, макролидов – до 60,92%. Наименьшее количество резистентных штаммов выявлено к группе сульфаниламидов – 21,84% и группе аминогликозидов – 27,59%.</w:t>
      </w:r>
    </w:p>
    <w:p w:rsidR="00F34F69" w:rsidRPr="00F34F69" w:rsidRDefault="00F34F69" w:rsidP="002B0F4A">
      <w:pPr>
        <w:ind w:firstLine="709"/>
        <w:rPr>
          <w:rFonts w:cs="Times New Roman"/>
          <w:sz w:val="28"/>
          <w:szCs w:val="28"/>
        </w:rPr>
      </w:pPr>
      <w:r w:rsidRPr="00F34F69">
        <w:rPr>
          <w:rFonts w:cs="Times New Roman"/>
          <w:sz w:val="28"/>
          <w:szCs w:val="28"/>
        </w:rPr>
        <w:t xml:space="preserve">Из 87 изолятов </w:t>
      </w:r>
      <w:r w:rsidR="007A7888" w:rsidRPr="007A7888">
        <w:rPr>
          <w:rFonts w:cs="Times New Roman"/>
          <w:i/>
          <w:sz w:val="28"/>
          <w:szCs w:val="28"/>
        </w:rPr>
        <w:t>S. aureus</w:t>
      </w:r>
      <w:r w:rsidRPr="00F34F69">
        <w:rPr>
          <w:rFonts w:cs="Times New Roman"/>
          <w:sz w:val="28"/>
          <w:szCs w:val="28"/>
        </w:rPr>
        <w:t xml:space="preserve"> с установленной резистентностью 3 (3,44%) изолята были резистентны к двум группам АБП; 17 (19,54%) изолятов к трем группам АБП, 46 (52,87%) изолятов к четырем группам; 19 (21,83%) изолятов проявили резистентность сразу к пяти группам; 2 (2,29%) изолята резистентны одновременно к шести группам АБП. Наиболее эффективными антибиотиками в отношении </w:t>
      </w:r>
      <w:r w:rsidR="007A7888" w:rsidRPr="007A7888">
        <w:rPr>
          <w:rFonts w:cs="Times New Roman"/>
          <w:i/>
          <w:sz w:val="28"/>
          <w:szCs w:val="28"/>
        </w:rPr>
        <w:t>S. aureus</w:t>
      </w:r>
      <w:r w:rsidRPr="00F34F69">
        <w:rPr>
          <w:rFonts w:cs="Times New Roman"/>
          <w:sz w:val="28"/>
          <w:szCs w:val="28"/>
        </w:rPr>
        <w:t xml:space="preserve"> оказались гентамицин, канамицин и неомицин, тогда как, ампициллин, тетрациклин и ципрофлоксацин оказались менее эффективными.</w:t>
      </w:r>
    </w:p>
    <w:p w:rsidR="00F34F69" w:rsidRPr="00F34F69" w:rsidRDefault="00F34F69" w:rsidP="002B0F4A">
      <w:pPr>
        <w:ind w:firstLine="709"/>
        <w:rPr>
          <w:rFonts w:cs="Times New Roman"/>
          <w:sz w:val="28"/>
          <w:szCs w:val="28"/>
        </w:rPr>
      </w:pPr>
      <w:r w:rsidRPr="00F34F69">
        <w:rPr>
          <w:rFonts w:cs="Times New Roman"/>
          <w:sz w:val="28"/>
          <w:szCs w:val="28"/>
        </w:rPr>
        <w:t xml:space="preserve">Полученные результаты свидетельствуют о серьезной проблеме антибиотикорезистентности у выделенных штаммов </w:t>
      </w:r>
      <w:r w:rsidR="007A7888" w:rsidRPr="007A7888">
        <w:rPr>
          <w:rFonts w:cs="Times New Roman"/>
          <w:i/>
          <w:sz w:val="28"/>
          <w:szCs w:val="28"/>
        </w:rPr>
        <w:t>S. aureus</w:t>
      </w:r>
      <w:r w:rsidRPr="00F34F69">
        <w:rPr>
          <w:rFonts w:cs="Times New Roman"/>
          <w:sz w:val="28"/>
          <w:szCs w:val="28"/>
        </w:rPr>
        <w:t xml:space="preserve">. Это подчеркивает важность разумного и ответственного использования антибиотиков в ветеринарной практике и сельском хозяйстве, а также </w:t>
      </w:r>
      <w:r w:rsidRPr="00F34F69">
        <w:rPr>
          <w:rFonts w:cs="Times New Roman"/>
          <w:sz w:val="28"/>
          <w:szCs w:val="28"/>
        </w:rPr>
        <w:lastRenderedPageBreak/>
        <w:t>необходимость постоянного мониторинга резистентности бактерий к антибиотикам для эффективного лечения.</w:t>
      </w:r>
    </w:p>
    <w:p w:rsidR="00F34F69" w:rsidRPr="00F34F69" w:rsidRDefault="00F34F69" w:rsidP="002B0F4A">
      <w:pPr>
        <w:ind w:firstLine="709"/>
        <w:rPr>
          <w:rFonts w:cs="Times New Roman"/>
          <w:sz w:val="28"/>
          <w:szCs w:val="28"/>
        </w:rPr>
      </w:pPr>
      <w:r w:rsidRPr="00F34F69">
        <w:rPr>
          <w:rFonts w:cs="Times New Roman"/>
          <w:sz w:val="28"/>
          <w:szCs w:val="28"/>
        </w:rPr>
        <w:t xml:space="preserve">3. Разработана мультиплексная полимеразная цепная реакция в реальном времени для экспресс-идентификации </w:t>
      </w:r>
      <w:r w:rsidR="007A7888" w:rsidRPr="007A7888">
        <w:rPr>
          <w:rFonts w:cs="Times New Roman"/>
          <w:i/>
          <w:sz w:val="28"/>
          <w:szCs w:val="28"/>
        </w:rPr>
        <w:t>S. аureus</w:t>
      </w:r>
      <w:r w:rsidRPr="00F34F69">
        <w:rPr>
          <w:rFonts w:cs="Times New Roman"/>
          <w:sz w:val="28"/>
          <w:szCs w:val="28"/>
        </w:rPr>
        <w:t xml:space="preserve"> с одновременным определением генов устойчивости (blaZ, ermC и tetK) к антимикробным препаратам. Научно обоснована и экспериментально доказана эффективность его использования для исследования пищевых продуктов и биологического материала животного происхождения. Аналитическая чувствительность набора составила от 10 копий ДНК/мкл, специфичность – 100%, воспроизводимость – 100%.</w:t>
      </w:r>
    </w:p>
    <w:p w:rsidR="00F34F69" w:rsidRPr="00F34F69" w:rsidRDefault="00F34F69" w:rsidP="002B0F4A">
      <w:pPr>
        <w:ind w:firstLine="709"/>
        <w:rPr>
          <w:rFonts w:cs="Times New Roman"/>
          <w:sz w:val="28"/>
          <w:szCs w:val="28"/>
        </w:rPr>
      </w:pPr>
      <w:r w:rsidRPr="00F34F69">
        <w:rPr>
          <w:rFonts w:cs="Times New Roman"/>
          <w:sz w:val="28"/>
          <w:szCs w:val="28"/>
        </w:rPr>
        <w:t xml:space="preserve">4. Идентификация изолятов </w:t>
      </w:r>
      <w:r w:rsidR="007A7888" w:rsidRPr="007A7888">
        <w:rPr>
          <w:rFonts w:cs="Times New Roman"/>
          <w:i/>
          <w:sz w:val="28"/>
          <w:szCs w:val="28"/>
        </w:rPr>
        <w:t>S. aureus</w:t>
      </w:r>
      <w:r w:rsidRPr="00F34F69">
        <w:rPr>
          <w:rFonts w:cs="Times New Roman"/>
          <w:sz w:val="28"/>
          <w:szCs w:val="28"/>
        </w:rPr>
        <w:t xml:space="preserve"> и генетических маркеров устойчивости (blaZ, ermC и tetK) с применением разработанных праймерных и зондовых последовательностей.</w:t>
      </w:r>
    </w:p>
    <w:p w:rsidR="00227632" w:rsidRPr="00F34F69" w:rsidRDefault="00227632" w:rsidP="00227632">
      <w:pPr>
        <w:ind w:firstLine="709"/>
        <w:rPr>
          <w:rFonts w:cs="Times New Roman"/>
          <w:sz w:val="28"/>
          <w:szCs w:val="28"/>
        </w:rPr>
      </w:pPr>
      <w:r w:rsidRPr="00F34F69">
        <w:rPr>
          <w:sz w:val="28"/>
        </w:rPr>
        <w:t xml:space="preserve">87 изолятов </w:t>
      </w:r>
      <w:r w:rsidRPr="007A7888">
        <w:rPr>
          <w:i/>
          <w:sz w:val="28"/>
        </w:rPr>
        <w:t>S. aureus</w:t>
      </w:r>
      <w:r w:rsidRPr="00F34F69">
        <w:rPr>
          <w:sz w:val="28"/>
        </w:rPr>
        <w:t xml:space="preserve"> </w:t>
      </w:r>
      <w:r>
        <w:rPr>
          <w:sz w:val="28"/>
        </w:rPr>
        <w:t xml:space="preserve">(100%) </w:t>
      </w:r>
      <w:r w:rsidRPr="00F34F69">
        <w:rPr>
          <w:sz w:val="28"/>
        </w:rPr>
        <w:t>показали положительный результат на присутствие специфического для золотистого стафилококка гена, кодирующего фермент термостабильной нуклеазы (nuc). 40 (46,0%) изолятов оказались положительными в отношении гена blaZ, кодирующего бета-лактамазу. 67 (77%) имели ген ermC, кодирующий метилтрансферазу. У 73 (83,9%) изолятов присутствовал ген TetK, кодирующий тетрациклин-специфическую эффлюкс-помпу.</w:t>
      </w:r>
    </w:p>
    <w:p w:rsidR="00F34F69" w:rsidRDefault="00F34F69" w:rsidP="002B0F4A">
      <w:pPr>
        <w:ind w:firstLine="709"/>
        <w:rPr>
          <w:rFonts w:cs="Times New Roman"/>
          <w:sz w:val="28"/>
          <w:szCs w:val="28"/>
        </w:rPr>
      </w:pPr>
      <w:r w:rsidRPr="00F34F69">
        <w:rPr>
          <w:rFonts w:cs="Times New Roman"/>
          <w:sz w:val="28"/>
          <w:szCs w:val="28"/>
        </w:rPr>
        <w:t xml:space="preserve">Из 87 изолятов </w:t>
      </w:r>
      <w:r w:rsidR="007A7888" w:rsidRPr="007A7888">
        <w:rPr>
          <w:rFonts w:cs="Times New Roman"/>
          <w:i/>
          <w:sz w:val="28"/>
          <w:szCs w:val="28"/>
        </w:rPr>
        <w:t>S. aureus</w:t>
      </w:r>
      <w:r w:rsidRPr="00F34F69">
        <w:rPr>
          <w:rFonts w:cs="Times New Roman"/>
          <w:sz w:val="28"/>
          <w:szCs w:val="28"/>
        </w:rPr>
        <w:t xml:space="preserve"> с установленной резистентностью, у 2 (2,3%) изолятов не обнаружено ни одного гена устойчивости к АБП. 18 (20,69%) изолятов имели 1 ген резистентности как минимум к одному из исследуемых детерминант устойчивости к АБП, 39 (44,83%) изолятов имели по два гена устойчивости, у 28 (35,18%) изолятов обнаружено сразу три гена резистентности. 85 (97,7%) изолятов имели хотя бы один из исследуемых генов устойчивости.</w:t>
      </w:r>
    </w:p>
    <w:p w:rsidR="00F34F69" w:rsidRDefault="00F34F69" w:rsidP="002B0F4A">
      <w:pPr>
        <w:ind w:firstLine="709"/>
        <w:rPr>
          <w:rFonts w:cs="Times New Roman"/>
          <w:sz w:val="28"/>
          <w:szCs w:val="28"/>
        </w:rPr>
      </w:pPr>
      <w:r w:rsidRPr="00F34F69">
        <w:rPr>
          <w:rFonts w:cs="Times New Roman"/>
          <w:sz w:val="28"/>
          <w:szCs w:val="28"/>
        </w:rPr>
        <w:t>5. Для оценки производительности и соответствия ПЦР теста по исследуемым генам с фенотипическими методами (микробиологический и ДД методы) был проведен статистический анализ с использованием коэффициента Каппа. Проведена оценка согласованности фенотипических и генотипических методов идентификации.</w:t>
      </w:r>
    </w:p>
    <w:p w:rsidR="003F4E77" w:rsidRPr="00F34F69" w:rsidRDefault="003F4E77" w:rsidP="003F4E77">
      <w:pPr>
        <w:ind w:firstLine="709"/>
        <w:rPr>
          <w:sz w:val="28"/>
        </w:rPr>
      </w:pPr>
      <w:r>
        <w:rPr>
          <w:sz w:val="28"/>
        </w:rPr>
        <w:t>Д</w:t>
      </w:r>
      <w:r w:rsidRPr="00F34F69">
        <w:rPr>
          <w:sz w:val="28"/>
        </w:rPr>
        <w:t>иагностическая чувствительность разработанного метода РТ-ПЦР по гену nuc составила 100%, специфичность – 100%, PPV – 100%, NPV – 100%, а коэффициент Каппа – 1, что указывает на идеальное согласие между методами исследования.</w:t>
      </w:r>
    </w:p>
    <w:p w:rsidR="00F34F69" w:rsidRPr="00F34F69" w:rsidRDefault="00F34F69" w:rsidP="002B0F4A">
      <w:pPr>
        <w:ind w:firstLine="709"/>
        <w:rPr>
          <w:rFonts w:cs="Times New Roman"/>
          <w:sz w:val="28"/>
          <w:szCs w:val="28"/>
        </w:rPr>
      </w:pPr>
      <w:r w:rsidRPr="00F34F69">
        <w:rPr>
          <w:rFonts w:cs="Times New Roman"/>
          <w:sz w:val="28"/>
          <w:szCs w:val="28"/>
        </w:rPr>
        <w:t>По результатам проведенного анализа диагностическая чувствительность ПЦР теста по гену blaZ составила 80,43%, специфичность – 92,68%, PPV – 92,50%, NPV – 80,85%, а значение Каппа 0,73, что указывает на расхождения в классификации изолятов как чувствительных/резистентных.</w:t>
      </w:r>
    </w:p>
    <w:p w:rsidR="00F34F69" w:rsidRPr="00F34F69" w:rsidRDefault="00F34F69" w:rsidP="002B0F4A">
      <w:pPr>
        <w:ind w:firstLine="709"/>
        <w:rPr>
          <w:rFonts w:cs="Times New Roman"/>
          <w:sz w:val="28"/>
          <w:szCs w:val="28"/>
        </w:rPr>
      </w:pPr>
      <w:r w:rsidRPr="00F34F69">
        <w:rPr>
          <w:rFonts w:cs="Times New Roman"/>
          <w:sz w:val="28"/>
          <w:szCs w:val="28"/>
        </w:rPr>
        <w:t>Диагностическая чувствительность ПЦР теста в сравнении с ДД методом по гену TetK составила 87,95%, специфичность – 100%, PPV – 100%, NPV – 28,57%, а значение каппа 0,40, что указывает на существенное расхождение между методами в классификации изолятов как чувствительных/резистентных</w:t>
      </w:r>
    </w:p>
    <w:p w:rsidR="00F34F69" w:rsidRPr="00F34F69" w:rsidRDefault="00F34F69" w:rsidP="002B0F4A">
      <w:pPr>
        <w:ind w:firstLine="709"/>
        <w:rPr>
          <w:rFonts w:cs="Times New Roman"/>
          <w:sz w:val="28"/>
          <w:szCs w:val="28"/>
        </w:rPr>
      </w:pPr>
      <w:r w:rsidRPr="00F34F69">
        <w:rPr>
          <w:rFonts w:cs="Times New Roman"/>
          <w:sz w:val="28"/>
          <w:szCs w:val="28"/>
        </w:rPr>
        <w:lastRenderedPageBreak/>
        <w:t>Диагностическая чувствительность ПЦР теста в сравнении с ДД методом по гену ermC составила 81,54%, специфичность – 36,36%, PPV – 79,1%, NPV – 40%, а значение Каппа 0,18, что указывает на существенное расхождение в классификации изолятов как чувствительных/резистентных.</w:t>
      </w:r>
    </w:p>
    <w:p w:rsidR="00F34F69" w:rsidRPr="00F34F69" w:rsidRDefault="00F34F69" w:rsidP="00F34F69">
      <w:pPr>
        <w:rPr>
          <w:rFonts w:cs="Times New Roman"/>
          <w:sz w:val="28"/>
          <w:szCs w:val="28"/>
        </w:rPr>
      </w:pPr>
    </w:p>
    <w:p w:rsidR="007A7888" w:rsidRPr="007A7888" w:rsidRDefault="007A7888" w:rsidP="007A7888">
      <w:pPr>
        <w:ind w:firstLine="709"/>
        <w:jc w:val="center"/>
        <w:rPr>
          <w:b/>
          <w:caps/>
          <w:sz w:val="28"/>
        </w:rPr>
      </w:pPr>
      <w:r w:rsidRPr="007A7888">
        <w:rPr>
          <w:b/>
          <w:caps/>
          <w:sz w:val="28"/>
        </w:rPr>
        <w:t>Практические предложения</w:t>
      </w:r>
    </w:p>
    <w:p w:rsidR="007A7888" w:rsidRDefault="007A7888" w:rsidP="007A7888">
      <w:pPr>
        <w:ind w:firstLine="709"/>
        <w:rPr>
          <w:sz w:val="28"/>
        </w:rPr>
      </w:pPr>
    </w:p>
    <w:p w:rsidR="00932B96" w:rsidRPr="002C019E" w:rsidRDefault="00932B96" w:rsidP="00932B96">
      <w:pPr>
        <w:ind w:firstLine="709"/>
        <w:rPr>
          <w:rFonts w:cs="Times New Roman"/>
          <w:sz w:val="28"/>
          <w:szCs w:val="28"/>
        </w:rPr>
      </w:pPr>
      <w:r w:rsidRPr="002C019E">
        <w:rPr>
          <w:rFonts w:cs="Times New Roman"/>
          <w:sz w:val="28"/>
          <w:szCs w:val="28"/>
        </w:rPr>
        <w:t xml:space="preserve">1. В повседневную практику ветеринарных лабораторий, рекомендуем внедрение набора для экспресс-идентификации </w:t>
      </w:r>
      <w:r w:rsidRPr="002C019E">
        <w:rPr>
          <w:rFonts w:cs="Times New Roman"/>
          <w:i/>
          <w:sz w:val="28"/>
          <w:szCs w:val="28"/>
        </w:rPr>
        <w:t>S. аureus</w:t>
      </w:r>
      <w:r w:rsidRPr="002C019E">
        <w:rPr>
          <w:rFonts w:cs="Times New Roman"/>
          <w:sz w:val="28"/>
          <w:szCs w:val="28"/>
        </w:rPr>
        <w:t xml:space="preserve"> с одновременным определением генов устойчивости (blaZ, ermC и tetK) к антибактериальным препаратам методом мультиплексной ПЦР-РВ с целью контроля качества и обеспечения безопасности продуктов животного происхождения. </w:t>
      </w:r>
    </w:p>
    <w:p w:rsidR="00932B96" w:rsidRPr="002C019E" w:rsidRDefault="00932B96" w:rsidP="00932B96">
      <w:pPr>
        <w:ind w:firstLine="709"/>
        <w:rPr>
          <w:rFonts w:cs="Times New Roman"/>
          <w:sz w:val="28"/>
          <w:szCs w:val="28"/>
        </w:rPr>
      </w:pPr>
      <w:r w:rsidRPr="002C019E">
        <w:rPr>
          <w:rFonts w:cs="Times New Roman"/>
          <w:sz w:val="28"/>
          <w:szCs w:val="28"/>
        </w:rPr>
        <w:t>2. Практические рекомендации «Лабораторная диагностика и идентификация возбудителей стафилококкозов, сальмонеллезов и эшерихиозов» для специалистов диагностических лабораторий, преподавателей, студентов, магистрантов и докторантов ветеринарных специальностей;</w:t>
      </w:r>
    </w:p>
    <w:p w:rsidR="00932B96" w:rsidRPr="002C019E" w:rsidRDefault="00932B96" w:rsidP="00932B96">
      <w:pPr>
        <w:ind w:firstLine="709"/>
        <w:rPr>
          <w:rFonts w:cs="Times New Roman"/>
          <w:sz w:val="28"/>
          <w:szCs w:val="28"/>
        </w:rPr>
      </w:pPr>
      <w:r w:rsidRPr="002C019E">
        <w:rPr>
          <w:rFonts w:cs="Times New Roman"/>
          <w:sz w:val="28"/>
          <w:szCs w:val="28"/>
        </w:rPr>
        <w:t>3. Учебное пособие «Диагностика возбудителей энтеропатогенных зооантропонозных заболеваний» для специалистов диагностических лабораторий, преподавателей, студентов, магистрантов и докторантов ветеринарных специальностей;</w:t>
      </w:r>
    </w:p>
    <w:p w:rsidR="00932B96" w:rsidRPr="002C019E" w:rsidRDefault="00932B96" w:rsidP="00932B96">
      <w:pPr>
        <w:ind w:firstLine="709"/>
        <w:rPr>
          <w:rFonts w:cs="Times New Roman"/>
          <w:sz w:val="28"/>
          <w:szCs w:val="28"/>
        </w:rPr>
      </w:pPr>
      <w:r w:rsidRPr="002C019E">
        <w:rPr>
          <w:rFonts w:cs="Times New Roman"/>
          <w:sz w:val="28"/>
          <w:szCs w:val="28"/>
        </w:rPr>
        <w:t>4. Методическое пособие «Патогендік микроорганизмдердің микробқа қарсы препараттарға сезімталдығын анықтау»;</w:t>
      </w:r>
    </w:p>
    <w:p w:rsidR="00932B96" w:rsidRPr="002C019E" w:rsidRDefault="00932B96" w:rsidP="00932B96">
      <w:pPr>
        <w:ind w:firstLine="709"/>
        <w:rPr>
          <w:rFonts w:cs="Times New Roman"/>
          <w:sz w:val="28"/>
          <w:szCs w:val="28"/>
        </w:rPr>
      </w:pPr>
      <w:r w:rsidRPr="002C019E">
        <w:rPr>
          <w:rFonts w:cs="Times New Roman"/>
          <w:sz w:val="28"/>
          <w:szCs w:val="28"/>
        </w:rPr>
        <w:t>5. Коллективная монография «Контроль качества и безопасности пищевой продукции», раздел 2.2.1 «Мультиплексная ПЦР в реальном времени для выявления патогенных кокков в молочной продукции и определение локусов антибиотикорезистентности»</w:t>
      </w:r>
    </w:p>
    <w:p w:rsidR="00932B96" w:rsidRPr="007C01B1" w:rsidRDefault="00932B96" w:rsidP="00932B96">
      <w:pPr>
        <w:ind w:firstLine="709"/>
        <w:rPr>
          <w:rFonts w:cs="Times New Roman"/>
          <w:sz w:val="28"/>
          <w:szCs w:val="28"/>
          <w:lang w:val="en-US"/>
        </w:rPr>
      </w:pPr>
      <w:r w:rsidRPr="002C019E">
        <w:rPr>
          <w:rFonts w:cs="Times New Roman"/>
          <w:i/>
          <w:sz w:val="28"/>
          <w:szCs w:val="28"/>
        </w:rPr>
        <w:t xml:space="preserve">     </w:t>
      </w:r>
      <w:r w:rsidRPr="002C019E">
        <w:rPr>
          <w:rFonts w:cs="Times New Roman"/>
          <w:sz w:val="28"/>
          <w:szCs w:val="28"/>
        </w:rPr>
        <w:t xml:space="preserve">6. Патент РК на полезную модель N.7828. МПК C12Q 1/68 (2006.01). Набор видоспецифических нуклеотидных последовательностей праймеров и зондов для идентификации </w:t>
      </w:r>
      <w:r w:rsidRPr="002C019E">
        <w:rPr>
          <w:rFonts w:cs="Times New Roman"/>
          <w:i/>
          <w:sz w:val="28"/>
          <w:szCs w:val="28"/>
        </w:rPr>
        <w:t>Staphylococcus aureus</w:t>
      </w:r>
      <w:r w:rsidRPr="002C019E">
        <w:rPr>
          <w:rFonts w:cs="Times New Roman"/>
          <w:sz w:val="28"/>
          <w:szCs w:val="28"/>
        </w:rPr>
        <w:t xml:space="preserve"> и </w:t>
      </w:r>
      <w:r w:rsidRPr="002C019E">
        <w:rPr>
          <w:rFonts w:cs="Times New Roman"/>
          <w:i/>
          <w:sz w:val="28"/>
          <w:szCs w:val="28"/>
        </w:rPr>
        <w:t>Streptococcus agalactiae</w:t>
      </w:r>
      <w:r w:rsidRPr="002C019E">
        <w:rPr>
          <w:rFonts w:cs="Times New Roman"/>
          <w:sz w:val="28"/>
          <w:szCs w:val="28"/>
        </w:rPr>
        <w:t xml:space="preserve"> с определением локусов антибиотикорезистентности//Заявитель и патентообладатель: Некоммерческое акционерное общество «Костанайский региональный университет имени А.Байтурсынова» (KZ) - заявл. </w:t>
      </w:r>
      <w:r w:rsidRPr="007C01B1">
        <w:rPr>
          <w:rFonts w:cs="Times New Roman"/>
          <w:sz w:val="28"/>
          <w:szCs w:val="28"/>
          <w:lang w:val="en-US"/>
        </w:rPr>
        <w:t xml:space="preserve">11.01.2023; </w:t>
      </w:r>
      <w:r w:rsidRPr="002C019E">
        <w:rPr>
          <w:rFonts w:cs="Times New Roman"/>
          <w:sz w:val="28"/>
          <w:szCs w:val="28"/>
        </w:rPr>
        <w:t>опубл</w:t>
      </w:r>
      <w:r w:rsidRPr="007C01B1">
        <w:rPr>
          <w:rFonts w:cs="Times New Roman"/>
          <w:sz w:val="28"/>
          <w:szCs w:val="28"/>
          <w:lang w:val="en-US"/>
        </w:rPr>
        <w:t xml:space="preserve">. 17.02.2023. ‒ </w:t>
      </w:r>
      <w:r w:rsidRPr="002C019E">
        <w:rPr>
          <w:rFonts w:cs="Times New Roman"/>
          <w:sz w:val="28"/>
          <w:szCs w:val="28"/>
        </w:rPr>
        <w:t>Бюл</w:t>
      </w:r>
      <w:r w:rsidRPr="007C01B1">
        <w:rPr>
          <w:rFonts w:cs="Times New Roman"/>
          <w:sz w:val="28"/>
          <w:szCs w:val="28"/>
          <w:lang w:val="en-US"/>
        </w:rPr>
        <w:t xml:space="preserve">. 7. ‒ </w:t>
      </w:r>
      <w:r w:rsidRPr="002C019E">
        <w:rPr>
          <w:rFonts w:cs="Times New Roman"/>
          <w:sz w:val="28"/>
          <w:szCs w:val="28"/>
        </w:rPr>
        <w:t>С</w:t>
      </w:r>
      <w:r w:rsidRPr="007C01B1">
        <w:rPr>
          <w:rFonts w:cs="Times New Roman"/>
          <w:sz w:val="28"/>
          <w:szCs w:val="28"/>
          <w:lang w:val="en-US"/>
        </w:rPr>
        <w:t>.1</w:t>
      </w:r>
    </w:p>
    <w:p w:rsidR="007A7888" w:rsidRPr="007C01B1" w:rsidRDefault="007A7888" w:rsidP="007A7888">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7A7888" w:rsidRPr="007C01B1" w:rsidRDefault="007A7888" w:rsidP="00D73F4B">
      <w:pPr>
        <w:ind w:firstLine="709"/>
        <w:jc w:val="center"/>
        <w:rPr>
          <w:rFonts w:cs="Times New Roman"/>
          <w:b/>
          <w:sz w:val="28"/>
          <w:szCs w:val="28"/>
          <w:lang w:val="en-US"/>
        </w:rPr>
      </w:pPr>
    </w:p>
    <w:p w:rsidR="00D73F4B" w:rsidRPr="00911578" w:rsidRDefault="00D73F4B" w:rsidP="00D73F4B">
      <w:pPr>
        <w:ind w:firstLine="709"/>
        <w:jc w:val="center"/>
        <w:rPr>
          <w:rFonts w:cs="Times New Roman"/>
          <w:b/>
          <w:sz w:val="28"/>
          <w:szCs w:val="28"/>
          <w:lang w:val="en-US"/>
        </w:rPr>
      </w:pPr>
      <w:r w:rsidRPr="00D73F4B">
        <w:rPr>
          <w:rFonts w:cs="Times New Roman"/>
          <w:b/>
          <w:sz w:val="28"/>
          <w:szCs w:val="28"/>
        </w:rPr>
        <w:t>СПИСОК</w:t>
      </w:r>
      <w:r w:rsidRPr="00911578">
        <w:rPr>
          <w:rFonts w:cs="Times New Roman"/>
          <w:b/>
          <w:sz w:val="28"/>
          <w:szCs w:val="28"/>
          <w:lang w:val="en-US"/>
        </w:rPr>
        <w:t xml:space="preserve"> </w:t>
      </w:r>
      <w:r w:rsidRPr="00D73F4B">
        <w:rPr>
          <w:rFonts w:cs="Times New Roman"/>
          <w:b/>
          <w:sz w:val="28"/>
          <w:szCs w:val="28"/>
        </w:rPr>
        <w:t>ИСПОЛЬЗОВАННЫХ</w:t>
      </w:r>
      <w:r w:rsidRPr="00911578">
        <w:rPr>
          <w:rFonts w:cs="Times New Roman"/>
          <w:b/>
          <w:sz w:val="28"/>
          <w:szCs w:val="28"/>
          <w:lang w:val="en-US"/>
        </w:rPr>
        <w:t xml:space="preserve"> </w:t>
      </w:r>
      <w:r w:rsidRPr="00D73F4B">
        <w:rPr>
          <w:rFonts w:cs="Times New Roman"/>
          <w:b/>
          <w:sz w:val="28"/>
          <w:szCs w:val="28"/>
        </w:rPr>
        <w:t>ИСТОЧНИКОВ</w:t>
      </w:r>
    </w:p>
    <w:p w:rsidR="00D73F4B" w:rsidRPr="00911578" w:rsidRDefault="00D73F4B" w:rsidP="001E740C">
      <w:pPr>
        <w:ind w:firstLine="709"/>
        <w:rPr>
          <w:rFonts w:cs="Times New Roman"/>
          <w:sz w:val="28"/>
          <w:szCs w:val="28"/>
          <w:lang w:val="en-US"/>
        </w:rPr>
      </w:pP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 Sato A., Yamaguchi T., Hamada M., Ono D., Sonoda S., Oshiro T., Nagashima M., Kato K., Okazumi S., Katoh R., Ishii Y., Tateda K. Morphological and Biological Characteristics of Staphylococcus aureus Biofilm Formed in the Presence of Plasma // Microbial drug resistance (Larchmont, N.Y.). ‒ 2019. ‒ T. 25, № 5. ‒ C. 668-676.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 Guo Y., Song G., Sun M., Wang J., Wang Y. Prevalence and Therapies of Antibiotic-Resistance in Staphylococcus aureus // Front Cell Infect Microbiol. ‒ 2020. ‒ T. 10. ‒ C. 107.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 Yamazaki Y., Ito T., Tamai M., Nakagawa S., Nakamura Y. The role of Staphylococcus aureus quorum sensing in cutaneous and systemic infections //. ‒ 2024. ‒ T. 44, № 1. ‒ C. 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 Cascioferro S., Carbone D., Parrino B., Pecoraro C., Giovannetti E., Cirrincione G. Therapeutic Strategies To Counteract Antibiotic Resistance in MRSA Biofilm-Associated Infections //. ‒ 2021. ‒ T. 16, № 1. ‒ C. 65-80.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5. Joseph Kandala N., Q.Jabur E. The Production of Biofilm from Methicillin Resistant Staphylococcus Aureus Isolated from Post-Surgical Operation Inflammation // Iraqi Journal of Science. ‒ 2022.10.24996/ijs.2022.63.9.3.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6. Silva V., Almeida L., Gaio V., Cerca N., Manageiro V., Caniça M., Capelo J. L., Igrejas G., Poeta P. Biofilm Formation of Multidrug-Resistant MRSA Strains Isolated from Different Types of Human Infections // Pathogens. ‒ 2021. ‒ T. 10, № 8. ‒ C. 970.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7. Ahmad-Mansour N., Loubet P. Staphylococcus aureus Toxins: An Update on Their Pathogenic Properties and Potential Treatments //. ‒ 2021. ‒ T. 13, № 10.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 Cheung G. Y. C., Bae J. S., Otto M. Pathogenicity and virulence of Staphylococcus aureus // Virulence. ‒ 2021. ‒ T. 12, № 1. ‒ C. 547-569.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 European Food Safety A., European Centre for Disease P., Control. The European Union One Health 2019 Zoonoses Report // EFSA Journal. ‒ 2021. ‒ T. 19, № 2. ‒ C. e06406.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 The European Union One Health 2018 Zoonoses Report // Efsa j. ‒ 2019. ‒ T. 17, № 12. ‒ C. e05926.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 European Food Safety A., European Centre for Disease P., Control. The European Union One Health 2021 Zoonoses Report // EFSA Journal. ‒ 2022. ‒ T. 20, № 12. ‒ C. e07666.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 Chambers H. F., Deleo F. R. Waves of resistance: Staphylococcus aureus in the antibiotic era // Nat Rev Microbiol. ‒ 2009. ‒ T. 7, № 9. ‒ C. 629-41.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13. Vestergaard M., Frees D., Ingmer H. Antibiotic Resistance and the MRSA Problem // Microbiol Spectr. ‒ 2019. ‒ T. 7, № 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 Nandhini P., Kumar P. Recent Developments in Methicillin-Resistant Staphylococcus aureus (MRSA) Treatment: A Review //. ‒ 2022. ‒ T. 11, № 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 Nikolic P., Mudgil P. The Cell Wall, Cell Membrane and Virulence Factors of Staphylococcus aureus and Their Role in Antibiotic Resistance //. ‒ 2023. ‒ T. 11, № 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 Kulikova N. G., Chernyshkov A. V., Mikhaylova Y., Maxutova G. T., Yessenova Z. A., Bityumina L. A., Shelenkov A., Egorova A. E., Manzeniuk I., Akimkin V. G. Antimicrobial resistance of Staphylococcus aureus isolates isolated from food products in the territory of the Republic of Kazakhstan // Infekcionnye bolezni. ‒ 2024. ‒ T. 22. ‒ C. 91-99.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 Mendybayeva A. M., Aliyeva G. K., Chuzhebayeva G. D., Tegza A. A., Rychshanova R. M. Antibiotic resistance of enterobacterial pathogens isolated on the territory of the Northern Kazakhstan // Comparative Immunology, Microbiology and Infectious Diseases. ‒ 2022. ‒ T. 87. ‒ C. 101854.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 Bessembayeva L., Kirkimbayeva Z., Biyashev B., Zholdasbekova A., Kuzembekova G., Sarybaeva D., Zhylkaidar A., Oryntaev K., Bakiyeva F. Investigation of the Antibiotic Resistance and Biofilm-Forming Ability of Staphylococcus species from Bovine Mastitis cases in the Almaty Region, Kazakhstan // International Journal of Veterinary Science. ‒ 2024. ‒ T. 13. ‒ C. 853-861.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 Zhussupova G., Skvirskaya G., Reshetnikov V., Dragojevic-Simic V., Rancic N., Utepova D., Jakovljevic M. The Evaluation of Antibiotic Consumption at the Inpatient Level in Kazakhstan from 2011 to 2018 // Antibiotics (Basel). ‒ 2020. ‒ T. 9, № 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 Ghebreyesus T. A. Making AMR history: a call to action // Glob Health Action. ‒ 2019. ‒ T. 12, № 1. ‒ C. 1638144.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 Bhatia R. Antimicrobial Resistance in developing Asian countries: burgeoning challenge to global health security demanding innovative approaches // Global Biosecurity. ‒ 2019. ‒ T. 1. ‒ C. 50.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 Avershina E., Khezri A. Clinical Diagnostics of Bacterial Infections and Their Resistance to Antibiotics-Current State and Whole Genome Sequencing Implementation Perspectives //. ‒ 2023. ‒ T. 12, № 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 Waskito L. A., Rezkitha Y. A. A., Vilaichone R.-k., Wibawa I. D. N., Mustika S., Sugihartono T., Miftahussurur M. Antimicrobial Resistance Profile by Metagenomic and Metatranscriptomic Approach in Clinical Practice: Opportunity and Challenge // Antibiotics. ‒ 2022. ‒ T. 11, № 5. ‒ C. 654.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 Xing S. Y., Wei L. Q., Abushelaibi A., Lai K. S., Lim S. H. E., Maran S. Current molecular approach for diagnosis of MRSA: a meta-narrative review // Drug Target Insights. ‒ 2022. ‒ T. 16. ‒ C. 88-96.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 Boolchandani M., D'Souza A. W. Sequencing-based methods and resources to study antimicrobial resistance //. ‒ 2019. ‒ T. 20, № 6. ‒ C. 356-370.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26. Andrews D., Chetty Y., Cooper B. S., Virk M., Glass S. K., Letters A., Kelly P. A., Sudhanva M., Jeyaratnam D. Multiplex PCR point of care testing versus routine, laboratory-based testing in the treatment of adults with respiratory tract infections: a quasi-randomised study assessing impact on length of stay and antimicrobial use // BMC Infect Dis. ‒ 2017. ‒ T. 17, № 1. ‒ C. 671.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 Banerjee R., Patel R. Molecular diagnostics for genotypic detection of antibiotic resistance: current landscape and future directions //. ‒ 2023. ‒ T. 5, № 1. ‒ C. dlad018.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 Imkamp F., Bodendoerfer E., Mancini S. QUIRMIA-A Phenotype-Based Algorithm for the Inference of Quinolone Resistance Mechanisms in Escherichia coli // Antibiotics (Basel). ‒ 2023. ‒ T. 12, № 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 Giulieri S. G., Guérillot R., Kwong J. C., Monk I. R., Hayes A. S., Daniel D., Baines S., Sherry N. L., Holmes N. E., Ward P., Gao W., Seemann T., Stinear T. P., Howden B. P. Comprehensive Genomic Investigation of Adaptive Mutations Driving the Low-Level Oxacillin Resistance Phenotype in Staphylococcus aureus // mBio. ‒ 2020. ‒ T. 11, № 6. ‒ C. 10.1128/mbio.02882-20.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 Zi C., Zeng D., Ling N., Dai J., Xue F., Jiang Y., Li B. An improved assay for rapid detection of viable Staphylococcus aureus cells by incorporating surfactant and PMA treatments in qPCR //. ‒ 2018. ‒ T. 18, № 1. ‒ C. 132.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31. Sanchini A. Recent Developments in Phenotypic and Molecular Diagnostic Methods for Antimicrobial Resistance Detection in Staphylococcus aureus: A Narrative Review // Diagnostics. ‒ 2022. ‒ C. 1-33.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 Ogston A. Report upon Micro-Organisms in Surgical Diseases // Br Med J. ‒ 1881. ‒ T. 1, № 1054. ‒ C. 369.b2-375.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 Ogston A. Micrococcus Poisoning // J Anat Physiol. ‒ 1882. ‒ T. 16, № Pt 4. ‒ C. 526-67.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 Cowan S. T., Shaw C., Williams R. E. Type strain for Staphylococcus aureus Rosenbach // J Gen Microbiol. ‒ 1954. ‒ T. 10, № 1. ‒ C. 174-6.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 Schoch C. L., Ciufo S., Domrachev M., Hotton C. L., Kannan S., Khovanskaya R., Leipe D., McVeigh R., O'Neill K., Robbertse B., Sharma S., Soussov V., Sullivan J. P., Sun L., Turner S., Karsch-Mizrachi I. NCBI Taxonomy: a comprehensive update on curation, resources and tools // Database (Oxford). ‒ 2020. ‒ T. 2020.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 Lakhundi S., Zhang K. Methicillin-Resistant Staphylococcus aureus: Molecular Characterization, Evolution, and Epidemiology //. ‒ 2018. ‒ T. 31, № 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37. Gould D., Chamberlaine A. Staphylococcus aureus: a review of the literature // J Clin Nurs. ‒ 1995. ‒ T. 4, № 1. ‒ C. 5-12.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38. Budin G., Chung H. J., Lee H., Weissleder R. A magnetic Gram stain for bacterial detection // Angew Chem Int Ed Engl. ‒ 2012. ‒ T. 51, № 31. ‒ C. 7752-5.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 Coico R. Gram staining // Curr Protoc Immunol. ‒ 2001. ‒ T. Appendix 3. ‒ C. A.3o.1-a.3o.2.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40. Beveridge T. J. Use of the gram stain in microbiology // Biotech Histochem. ‒ 2001. ‒ T. 76, № 3. ‒ C. 111-8.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41. Bartholomew J. W., Mittwer T. The Gram stain // Bacteriol Rev. ‒ 1952. ‒ T. 16, № 1. ‒ C. 1-29.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42. Masalha M., Borovok I., Schreiber R., Aharonowitz Y., Cohen G. Analysis of transcription of the Staphylococcus aureus aerobic class Ib and anaerobic class III ribonucleotide reductase genes in response to oxygen // J Bacteriol. ‒ 2001. ‒ T. 183, № 24. ‒ C. 7260-72.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43. McAdow M., Missiakas D. M., Schneewind O. Staphylococcus aureus secretes coagulase and von Willebrand factor binding protein to modify the coagulation cascade and establish host infections // J Innate Immun. ‒ 2012. ‒ T. 4, № 2. ‒ C. 141-8.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44. Lan L., Cheng A., Dunman P. M., Missiakas D., He C. Golden pigment production and virulence gene expression are affected by metabolisms in Staphylococcus aureus // J Bacteriol. ‒ 2010. ‒ T. 192, № 12. ‒ C. 3068-77.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45. Liu W., Boudry P., Bohn C., Bouloc P. Staphylococcus aureus pigmentation is not controlled by Hfq // BMC Research Notes. ‒ 2020. ‒ T. 13, № 1. ‒ C. 63.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46. Chen H., Zhang J., He Y., Lv Z. Exploring the Role of Staphylococcus aureus in Inflammatory Diseases //. ‒ 2022. ‒ T. 14, № 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47. Tam K., Torres V. J. Staphylococcus aureus Secreted Toxins and Extracellular Enzymes // Microbiol Spectr. ‒ 2019. ‒ T. 7, № 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48. Oliveira D., Borges A. Staphylococcus aureus Toxins and Their Molecular Activity in Infectious Diseases //. ‒ 2018. ‒ T. 10, № 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49. Suaya J. A., Mera R. M., Cassidy A., O'Hara P., Amrine-Madsen H., Burstin S., Miller L. G. Incidence and cost of hospitalizations associated with Staphylococcus aureus skin and soft tissue infections in the United States from 2001 through 2009 // BMC Infect Dis. ‒ 2014. ‒ T. 14. ‒ C. 296.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50. Zhen X., Lundborg C. S. Clinical and economic impact of methicillin-resistant Staphylococcus aureus: a multicentre study in China //. ‒ 2020. ‒ T. 10, № 1. ‒ C. 3900.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51. Egorov A. M., Ulyashova M. M., Rubtsova M. Y. Bacterial Enzymes and Antibiotic Resistance // Acta Naturae. ‒ 2018. ‒ T. 10, № 4. ‒ C. 33-48.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52. Varela M. F., Stephen J. Bacterial Resistance to Antimicrobial Agents //. ‒ 2021. ‒ T. 10, № 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53. Berube B. J., Bubeck Wardenburg J. Staphylococcus aureus </w:t>
      </w:r>
      <w:r w:rsidRPr="00FB61F2">
        <w:rPr>
          <w:rFonts w:cs="Times New Roman"/>
          <w:sz w:val="28"/>
          <w:szCs w:val="28"/>
        </w:rPr>
        <w:t>α</w:t>
      </w:r>
      <w:r w:rsidRPr="00FB61F2">
        <w:rPr>
          <w:rFonts w:cs="Times New Roman"/>
          <w:sz w:val="28"/>
          <w:szCs w:val="28"/>
          <w:lang w:val="en-US"/>
        </w:rPr>
        <w:t>-toxin: nearly a century of intrigue // Toxins (Basel). ‒ 2013. ‒ T. 5, № 6. ‒ C. 1140-66.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54. Hernandez S. L., Nelson M., Sampedro G. R., Bagrodia N., Defnet A. M., Lec B., Emolo J., Kirschner R., Wu L., Biermann H., Shen S., Bubeck Wardenburg J., Kandel J. J. Staphylococcus aureus alpha toxin activates Notch in vascular cells // Angiogenesis. ‒ 2019. ‒ T. 22, № 1. ‒ C. 197-209.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55. Adhikari R. P., Ajao A. O., Aman M. J., Karauzum H., Sarwar J., Lydecker A. D., Johnson J. K., Nguyen C., Chen W. H., Roghmann M. C. Lower antibody levels to Staphylococcus aureus exotoxins are associated with sepsis in hospitalized </w:t>
      </w:r>
      <w:r w:rsidRPr="00FB61F2">
        <w:rPr>
          <w:rFonts w:cs="Times New Roman"/>
          <w:sz w:val="28"/>
          <w:szCs w:val="28"/>
          <w:lang w:val="en-US"/>
        </w:rPr>
        <w:lastRenderedPageBreak/>
        <w:t>adults with invasive S. aureus infections // J Infect Dis. ‒ 2012. ‒ T. 206, № 6. ‒ C. 915-23.</w:t>
      </w:r>
    </w:p>
    <w:p w:rsidR="00FB61F2" w:rsidRPr="003D540B" w:rsidRDefault="00FB61F2" w:rsidP="00FB61F2">
      <w:pPr>
        <w:ind w:firstLine="709"/>
        <w:rPr>
          <w:rFonts w:cs="Times New Roman"/>
          <w:sz w:val="28"/>
          <w:szCs w:val="28"/>
          <w:lang w:val="en-US"/>
        </w:rPr>
      </w:pPr>
      <w:r w:rsidRPr="00FB61F2">
        <w:rPr>
          <w:rFonts w:cs="Times New Roman"/>
          <w:sz w:val="28"/>
          <w:szCs w:val="28"/>
          <w:lang w:val="en-US"/>
        </w:rPr>
        <w:t xml:space="preserve">56. Sharma-Kuinkel B. K., Tkaczyk C., Bonnell J., Yu L., Tovchigrechko A., Tabor D. E., Park L. P., Ruffin F., Esser M. T., Sellman B. R., Fowler V. G., Jr., Ruzin A. Associations of pathogen-specific and host-specific characteristics with disease outcome in patients with Staphylococcus aureus bacteremic pneumonia // Clin Transl Immunology. </w:t>
      </w:r>
      <w:r w:rsidRPr="003D540B">
        <w:rPr>
          <w:rFonts w:cs="Times New Roman"/>
          <w:sz w:val="28"/>
          <w:szCs w:val="28"/>
          <w:lang w:val="en-US"/>
        </w:rPr>
        <w:t>‒ 2019. ‒ T. 8, № 7. ‒ C. e01070.</w:t>
      </w:r>
    </w:p>
    <w:p w:rsidR="00FB61F2" w:rsidRPr="003D540B" w:rsidRDefault="00FB61F2" w:rsidP="00FB61F2">
      <w:pPr>
        <w:ind w:firstLine="709"/>
        <w:rPr>
          <w:rFonts w:cs="Times New Roman"/>
          <w:sz w:val="28"/>
          <w:szCs w:val="28"/>
          <w:lang w:val="en-US"/>
        </w:rPr>
      </w:pPr>
      <w:r w:rsidRPr="00FB61F2">
        <w:rPr>
          <w:rFonts w:cs="Times New Roman"/>
          <w:sz w:val="28"/>
          <w:szCs w:val="28"/>
          <w:lang w:val="en-US"/>
        </w:rPr>
        <w:t xml:space="preserve">57. Bhakdi S., Tranum-Jensen J. Alpha-toxin of Staphylococcus aureus // Microbiol Rev. </w:t>
      </w:r>
      <w:r w:rsidRPr="003D540B">
        <w:rPr>
          <w:rFonts w:cs="Times New Roman"/>
          <w:sz w:val="28"/>
          <w:szCs w:val="28"/>
          <w:lang w:val="en-US"/>
        </w:rPr>
        <w:t>‒ 1991. ‒ T. 55, № 4. ‒ C. 733-51.</w:t>
      </w:r>
    </w:p>
    <w:p w:rsidR="00FB61F2" w:rsidRPr="003D540B" w:rsidRDefault="00FB61F2" w:rsidP="00FB61F2">
      <w:pPr>
        <w:ind w:firstLine="709"/>
        <w:rPr>
          <w:rFonts w:cs="Times New Roman"/>
          <w:sz w:val="28"/>
          <w:szCs w:val="28"/>
          <w:lang w:val="en-US"/>
        </w:rPr>
      </w:pPr>
      <w:r w:rsidRPr="00FB61F2">
        <w:rPr>
          <w:rFonts w:cs="Times New Roman"/>
          <w:sz w:val="28"/>
          <w:szCs w:val="28"/>
          <w:lang w:val="en-US"/>
        </w:rPr>
        <w:t xml:space="preserve">58. Parker M. W., Feil S. C. Pore-forming protein toxins: from structure to function // Prog Biophys Mol Biol. </w:t>
      </w:r>
      <w:r w:rsidRPr="003D540B">
        <w:rPr>
          <w:rFonts w:cs="Times New Roman"/>
          <w:sz w:val="28"/>
          <w:szCs w:val="28"/>
          <w:lang w:val="en-US"/>
        </w:rPr>
        <w:t>‒ 2005. ‒ T. 88, № 1. ‒ C. 91-142.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59. Song L., Hobaugh M. R., Shustak C., Cheley S., Bayley H., Gouaux J. E. Structure of staphylococcal alpha-hemolysin, a heptameric transmembrane pore // Science. ‒ 1996. ‒ T. 274, № 5294. ‒ C. 1859-66.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60. Gouaux J. E., Braha O., Hobaugh M. R., Song L., Cheley S., Shustak C., Bayley H. Subunit stoichiometry of staphylococcal alpha-hemolysin in crystals and on membranes: a heptameric transmembrane pore // Proc Natl Acad Sci U S A. ‒ 1994. ‒ T. 91, № 26. ‒ C. 12828-31.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61. Haugwitz U., Bobkiewicz W., Han S. R., Beckmann E., Veerachato G., Shaid S., Biehl S., Dersch K., Bhakdi S., Husmann M. Pore-forming Staphylococcus aureus alpha-toxin triggers epidermal growth factor receptor-dependent proliferation // Cell Microbiol. ‒ 2006. ‒ T. 8, № 10. ‒ C. 1591-600.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62. Powers M. E., Kim H. K., Wang Y., Bubeck Wardenburg J. ADAM10 mediates vascular injury induced by Staphylococcus aureus </w:t>
      </w:r>
      <w:r w:rsidRPr="00FB61F2">
        <w:rPr>
          <w:rFonts w:cs="Times New Roman"/>
          <w:sz w:val="28"/>
          <w:szCs w:val="28"/>
        </w:rPr>
        <w:t>α</w:t>
      </w:r>
      <w:r w:rsidRPr="00FB61F2">
        <w:rPr>
          <w:rFonts w:cs="Times New Roman"/>
          <w:sz w:val="28"/>
          <w:szCs w:val="28"/>
          <w:lang w:val="en-US"/>
        </w:rPr>
        <w:t>-hemolysin // J Infect Dis. ‒ 2012. ‒ T. 206, № 3. ‒ C. 352-6.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63. Inoshima N., Wang Y., Bubeck Wardenburg J. Genetic requirement for ADAM10 in severe Staphylococcus aureus skin infection // J Invest Dermatol. ‒ 2012. ‒ T. 132, № 5. ‒ C. 1513-6.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64. Inoshima I., Inoshima N., Wilke G. A., Powers M. E., Frank K. M., Wang Y., Bubeck Wardenburg J. A Staphylococcus aureus pore-forming toxin subverts the activity of ADAM10 to cause lethal infection in mice // Nat Med. ‒ 2011. ‒ T. 17, № 10. ‒ C. 1310-4.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65. Craven R. R., Gao X., Allen I. C., Gris D., Bubeck Wardenburg J., McElvania-Tekippe E., Ting J. P., Duncan J. A. Staphylococcus aureus alpha-hemolysin activates the NLRP3-inflammasome in human and mouse monocytic cells // PLoS One. ‒ 2009. ‒ T. 4, № 10. ‒ C. e7446.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66. Hildebrand A., Pohl M., Bhakdi S. Staphylococcus aureus alpha-toxin. Dual mechanism of binding to target cells // J Biol Chem. ‒ 1991. ‒ T. 266, № 26. ‒ C. 17195-200.</w:t>
      </w:r>
    </w:p>
    <w:p w:rsidR="00FB61F2" w:rsidRPr="003D540B" w:rsidRDefault="00FB61F2" w:rsidP="00FB61F2">
      <w:pPr>
        <w:ind w:firstLine="709"/>
        <w:rPr>
          <w:rFonts w:cs="Times New Roman"/>
          <w:sz w:val="28"/>
          <w:szCs w:val="28"/>
          <w:lang w:val="en-US"/>
        </w:rPr>
      </w:pPr>
      <w:r w:rsidRPr="00FB61F2">
        <w:rPr>
          <w:rFonts w:cs="Times New Roman"/>
          <w:sz w:val="28"/>
          <w:szCs w:val="28"/>
          <w:lang w:val="en-US"/>
        </w:rPr>
        <w:t xml:space="preserve">67. Bubeck Wardenburg J., Patel R. J., Schneewind O. Surface proteins and exotoxins are required for the pathogenesis of Staphylococcus aureus pneumonia // Infect Immun. </w:t>
      </w:r>
      <w:r w:rsidRPr="003D540B">
        <w:rPr>
          <w:rFonts w:cs="Times New Roman"/>
          <w:sz w:val="28"/>
          <w:szCs w:val="28"/>
          <w:lang w:val="en-US"/>
        </w:rPr>
        <w:t>‒ 2007. ‒ T. 75, № 2. ‒ C. 1040-4.</w:t>
      </w:r>
    </w:p>
    <w:p w:rsidR="00FB61F2" w:rsidRPr="003D540B" w:rsidRDefault="00FB61F2" w:rsidP="00FB61F2">
      <w:pPr>
        <w:ind w:firstLine="709"/>
        <w:rPr>
          <w:rFonts w:cs="Times New Roman"/>
          <w:sz w:val="28"/>
          <w:szCs w:val="28"/>
          <w:lang w:val="en-US"/>
        </w:rPr>
      </w:pPr>
      <w:r w:rsidRPr="00FB61F2">
        <w:rPr>
          <w:rFonts w:cs="Times New Roman"/>
          <w:sz w:val="28"/>
          <w:szCs w:val="28"/>
          <w:lang w:val="en-US"/>
        </w:rPr>
        <w:lastRenderedPageBreak/>
        <w:t xml:space="preserve">68. Grimminger F., Rose F., Sibelius U., Meinhardt M., Pötzsch B., Spriestersbach R., Bhakdi S., Suttorp N., Seeger W. Human endothelial cell activation and mediator release in response to the bacterial exotoxins Escherichia coli hemolysin and staphylococcal alpha-toxin // J Immunol. </w:t>
      </w:r>
      <w:r w:rsidRPr="003D540B">
        <w:rPr>
          <w:rFonts w:cs="Times New Roman"/>
          <w:sz w:val="28"/>
          <w:szCs w:val="28"/>
          <w:lang w:val="en-US"/>
        </w:rPr>
        <w:t>‒ 1997. ‒ T. 159, № 4. ‒ C. 1909-16.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69. Nygaard T. K., Pallister K. B., DuMont A. L., DeWald M., Watkins R. L., Pallister E. Q., Malone C., Griffith S., Horswill A. R., Torres V. J., Voyich J. M. Alpha-toxin induces programmed cell death of human T cells, B cells, and monocytes during USA300 infection // PLoS One. ‒ 2012. ‒ T. 7, № 5. ‒ C. e36532.</w:t>
      </w:r>
    </w:p>
    <w:p w:rsidR="00FB61F2" w:rsidRPr="003D540B" w:rsidRDefault="00FB61F2" w:rsidP="00FB61F2">
      <w:pPr>
        <w:ind w:firstLine="709"/>
        <w:rPr>
          <w:rFonts w:cs="Times New Roman"/>
          <w:sz w:val="28"/>
          <w:szCs w:val="28"/>
          <w:lang w:val="en-US"/>
        </w:rPr>
      </w:pPr>
      <w:r w:rsidRPr="00FB61F2">
        <w:rPr>
          <w:rFonts w:cs="Times New Roman"/>
          <w:sz w:val="28"/>
          <w:szCs w:val="28"/>
          <w:lang w:val="en-US"/>
        </w:rPr>
        <w:t xml:space="preserve">70. Manohar M., Maheswaran S. K., Frommes S. P., Lindorfer R. K. Platelet damaging factor, a fifth activity of staphylococcal alpha-toxin // J Bacteriol. </w:t>
      </w:r>
      <w:r w:rsidRPr="003D540B">
        <w:rPr>
          <w:rFonts w:cs="Times New Roman"/>
          <w:sz w:val="28"/>
          <w:szCs w:val="28"/>
          <w:lang w:val="en-US"/>
        </w:rPr>
        <w:t>‒ 1967. ‒ T. 94, № 1. ‒ C. 224-31.</w:t>
      </w:r>
    </w:p>
    <w:p w:rsidR="00FB61F2" w:rsidRPr="003D540B" w:rsidRDefault="00FB61F2" w:rsidP="00FB61F2">
      <w:pPr>
        <w:ind w:firstLine="709"/>
        <w:rPr>
          <w:rFonts w:cs="Times New Roman"/>
          <w:sz w:val="28"/>
          <w:szCs w:val="28"/>
          <w:lang w:val="en-US"/>
        </w:rPr>
      </w:pPr>
      <w:r w:rsidRPr="00FB61F2">
        <w:rPr>
          <w:rFonts w:cs="Times New Roman"/>
          <w:sz w:val="28"/>
          <w:szCs w:val="28"/>
          <w:lang w:val="en-US"/>
        </w:rPr>
        <w:t xml:space="preserve">71. Spaan A. N., van Strijp J. A. G., Torres V. J. Leukocidins: staphylococcal bi-component pore-forming toxins find their receptors // Nat Rev Microbiol. </w:t>
      </w:r>
      <w:r w:rsidRPr="003D540B">
        <w:rPr>
          <w:rFonts w:cs="Times New Roman"/>
          <w:sz w:val="28"/>
          <w:szCs w:val="28"/>
          <w:lang w:val="en-US"/>
        </w:rPr>
        <w:t>‒ 2017. ‒ T. 15, № 7. ‒ C. 435-447.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72. Grumann D., Nübel U., Bröker B. M. Staphylococcus aureus toxins--their functions and genetics // Infect Genet Evol. ‒ 2014. ‒ T. 21. ‒ C. 583-92.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73. Gillet Y., Issartel B., Vanhems P., Fournet J. C., Lina G., Bes M., Vandenesch F., Piémont Y., Brousse N., Floret D., Etienne J. Association between Staphylococcus aureus strains carrying gene for Panton-Valentine leukocidin and highly lethal necrotising pneumonia in young immunocompetent patients // Lancet. ‒ 2002. ‒ T. 359, № 9308. ‒ C. 753-9.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74. Rankin S., Roberts S., O'Shea K., Maloney D., Lorenzo M., Benson C. E. Panton valentine leukocidin (PVL) toxin positive MRSA strains isolated from companion animals // Vet Microbiol. ‒ 2005. ‒ T. 108, № 1-2. ‒ C. 145-8.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75. Yoong P. Immunomodulation by the Panton-Valentine leukocidin can benefit the host during Staphylococcus aureus infections // Virulence. ‒ 2013. ‒ T. 4, № 1. ‒ C. 92-6.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76. Bhatta D. R., Cavaco L. M., Nath G., Kumar K., Gaur A., Gokhale S., Bhatta D. R. Association of Panton Valentine Leukocidin (PVL) genes with methicillin resistant Staphylococcus aureus (MRSA) in Western Nepal: a matter of concern for community infections (a hospital based prospective study) // BMC Infect Dis. ‒ 2016. ‒ T. 16. ‒ C. 199.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77. Genestier A. L., Michallet M. C., Prévost G., Bellot G., Chalabreysse L., Peyrol S., Thivolet F., Etienne J., Lina G., Vallette F. M., Vandenesch F., Genestier L. Staphylococcus aureus Panton-Valentine leukocidin directly targets mitochondria and induces Bax-independent apoptosis of human neutrophils // J Clin Invest. ‒ 2005. ‒ T. 115, № 11. ‒ C. 3117-27.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78. Prévost G., Cribier B., Couppié P., Petiau P., Supersac G., Finck-Barbançon V., Monteil H., Piemont Y. Panton-Valentine leucocidin and gamma-hemolysin from Staphylococcus aureus ATCC 49775 are encoded by distinct genetic loci and have different biological activities // Infect Immun. ‒ 1995. ‒ T. 63, № 10. ‒ C. 4121-9.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79. Maltezou H. C., Giamarellou H. Community-acquired methicillin-resistant Staphylococcus aureus infections // Int J Antimicrob Agents. ‒ 2006. ‒ T. 27, № 2. ‒ C. 87-96.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80. Argudín M., Mendoza M. C., Rodicio M. R. Food poisoning and Staphylococcus aureus enterotoxins // Toxins (Basel). ‒ 2010. ‒ T. 2, № 7. ‒ C. 1751-73.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81. Mishra A. K., Yadav P., Mishra A. A Systemic Review on Staphylococcal Scalded Skin Syndrome (SSSS): A Rare and Critical Disease of Neonates // Open Microbiol J. ‒ 2016. ‒ T. 10. ‒ C. 150-9.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82. Bukowski M., Wladyka B., Dubin G. Exfoliative toxins of Staphylococcus aureus // Toxins (Basel). ‒ 2010. ‒ T. 2, № 5. ‒ C. 1148-65.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83. Nusman C. M., Blokhuis C. Staphylococcal Scalded Skin Syndrome in Neonates: Case Series and Overview of Outbreaks //. ‒ 2022. ‒ T. 12, № 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84. Fisher E. L., Otto M., Cheung G. Y. C. Basis of Virulence in Enterotoxin-Mediated Staphylococcal Food Poisoning // Front Microbiol. ‒ 2018. ‒ T. 9. ‒ C. 436.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85. Hennekinne J. A., De Buyser M. L., Dragacci S. Staphylococcus aureus and its food poisoning toxins: characterization and outbreak investigation // FEMS Microbiol Rev. ‒ 2012. ‒ T. 36, № 4. ‒ C. 815-36.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86. Bennett M. R., Thomsen I. P. Epidemiological and Clinical Evidence for the Role of Toxins in S. aureus Human Disease // Toxins (Basel). ‒ 2020. ‒ T. 12, № 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87. Macori G., Bellio A. Genome-Wide Profiling of Enterotoxigenic Staphylococcus aureus Strains Used for the Production of Naturally Contaminated Cheeses //. ‒ 2019. ‒ T. 11, № 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88. Fetsch A., Contzen M., Hartelt K., Kleiser A., Maassen S., Rau J., Kraushaar B., Layer F., Strommenger B. Staphylococcus aureus food-poisoning outbreak associated with the consumption of ice-cream // International Journal of Food Microbiology. ‒ 2014. ‒ T. 187. ‒ C. 1-6.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89. Sato'o Y., Omoe K., Naito I., Ono H. K., Nakane A., Sugai M., Yamagishi N., Hu D. L. Molecular epidemiology and identification of a Staphylococcus aureus clone causing food poisoning outbreaks in Japan // J Clin Microbiol. ‒ 2014. ‒ T. 52, № 7. ‒ C. 2637-40.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90. Wang W., Baloch Z., Jiang T., Zhang C., Peng Z., Li F., Fanning S., Ma A., Xu J. Enterotoxigenicity and Antimicrobial Resistance of Staphylococcus aureus Isolated from Retail Food in China // Front Microbiol. ‒ 2017. ‒ T. 8. ‒ C. 2256.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91. Wu S., Huang J., Wu Q., Zhang F., Zhang J., Lei T., Chen M., Ding Y., Xue L. Prevalence and Characterization of Staphylococcus aureus Isolated From Retail Vegetables in China // Frontiers in Microbiology. ‒ 2018. ‒ T. 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92. Wu S., Duan N., Gu H., Hao L., Ye H., Gong W., Wang Z. A Review of the Methods for Detection of Staphylococcus aureus Enterotoxins // Toxins (Basel). ‒ 2016. ‒ T. 8, № 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93. Kadariya J., Smith T. C., Thapaliya D. Staphylococcus aureus and staphylococcal food-borne disease: an ongoing challenge in public health //. ‒ 2014. ‒ T. 2014. ‒ C. 827965.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94. Yehia H. M., Ismail E. A., Hassan Z. K., Al-Masoud A. H., Al-Dagal M. M. Heat resistance and presence of genes encoding staphylococcal enterotoxins evaluated by multiplex-PCR of Staphylococcus aureus isolated from pasteurized camel milk // Biosci Rep. ‒ 2019. ‒ T. 39, № 11.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95. Rall V. L., Vieira F. P., Rall R., Vieitis R. L., Fernandes A., Jr., Candeias J. M., Cardoso K. F., Araújo J. P., Jr. PCR detection of staphylococcal enterotoxin genes in Staphylococcus aureus strains isolated from raw and pasteurized milk // Vet Microbiol. ‒ 2008. ‒ T. 132, № 3-4. ‒ C. 408-13.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96. Anderson J. E., Beelman R. R., Doores S. Persistence of Serological and Biological Activities of Staphylococcal Enterotoxin A in Canned Mushrooms // J Food Prot. ‒ 1996. ‒ T. 59, № 12. ‒ C. 1292-1299.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97. McCormick J. K., Yarwood J. M., Schlievert P. M. Toxic shock syndrome and bacterial superantigens: an update // Annu Rev Microbiol. ‒ 2001. ‒ T. 55. ‒ C. 77-104.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98. Stach C. S., Herrera A., Schlievert P. M. Staphylococcal superantigens interact with multiple host receptors to cause serious diseases // Immunol Res. ‒ 2014. ‒ T. 59, № 1-3. ‒ C. 177-81.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99. Otto M. Staphylococcus aureus toxins // Curr Opin Microbiol. ‒ 2014. ‒ T. 17. ‒ C. 32-7.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100. Merriman J. A., Mueller E. A., Cahill M. P., Beck L. A., Paller A. S., Hanifin J. M., Ong P. Y., Schneider L., Babineau D. C., David G., Lockhart A., Artis K., Leung D. Y., Schlievert P. M. Temporal and Racial Differences Associated with Atopic Dermatitis Staphylococcusaureus and Encoded Virulence Factors // mSphere. ‒ 2016. ‒ T. 1, № 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101. Stevens D. L. The toxic shock syndromes // Infect Dis Clin North Am. ‒ 1996. ‒ T. 10, № 4. ‒ C. 727-46.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102. Cupane L., Pugacova N., Berzina D., Cauce V., Gardovska D., Miklaševics E. Patients with Panton-Valentine leukocidin positive Staphylococcus aureus infections run an increased risk of longer hospitalisation // Int J Mol Epidemiol Genet. ‒ 2012. ‒ T. 3, № 1. ‒ C. 48-55.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103. Socohou A., Sina H. Pathogenicity and Molecular Characterization of Staphylococcus aureus Strains Isolated from the Hospital Environment of CHU-Z Abomey-Calavi/Sô-Ava (Benin) //. ‒ 2021. ‒ T. 2021. ‒ C. 6637617.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104. Surewaard B. G., de Haas C. J., Vervoort F., Rigby K. M., DeLeo F. R., Otto M., van Strijp J. A., Nijland R. Staphylococcal alpha-phenol soluble modulins contribute to neutrophil lysis after phagocytosis // Cell Microbiol. ‒ 2013. ‒ T. 15, № 8. ‒ C. 1427-37.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105. Verdon J., Girardin N., Lacombe C., Berjeaud J. M., Héchard Y. delta-hemolysin, an update on a membrane-interacting peptide // Peptides. ‒ 2009. ‒ T. 30, № 4. ‒ C. 817-23.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106. Peschel A., Otto M. Phenol-soluble modulins and staphylococcal infection // Nat Rev Microbiol. ‒ 2013. ‒ T. 11, № 10. ‒ C. 667-73.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107. Kim D. R., Lee Y., Kim H. K., Kim W., Kim Y. G., Yang Y. H., Kim J. S., Joo H. S. Phenol-Soluble Modulin-Mediated Aggregation of Community-Associated Methicillin-Resistant Staphylococcus Aureus in Human Cerebrospinal Fluid //. ‒ 2020. ‒ T. 9, № 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108. Abad L., Josse J., Tasse J., Lustig S., Ferry T., Diot A., Laurent F., Valour F. Antibiofilm and intraosteoblastic activities of rifamycins against Staphylococcus aureus: promising in vitro profile of rifabutin // J Antimicrob Chemother. ‒ 2020. ‒ T. 75, № 6. ‒ C. 1466-1473.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109. Syed A. K., Reed T. J., Clark K. L., Boles B. R., Kahlenberg J. M. Erratum for Syed et al., Staphylococcus aureus Phenol-Soluble Modulins Stimulate the Release of Proinflammatory Cytokines from Keratinocytes and Are Required for Induction of Skin Inflammation // Infect Immun. ‒ 2015. ‒ T. 83, № 11. ‒ C. 4450.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110. Cheung G. Y., Duong A. C., Otto M. Direct and synergistic hemolysis caused by Staphylococcus phenol-soluble modulins: implications for diagnosis and pathogenesis // Microbes Infect. ‒ 2012. ‒ T. 14, № 4. ‒ C. 380-6.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111. Wang R., Braughton K. R., Kretschmer D., Bach T. H., Queck S. Y., Li M., Kennedy A. D., Dorward D. W., Klebanoff S. J., Peschel A., DeLeo F. R., Otto M. Identification of novel cytolytic peptides as key virulence determinants for community-associated MRSA // Nat Med. ‒ 2007. ‒ T. 13, № 12. ‒ C. 1510-4.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112. Le K. Y., Villaruz A. E., Zheng Y., He L., Fisher E. L., Nguyen T. H., Ho T. V., Yeh A. J., Joo H. S., Cheung G. Y. C., Otto M. Role of Phenol-Soluble Modulins in Staphylococcus epidermidis Biofilm Formation and Infection of Indwelling Medical Devices // J Mol Biol. ‒ 2019. ‒ T. 431, № 16. ‒ C. 3015-3027.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113. Otto M. Phenol-soluble modulins // Int J Med Microbiol. ‒ 2014. ‒ T. 304, № 2. ‒ C. 164-9.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114. Cheung G. Y., Joo H. S., Chatterjee S. S., Otto M. Phenol-soluble modulins--critical determinants of staphylococcal virulence // FEMS Microbiol Rev. ‒ 2014. ‒ T. 38, № 4. ‒ C. 698-719.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115. Courjon J., Munro P., Benito Y., Visvikis O., Bouchiat C., Boyer L., Doye A., Lepidi H., Ghigo E., Lavigne J. P., Vandenesch F., Lemichez E. EDIN-B Promotes the Translocation of Staphylococcus aureus to the Bloodstream in the Course of Pneumonia // Toxins (Basel). ‒ 2015. ‒ T. 7, № 10. ‒ C. 4131-42.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116. Boyer L., Doye A., Rolando M., Flatau G., Munro P., Gounon P., Clément R., Pulcini C., Popoff M. R., Mettouchi A., Landraud L., Dussurget O., Lemichez E. Induction of transient macroapertures in endothelial cells through RhoA inhibition by Staphylococcus aureus factors // J Cell Biol. ‒ 2006. ‒ T. 173, № 5. ‒ C. 809-19.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117. Messad N., Landraud L., Canivet B., Lina G., Richard J. L., Sotto A., Lavigne J. P., Lemichez E. Distribution of edin in Staphylococcus aureus isolated from diabetic foot ulcers // Clin Microbiol Infect. ‒ 2013. ‒ T. 19, № 9. ‒ C. 875-80.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118. Czech A., Yamaguchi T., Bader L., Linder S., Kaminski K., Sugai M., Aepfelbacher M. Prevalence of Rho-inactivating epidermal cell differentiation </w:t>
      </w:r>
      <w:r w:rsidRPr="00FB61F2">
        <w:rPr>
          <w:rFonts w:cs="Times New Roman"/>
          <w:sz w:val="28"/>
          <w:szCs w:val="28"/>
          <w:lang w:val="en-US"/>
        </w:rPr>
        <w:lastRenderedPageBreak/>
        <w:t>inhibitor toxins in clinical Staphylococcus aureus isolates // J Infect Dis. ‒ 2001. ‒ T. 184, № 6. ‒ C. 785-8.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119. Aktories K., Lang A. E., Schwan C., Mannherz H. G. Actin as target for modification by bacterial protein toxins // Febs j. ‒ 2011. ‒ T. 278, № 23. ‒ C. 4526-43.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120. Nusrat A., Giry M., Turner J. R., Colgan S. P., Parkos C. A., Carnes D., Lemichez E., Boquet P., Madara J. L. Rho protein regulates tight junctions and perijunctional actin organization in polarized epithelia // Proc Natl Acad Sci U S A. ‒ 1995. ‒ T. 92, № 23. ‒ C. 10629-33.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121. Caron E., Hall A. Identification of two distinct mechanisms of phagocytosis controlled by different Rho GTPases // Science. ‒ 1998. ‒ T. 282, № 5394. ‒ C. 1717-21.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122. Edwards A. M., Massey R. C. How does Staphylococcus aureus escape the bloodstream? // Trends Microbiol. ‒ 2011. ‒ T. 19, № 4. ‒ C. 184-90.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123. Lemichez E., Lecuit M., Nassif X., Bourdoulous S. Breaking the wall: targeting of the endothelium by pathogenic bacteria // Nat Rev Microbiol. ‒ 2010. ‒ T. 8, № 2. ‒ C. 93-104.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124. Odetokun I. A., Adetona M. A., Ade-Yusuf R. O., Adewoye A. O., Ahmed A. N., Ghali-Mohammed I., Al-Mustapha A. I., Fetsch A. Staphylococcus aureus contamination of animal-derived foods in Nigeria: a systematic review, 2002—2022 // Food Safety and Risk. ‒ 2023. ‒ T. 10, № 1. ‒ C. 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125. Haag Andreas F., Fitzgerald J. R., Penadés José R. Staphylococcus aureus in Animals // Microbiology Spectrum. ‒ 2019. ‒ T. 7, № 3. ‒ C. 10.1128/microbiolspec.gpp3-0060-2019.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126. Heaton C. J., Gerbig G. R., Sensius L. D., Patel V., Smith T. C. Staphylococcus aureus Epidemiology in Wildlife: A Systematic Review // Antibiotics (Basel, Switzerland). ‒ 2020. ‒ URL: http://europepmc.org/abstract/MED/32085586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https://www.mdpi.com/2079-6382/9/2/89/pdf</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https://doi.org/10.3390/antibiotics9020089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https://europepmc.org/articles/PMC7168057</w:t>
      </w:r>
    </w:p>
    <w:p w:rsidR="00FB61F2" w:rsidRPr="00FB61F2" w:rsidRDefault="00FB61F2" w:rsidP="00FB61F2">
      <w:pPr>
        <w:ind w:firstLine="709"/>
        <w:rPr>
          <w:rFonts w:cs="Times New Roman"/>
          <w:sz w:val="28"/>
          <w:szCs w:val="28"/>
        </w:rPr>
      </w:pPr>
      <w:r w:rsidRPr="00FB61F2">
        <w:rPr>
          <w:rFonts w:cs="Times New Roman"/>
          <w:sz w:val="28"/>
          <w:szCs w:val="28"/>
        </w:rPr>
        <w:t>https://europepmc.org/articles/PMC7168057?pdf=render (дата обращения: 2020/02//).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127. Song M., Tang Q., Ding Y., Tan P., Zhang Y., Wang T., Zhou C., Xu S., Lyu M., Bai Y., Ma X. Staphylococcus aureus and biofilms: transmission, threats, and promising strategies in animal husbandry // Journal of Animal Science and Biotechnology. ‒ 2024. ‒ T. 15, № 1. ‒ C. 44.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128. Mekhloufi O. A., Chieffi D. Prevalence, Enterotoxigenic Potential and Antimicrobial Resistance of Staphylococcus aureus and Methicillin-Resistant Staphylococcus aureus (MRSA) Isolated from Algerian Ready to Eat Foods //. ‒ 2021. ‒ T. 13, № 12.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129. Cefai C., Ashurst S., Owens C. Human carriage of methicillin-resistant Staphylococcus aureus linked with pet dog // Lancet. ‒ 1994. ‒ T. 344, № 8921. ‒ C. 539-40.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130. Uhlemann A.-C., McAdam Paul R., Sullivan Sean B., Knox Justin R., Khiabanian H., Rabadan R., Davies Peter R., Fitzgerald J. R., Lowy Franklin D. Evolutionary Dynamics of Pandemic Methicillin-Sensitive Staphylococcus aureus ST398 and Its International Spread via Routes of Human Migration // mBio. ‒ 2017. ‒ T. 8, № 1. ‒ C. 10.1128/mbio.01375-16.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131. Titouche Y., Akkou M., Houali K., Auvray F., Hennekinne J. A. Role of milk and milk products in the spread of methicillin-resistant Staphylococcus aureus in the dairy production chain // J Food Sci. ‒ 2022. ‒ T. 87, № 9. ‒ C. 3699-3723.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132. Qian C., Castañeda-Gulla K., Sattlegger E., Mutukumira A. N. Enterotoxigenicity and genetic relatedness of Staphylococcus aureus in a commercial poultry plant and poultry farm // Int J Food Microbiol. ‒ 2022. ‒ T. 363. ‒ C. 109454.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133. Cortés-Sánchez A. D. J., Díaz-Ramírez M., Salgado-Cruz M. D. l. P., Hernandez-Nava R. G. Food Safety and Fish Production the Case of Staphylococcus aureus: A Review // OnLine Journal of Biological Sciences. ‒ 2021. ‒ T. 20, № 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134. Tondo E. C., Guimarães M. M., Henriques J. A., Ayub M. A. Assessing and analysing contamination of a dairy products processing plant by Staphylococcus aureus using antibiotic resistance and PFGE // Canadian Journal of Microbiology. ‒ 2000. ‒ T. 46, № 12. ‒ C. 1108-1114.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135. Govender V., Madoroba E., Magwedere K., Fosgate G., Kuonza L. Prevalence and risk factors contributing to antibiotic-resistant Staphylococcus aureus isolates from poultry meat products in South Africa, 2015-2016 // J S Afr Vet Assoc. ‒ 2019. ‒ T. 90, № 0. ‒ C. e1-e8.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136. Abdeen E. E., Mousa W. S., Abdelsalam S. Y., Heikal H. S., Shawish R. R. Prevalence and Characterization of Coagulase Positive Staphylococci from Food Products and Human Specimens in Egypt //. ‒ 2021. ‒ T. 10, № 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137. Alkuraythi D. M., Alkhulaifi M. M., Binjomah A. Z., Alarwi M., Aldakhil H. M., Mujallad M. I., Alharbi S. A., Alshomrani M., Alshahrani S. M., Gojobori T., Alajel S. M. Clonal Flux and Spread of Staphylococcus aureus Isolated from Meat and Its Genetic Relatedness to Staphylococcus aureus Isolated from Patients in Saudi Arabia // Microorganisms. ‒ 2023. ‒ T. 11, № 12. ‒ C. 2926.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138. Yan J., Yang R., Yu S., Zhao W. The application of the lytic domain of endolysin from Staphylococcus aureus bacteriophage in milk // J Dairy Sci. ‒ 2021. ‒ T. 104, № 3. ‒ C. 2641-2653.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139. Odetokun I., Adetona M., Ade-Yusuf R., Adewoye A., Nuhu Ahmed A., Ghali-Mohammed I., Al-Mustapha A. I., Fetsch A. Staphylococcus aureus contamination of animal-derived foods in Nigeria: a systematic review, 2002-2022 // Food Safety and Risk. ‒ 2023. ‒ T. 10.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140. Deddefo A., Mamo G., Leta S., Amenu K. Prevalence and molecular characteristics of Staphylococcus aureus in raw milk and milk products in Ethiopia: a systematic review and meta-analysis // International Journal of Food Contamination. ‒ 2022. ‒ T. 9, № 1. ‒ C. 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141. Bissong M. E. A., Tahnteng B. F., Ateba C. N. Pathogenic Potential and Antimicrobial Resistance Profile of Staphylococcus aureus in Milk and Beef from the Northwest and Southwest Regions of Cameroon //. ‒ 2020. ‒ T. 2020. ‒ C. 6015283.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142. Cebeci T., Otlu B., Tanriverdi E. S. Staphylococcus aureus in animal-derived food products: the prevalence, virulence, enterotoxin-encoding genes, antibiotic resistance and PFGE profiles in northern Turkey // Veterinarski arhiv. ‒ 2024. ‒ T. 94. ‒ C. 141-154.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143. Hansen J. E., Stegger M., Pedersen K., Sieber R. N., Larsen J., Larsen G., Lilje B., Chriél M., Andersen P. S., Larsen A. R. Spread of LA-MRSA CC398 in Danish mink (Neovison vison) and mink farm workers // Vet Microbiol. ‒ 2020. ‒ T. 245. ‒ C. 108705.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144. Pang R., Wu S., Zhang F., Huang J., Wu H., Zhang J., Li Y., Ding Y., Zhang J., Chen M., Wei X., Zhang Y., Gu Q., Zhou Z., Liang B., Li W., Wu Q. The Genomic Context for the Evolution and Transmission of Community-Associated Staphylococcus aureus ST59 Through the Food Chain // Front Microbiol. ‒ 2020. ‒ T. 11. ‒ C. 422.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145. Zhu Z., Wu S., Chen X., Tan W., Zou G., Huang Q., Meng X., Hu D. L., Li S. Heterogeneity and transmission of food safety-related enterotoxigenic Staphylococcus aureus in pig abattoirs in Hubei, China //. ‒ 2023. ‒ T. 11, № 5. ‒ C. e0191323.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146. Grispoldi L., Karama M., Armani A., Hadjicharalambous C., Cenci-Goga B. T. Staphylococcus aureus enterotoxin in food of animal origin and staphylococcal food poisoning risk assessment from farm to table // Italian Journal of Animal Science. ‒ 2021. ‒ T. 20, № 1. ‒ C. 677-690.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147. Clegg J., Soldaini E., McLoughlin R. M., Rittenhouse S., Bagnoli F., Phogat S. Staphylococcus aureus Vaccine Research and Development: The Past, Present and Future, Including Novel Therapeutic Strategies // Front Immunol. ‒ 2021. ‒ T. 12. ‒ C. 705360.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148. Tong Steven Y. C., Davis Joshua S., Eichenberger E., Holland Thomas L., Fowler Vance G. Staphylococcus aureus Infections: Epidemiology, Pathophysiology, Clinical Manifestations, and Management // Clinical Microbiology Reviews. ‒ 2015. ‒ T. 28, № 3. ‒ C. 603-661.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149. Naber C. K. Staphylococcus aureus Bacteremia: Epidemiology, Pathophysiology, and Management Strategies // Clinical Infectious Diseases. ‒ 2009. ‒ T. 48, № Supplement_4. ‒ C. S231-S237.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150. Gherardi G. Staphylococcus aureus Infection: Pathogenesis and Antimicrobial Resistance // International Journal of Molecular Sciences. ‒ 2023. ‒ T. 24, № 9. ‒ C. 8182.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151. Park S., Ronholm J. Staphylococcus aureus in Agriculture: Lessons in Evolution from a Multispecies Pathogen // Clin Microbiol Rev. ‒ 2021. ‒ T. 34, № 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152. Jansen W., Müller A., Grabowski N. T., Kehrenberg C., Muylkens B., Al Dahouk S. Foodborne diseases do not respect borders: Zoonotic pathogens and </w:t>
      </w:r>
      <w:r w:rsidRPr="00FB61F2">
        <w:rPr>
          <w:rFonts w:cs="Times New Roman"/>
          <w:sz w:val="28"/>
          <w:szCs w:val="28"/>
          <w:lang w:val="en-US"/>
        </w:rPr>
        <w:lastRenderedPageBreak/>
        <w:t>antimicrobial resistant bacteria in food products of animal origin illegally imported into the European Union // Vet J. ‒ 2019. ‒ T. 244. ‒ C. 75-82.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153. Zhao X., Ibeagha-Awemu E. M., Lacasse P. 72 A One-health Perspective on S. aureus Induced Mastitis // Journal of Animal Science. ‒ 2021. ‒ T. 99, № Supplement_3. ‒ C. 39-40.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154. Algharib S. A., Dawood A., Xie S. Nanoparticles for treatment of bovine Staphylococcus aureus mastitis // Drug Delivery. ‒ 2020. ‒ T. 27, № 1. ‒ C. 292-308.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155. Carlson S. K., Erickson D. L., Wilson E. Staphylococcus aureus metal acquisition in the mastitic mammary gland // Microbial Pathogenesis. ‒ 2020. ‒ T. 144. ‒ C. 104179.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156. Del Giudice P. Skin Infections Caused by Staphylococcus aureus // Acta Derm Venereol. ‒ 2020. ‒ T. 100, № 9. ‒ C. 208-215.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157. Costa S. S., Ribeiro R., Serrano M., Oliveira K., Ferreira C., Leal M., Pomba C., Couto I. Staphylococcus aureus Causing Skin and Soft Tissue Infections in Companion Animals: Antimicrobial Resistance Profiles and Clonal Lineages // Antibiotics. ‒ 2022. ‒ T. 11, № 5. ‒ C. 599.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158. Haag A. F., Fitzgerald J. R., Penadés J. R. Staphylococcus aureus in Animals // Microbiol Spectr. ‒ 2019. ‒ T. 7, № 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159. Marques S. A., Abbade L. P. F. Severe bacterial skin infections // An Bras Dermatol. ‒ 2020. ‒ T. 95, № 4. ‒ C. 407-417.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160. Karauzum H., Venkatasubramaniam A., Adhikari R. P., Kort T., Holtsberg F. W., Mukherjee I., Mednikov M., Ortines R., Nguyen N. T. Q., Doan T. M. N., Diep B. A., Lee J. C., Aman M. J. IBT-V02: A Multicomponent Toxoid Vaccine Protects Against Primary and Secondary Skin Infections Caused by Staphylococcus aureus // Front Immunol. ‒ 2021. ‒ T. 12. ‒ C. 624310.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161. Prabhoo R., Chaddha R., Iyer R., Mehra A., Ahdal J., Jain R. Overview of methicillin resistant Staphylococcus aureus mediated bone and joint infections in India // Orthop Rev (Pavia). ‒ 2019. ‒ T. 11, № 2. ‒ C. 8070.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162. Morgenstern M., Erichsen C., Militz M., Xie Z., Peng J., Stannard J., Metsemakers W. J. The AO trauma CPP bone infection registry: Epidemiology and outcomes of Staphylococcus aureus bone infection //. ‒ 2021. ‒ T. 39, № 1. ‒ C. 136-146.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163. Alder K. D., Lee I., Munger A. M., Kwon H. K., Morris M. T., Cahill S. V., Back J., Yu K. E., Lee F. Y. Intracellular Staphylococcus aureus in bone and joint infections: A mechanism of disease recurrence, inflammation, and bone and cartilage destruction // Bone. ‒ 2020. ‒ T. 141. ‒ C. 115568.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164. Muthukrishnan G., Masters E. A., Daiss J. L., Schwarz E. M. Mechanisms of Immune Evasion and Bone Tissue Colonization That Make Staphylococcus aureus the Primary Pathogen in Osteomyelitis // Curr Osteoporos Rep. ‒ 2019. ‒ T. 17, № 6. ‒ C. 395-404.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165. Nasser A., Azimi T., Ostadmohammadi S., Ostadmohammadi S. A comprehensive review of bacterial osteomyelitis with emphasis on Staphylococcus aureus // Microb Pathog. ‒ 2020. ‒ T. 148. ‒ C. 104431.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166. Jin T., Mohammad M. Bacteria and Host Interplay in Staphylococcus aureus Septic Arthritis and Sepsis //. ‒ 2021. ‒ T. 10, № 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167. Gobao V. C., Alfishawy M., Smith C., Byers K. E., Yassin M., Urish K. L., Shah N. B. Risk Factors, Screening, and Treatment Challenges in Staphylococcus aureus Native Septic Arthritis // Open Forum Infect Dis. ‒ 2021. ‒ T. 8, № 1. ‒ C. ofaa593.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168. Wang J., Sang L., Chen Y., Sun S.-C., Chen D., Xie X. Characterisation of Staphylococcus aureus strain causing severe respiratory disease in rabbits // World Rabbit Science. ‒ 2019.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169. Attia A., Abdel-Moein K., Mahmoud H., Samir A. The Burden and Antibiogram of Methicillin-Resistant Staphylococcus aureus among Companion Animals with Respiratory Illness // Advances in Animal and Veterinary Sciences. ‒ 2021. ‒ T. 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170. Abdullahi I. N., Fernández-Fernández R., Juárez-Fernández G. Wild Animals Are Reservoirs and Sentinels of Staphylococcus aureus and MRSA Clones: A Problem with "One Health" Concern //. ‒ 2021. ‒ T. 10, № 12.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171. Silva V., Monteiro A., Porto M., Sampaio A., Maltez L., Pereira J. E., Aonofriesei F., Capelo J. L., Igrejas G., Poeta P. Molecular Diversity of Methicillin-Resistant and -Susceptible Staphylococcus aureus Detected in Animals: A Focus on Aquatic Animals // Diversity. ‒ 2021. ‒ T. 13, № 9. ‒ C. 417.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172. Silva V., Araújo S., Monteiro A., Eira J., Pereira J. E., Maltez L., Igrejas G., Lemsaddek T. S., Poeta P. Staphylococcus aureus and MRSA in Livestock: Antimicrobial Resistance and Genetic Lineages // Microorganisms. ‒ 2023. ‒ T. 11, № 1. ‒ C. 124.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173. Abd El-Ghany W. Staphylococcus aureus in poultry, with special emphasis on methicillin-resistant strain infection: A comprehensive review from one health perspective // International Journal of One Health. ‒ 2021. ‒ T. 7. ‒ C. 257-267.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174. Kasela M., Ossowski M., Dzikoń E., Ignatiuk K., Wlazło Ł., Malm A. The Epidemiology of Animal-Associated Methicillin-Resistant Staphylococcus aureus // Antibiotics. ‒ 2023. ‒ T. 12, № 6. ‒ C. 1079.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175. Linz M. S., Mattappallil A., Finkel D., Parker D. Clinical Impact of Staphylococcus aureus Skin and Soft Tissue Infections // Antibiotics. ‒ 2023. ‒ T. 12, № 3. ‒ C. 557.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176. Kwiecinski J. M., Horswill A. R. Staphylococcus aureus bloodstream infections: pathogenesis and regulatory mechanisms // Current Opinion in Microbiology. ‒ 2020. ‒ T. 53. ‒ C. 51-60.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177. David M. Z., Daum R. S. Treatment of Staphylococcus aureus Infections // Curr Top Microbiol Immunol. ‒ 2017. ‒ T. 409. ‒ C. 325-383.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178. John J., Jr. The treatment of resistant staphylococcal infections // F1000Res. ‒ 2020. ‒ T. 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179. Giacobbe D. R., Dettori S., Corcione S., Vena A., Sepulcri C., Maraolo A. E. Emerging Treatment Options for Acute Bacterial Skin and Skin Structure </w:t>
      </w:r>
      <w:r w:rsidRPr="00FB61F2">
        <w:rPr>
          <w:rFonts w:cs="Times New Roman"/>
          <w:sz w:val="28"/>
          <w:szCs w:val="28"/>
          <w:lang w:val="en-US"/>
        </w:rPr>
        <w:lastRenderedPageBreak/>
        <w:t>Infections and Bloodstream Infections Caused by Staphylococcus aureus: A Comprehensive Review of the Evidence //. ‒ 2022. ‒ T. 15. ‒ C. 2137-2157.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180. Papich M. G. Antimicrobial agents in small animal dermatology for treating staphylococcal infections // Journal of the American Veterinary Medical Association. ‒ 2023. ‒ T. 261, № S1. ‒ C. S130-S139.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181. Krawczyk B., Kur J. Chapter 16 - Molecular Identification and Genotyping of Staphylococci: Genus, Species, Strains, Clones, Lineages, and Interspecies Exchanges // Pet-To-Man Travelling Staphylococci / Savini V.Academic Press, 2018. ‒ C. 199-223.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182. Balbutskaya A. A., Dmitrenko O. A., Skvortsov V. N. [The modern characteristics of species identification of coagulase-positive bacteria of Staphylococcus genus.] // Klin Lab Diagn. ‒ 2017. ‒ T. 62, № 8. ‒ C. 497-502.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183. Zschöck M., Nesseler A., Sudarwanto I. Evaluation of six commercial identification kits for the identification of Staphylococcus aureus isolated from bovine mastitis // Journal of Applied Microbiology. ‒ 2005. ‒ T. 98, № 2. ‒ C. 450-455.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184. Palavecino E. L. Rapid Methods for Detection of MRSA in Clinical Specimens // Methods Mol Biol. ‒ 2020. ‒ T. 2069. ‒ C. 29-45.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185. Hamels S., Gala J. L., Dufour S., Vannuffel P., Zammatteo N., Remacle J. Consensus PCR and Microarray for Diagnosis of the Genus Staphylococcus, Species, and Methicillin Resistance // BioTechniques. ‒ 2001. ‒ T. 31, № 6. ‒ C. 1364-1372.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186. Okolie C. E., Wooldridge K. G., Turner D. P. J., Cockayne A., James R. Development of a heptaplex PCR assay for identification of Staphylococcus aureus and CoNS with simultaneous detection of virulence and antibiotic resistance genes // BMC Microbiology. ‒ 2015. ‒ T. 15, № 1. ‒ C. 157.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187. Xue-Di Z., Bin G., Muhammad U., Jia-Wei T., Zheng-Kang L., Xin-Qiang Z., Jia-Wei Y., Liang W. Recent Progress in the Diagnosis of &lt;em&gt;Staphylococcus&lt;/em&gt; in Clinical Settings // Staphylococcal Infections / Jaime B.-M., Juan José V.-A. ‒ Rijeka: IntechOpen, 2022. ‒ C. Ch. 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188. Zhang K., McClure J. A., Elsayed S., Louie T., Conly J. M. Novel multiplex PCR assay for simultaneous identification of community-associated methicillin-resistant Staphylococcus aureus strains USA300 and USA400 and detection of mecA and Panton-Valentine leukocidin genes, with discrimination of Staphylococcus aureus from coagulase-negative staphylococci // J Clin Microbiol. ‒ 2008. ‒ T. 46, № 3. ‒ C. 1118-22.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189. Sint D., Raso L., Traugott M. Advances in multiplex PCR: balancing primer efficiencies and improving detection success // Methods Ecol Evol. ‒ 2012. ‒ T. 3, № 5. ‒ C. 898-905.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190. Chamberlain J. S., Gibbs R. A., Rainer J. E., Nguyen P. N., Thomas C. Deletion screening of the Duchenne muscular dystrophy locus via multiplex DNA amplification // Nucleic Acids Research. ‒ 1988. ‒ T. 16, № 23. ‒ C. 11141-11156.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191. Diel R., Nienhaus A. Cost-Benefit of Real-Time Multiplex PCR Testing of SARS-CoV-2 in German Hospitals //. ‒ 2023. ‒ T. 20, № 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192. Elnifro E. M., Ashshi A. M., Cooper R. J., Klapper P. E. Multiplex PCR: optimization and application in diagnostic virology // Clin Microbiol Rev. ‒ 2000. ‒ T. 13, № 4. ‒ C. 559-70.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193. Myerson D., Lingenfelter P. A., Gleaves C. A., Meyers J. D., Bowden R. A. Diagnosis of cytomegalovirus pneumonia by the polymerase chain reaction with archived frozen lung tissue and bronchoalveolar lavage fluid // Am J Clin Pathol. ‒ 1993. ‒ T. 100, № 4. ‒ C. 407-13.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194. McElhinney L. M., Cooper R. J., Morris D. J. Multiplex polymerase chain reaction for human herpesvirus-6, human cytomegalovirus, and human beta-globin DNA // J Virol Methods. ‒ 1995. ‒ T. 53, № 2-3. ‒ C. 223-33.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195. Jackson R., Morris D. J., Cooper R. J., Bailey A. S., Klapper P. E., Cleator G. M., Tullo A. B. Multiplex polymerase chain reaction for adenovirus and herpes simplex virus in eye swabs // J Virol Methods. ‒ 1996. ‒ T. 56, № 1. ‒ C. 41-8.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196. Chen W., Zhang K., Huang F., Zhao L., Waldren George C., Jiang Q., Chen Sherry X., Wang B., Guo W., Zhang David Y., Zhang Jinny X. Advancing quantitative PCR with color cycle multiplex amplification // Nucleic Acids Research. ‒ 2024.10.1093/nar/gkae683. ‒ C. gkae683.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197. Abbasi H., Nikoo H. R., Fotouhi F., Khosravi A. Development of a robust TaqMan probe-based one-step multiplex RT-qPCR for simultaneous detection of SARS-CoV-2 and Influenza A/B viruses // BMC Microbiology. ‒ 2023. ‒ T. 23, № 1. ‒ C. 335.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198. Ding T., Suo Y., Zhang Z., Liu D., Ye X., Chen S., Zhao Y. A Multiplex RT-PCR Assay for S. aureus, L. monocytogenes, and Salmonella spp. Detection in Raw Milk with Pre-enrichment // Front Microbiol. ‒ 2017. ‒ T. 8. ‒ C. 989.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199. Li P., Feng X., Chen B., Wang X., Liang Z., Wang L. The Detection of Foodborne Pathogenic Bacteria in Seafood Using a Multiplex Polymerase Chain Reaction System // Foods. ‒ 2022. ‒ T. 11. ‒ C. 3909.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200. Chen Y., Wang Z., Shi Q., Huang S., Yu T., Zhang L., Yang H. Multiplex PCR method for simultaneous detection of five pathogenic bacteria closely related to foodborne diseases // 3 Biotech. ‒ 2021. ‒ T. 11, № 5. ‒ C. 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201. Gandra E., Fernandez M., Silva J., Silva W. Detection by multiplex PCR of Staphylococcus aureus, S. Intermedius and S. Hyicus in artificially contaminated milk // Ciência Rural. ‒ 2016. ‒ T. 46.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202. Khosravi A. D., Roointan M., Abbasi Montazeri E., Aslani S., Hashemzadeh M., Taheri Soodejani M. Application of tuf gene sequence analysis for the identification of species of coagulase-negative staphylococci in clinical samples and evaluation of their antimicrobial resistance pattern // Infect Drug Resist. ‒ 2018. ‒ T. 11. ‒ C. 1275-1282.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203. Zulfiana R., Suharjono, Kuntaman. Genetic profile mutation rpoB in clinical isolate of rifampicin-resistant Staphylococcus aureus // Journal of Basic and Clinical Physiology and Pharmacology. ‒ 2021. ‒ T. 32, № 4. ‒ C. 773-776.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204. Kim E., Yang S. M., Won J. E., Kim D. Y., Kim D. S. Real-Time PCR Method for the Rapid Detection and Quantification of Pathogenic Staphylococcus Species Based on Novel Molecular Target Genes //. ‒ 2021. ‒ T. 10, № 11. ‒ C. 1-15.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205. Bahrami M., Besharati M., Mashreghi M., Moghadam Matin M., Bahrami A. R. Development of a PCR-TTGE assay for rapid detection of Staphylococcus species in processed meat products // Microbiology, Metabolites and Biotechnology. ‒ 2021. ‒ T. 4, № 1. ‒ C. 13-23.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206. Kim J., Hong J., Lim J. A., Heu S., Roh E. Improved multiplex PCR primers for rapid identification of coagulase-negative staphylococci // Arch Microbiol. ‒ 2018. ‒ T. 200, № 1. ‒ C. 73-83.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207. Nisa H., Fitria N., Kusuma D., Aziz F., Widayanti R., Salasia S. Multiplex PCR detection of the classical enterotoxin genes of Staphylococcus aureus in humans and animal isolates // IOP Conference Series: Earth and Environmental Science. ‒ 2023. ‒ T. 1174. ‒ C. 012010.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208. Forouzani-Moghaddam M. J., Habibi S. Rapid detection of major enterotoxin genes and antibiotic resistance of Staphylococcus aureus isolated from raw milk in the Yazd province, Iran //. ‒ 2024. ‒ T. 10, № 3. ‒ C. e1407.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209. Wilson T. K., Zishiri O. T., El Zowalaty M. E. Molecular detection of multidrug and methicillin resistance in Staphylococcus aureus isolated from wild pigeons (Columba livia) in South Africa // One Health. ‒ 2024. ‒ T. 18. ‒ C. 100671.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210. Agbo M. C., Ezeonu I. M., Onodagu B. O., Ezeh C. C., Ozioko C. A., Emencheta S. C. Antimicrobial resistance markers distribution in Staphylococcus aureus from Nsukka, Nigeria // BMC Infect Dis. ‒ 2024. ‒ T. 24, № 1. ‒ C. 320.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211. Duraiswamy S., Agarwalla S., Lok K. S., Tse Y. Y., Wu R. A multiplex Taqman PCR assay for MRSA detection from whole blood //. ‒ 2023. ‒ T. 18, № 11. ‒ C. e0294782.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212. Tombuloglu H., Sabit H., Al-Khallaf H., Kabanja J. H., Alsaeed M., Al-Saleh N., Al-Suhaimi E. Multiplex real-time RT-PCR method for the diagnosis of SARS-CoV-2 by targeting viral N, RdRP and human RP genes // Scientific Reports. ‒ 2022. ‒ T. 12, № 1. ‒ C. 2853.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213. Pham V., Pham H., Balzanelli M., Distratis P., Lazzaro R., Nguyen Q., Tran V., Tran D., Phan L., Pham S., Pham B., Duc C., Nguyen H., Nguyen D., Tran N., Pham S., Queck C., Nguyen K. C., Inchingolo F., Gargiulo C. Multiplex RT Real-Time PCR Based on Target Failure to Detect and Identify Different Variants of SARS-CoV-2: A Feasible Method That Can Be Applied in Clinical Laboratories // Diagnostics. ‒ 2023. ‒ T. 13. ‒ C. 1364.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214. Lapa S. A., Miftakhov R. A., Klochikhina E. S., Ammur Y. I., Blagodatskikh S. A., Shershov V. E., Zasedatelev A. S., Chudinov A. V. Development of Multiplex RT-PCR with Immobilized Primers for Identification of Infectious Human Pneumonia Pathogens // Mol Biol. ‒ 2021. ‒ T. 55, № 6. ‒ C. 828-838.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215. Elkady F. M., Al-Askar A. A., Tawab A. A., Alkherkhisy M. M., Arishi A. A., Hashem A. H. Comparative Genotypic Analysis of RAPD and RFLP Markers </w:t>
      </w:r>
      <w:r w:rsidRPr="00FB61F2">
        <w:rPr>
          <w:rFonts w:cs="Times New Roman"/>
          <w:sz w:val="28"/>
          <w:szCs w:val="28"/>
          <w:lang w:val="en-US"/>
        </w:rPr>
        <w:lastRenderedPageBreak/>
        <w:t>for Molecular Variation Detection of Methicillin-Resistant Staphylococcus aureus Clinical Isolates // Medicina. ‒ 2022. ‒ T. 58, № 9. ‒ C. 1245.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216. Abdelghany H., Khairy R. The Frequency of Methicillin-Resistant Staphylococcus aureus and Coagulase Gene Polymorphism in Egypt // International Journal of Bacteriology. ‒ 2014. ‒ T. 2014.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217. Sharma V., Sharma S., Dahiya D. K., Khan A., Mathur M., Sharma A. Coagulase gene polymorphism, enterotoxigenecity, biofilm production, and antibiotic resistance in Staphylococcus aureus isolated from bovine raw milk in North West India // Ann Clin Microbiol Antimicrob. ‒ 2017. ‒ T. 16, № 1. ‒ C. 65.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218. Elsayed M. S., Mahmoud El-Bagoury A. E., Dawoud M. A. Phenotypic and genotypic detection of virulence factors of Staphylococcus aureus isolated from clinical and subclinical mastitis in cattle and water buffaloes from different farms of Sadat City in Egypt // Vet World. ‒ 2015. ‒ T. 8, № 9. ‒ C. 1051-8.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219. Khoramian B., Razmyar J. Molecular typing of Staphylococcus aureus isolated from bovine and poultry based on PCR- RFLP of spa gene Molecular typing of Staphylococcus aureus isolated from bovine and poultry based on PCR-RFLP of spa gene // Journal of the Hellenic Veterinary Medical Society. ‒ 2023. ‒ T. 74. ‒ C. 5095-5100.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220. Javid F., Taku A., Bhat M. A., Badroo G. A., Mudasir M., Sofi T. A. Molecular typing of Staphylococcus aureus based on coagulase gene // Vet World. ‒ 2018. ‒ T. 11, № 4. ‒ C. 423-430.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221. Salehzadeh A., Zamani H., Langeroudi M. K., Mirzaie A. Molecular typing of nosocomial Staphylococcus aureus strains associated to biofilm based on the coagulase and protein A gene polymorphisms // Iran J Basic Med Sci. ‒ 2016. ‒ T. 19, № 12. ‒ C. 1325-1330.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222. Tabit F. T. Advantages and limitations of potential methods for the analysis of bacteria in milk: a review // J Food Sci Technol. ‒ 2016. ‒ T. 53, № 1. ‒ C. 42-9.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223. Hakimi Alni R., Mohammadzadeh A., Mahmoodi P., Alikhani M. Y. RAPD-PCR analysis of Staphylococcus aureus strains isolated from different sources // Comparative Clinical Pathology. ‒ 2017. ‒ T. 26, № 4. ‒ C. 823-830.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224. Idil N., Bilkay I. Application of RAPD-PCR for Determining the Clonality of Methicillin Resistant Staphylococcus aureus Isolated from Different Hospitals // Brazilian Archives of Biology and Technology. ‒ 2014. ‒ T. 57. ‒ C. 548-553.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225. Mbwana J., Bölin I., Lyamuya E., Mhalu F., Lagergård T. Molecular characterization of Haemophilus ducreyi isolates from different geographical locations // J Clin Microbiol. ‒ 2006. ‒ T. 44, № 1. ‒ C. 132-7.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226. Williams J. G., Kubelik A. R., Livak K. J., Rafalski J. A., Tingey S. V. DNA polymorphisms amplified by arbitrary primers are useful as genetic markers // Nucleic Acids Res. ‒ 1990. ‒ T. 18, № 22. ‒ C. 6531-5.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227. Babu K. N., Sheeja T. E., Minoo D., Rajesh M. K., Samsudeen K., Suraby E. J., Kumar I. P. V. Random Amplified Polymorphic DNA (RAPD) and Derived Techniques // Methods Mol Biol. ‒ 2021. ‒ T. 2222. ‒ C. 219-247.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228. Zare S., Derakhshandeh A., Haghkhah M., Naziri Z., Broujeni A. M. Molecular typing of Staphylococcus aureus from different sources by RAPD-PCR analysis // Heliyon. ‒ 2019. ‒ T. 5, № 8. ‒ C.13-18.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229. Kurlenda J., Grinholc M., Jasek K., Wegrzyn G. RAPD typing of methicillin-resistant Staphylococcus aureus: a 7-year experience in a Polish hospital // Med Sci Monit. ‒ 2007. ‒ T. 13, № 6. ‒ C. Mt13-8.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230. Prasad D., Warke S., Bobade S., Kalorey D. DNA fingerprinting and RAPD-PCR analysis of S. aureus strains isolated from bovine origin // Indian Journal of Comparative Microbiology, Immunology and Infectious Diseases. ‒ 2015. ‒ T. 36. ‒ C. 32-36.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231. Dendani Chadi Z., Dib L., Zeroual F., Benakhla A. Usefulness of molecular typing methods for epidemiological and evolutionary studies of Staphylococcus aureus isolated from bovine intramammary infections // Saudi J Biol Sci. ‒ 2022. ‒ T. 29, № 8. ‒ C. 103338.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232. Dendani Chadi Z., Arcangioli M. A. Pulsed-Field Gel Electrophoresis Analysis of Bovine Associated Staphylococcus aureus: A Review //. ‒ 2023. ‒ T. 12, № 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233. Hata E. Bovine mastitis outbreak in Japan caused by methicillin-resistant Staphylococcus aureus New York/Japan clone // J Vet Diagn Invest. ‒ 2016. ‒ T. 28, № 3. ‒ C. 291-8.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234. Capurro A., Aspán A., Ericsson Unnerstad H., Persson Waller K., Artursson K. Identification of potential sources of Staphylococcus aureus in herds with mastitis problems // J Dairy Sci. ‒ 2010. ‒ T. 93, № 1. ‒ C. 180-91.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235. Jørgensen H. J., Mathisen T., Løvseth A., Omoe K., Qvale K. S., Loncarevic S. An outbreak of staphylococcal food poisoning caused by enterotoxin H in mashed potato made with raw milk // FEMS Microbiol Lett. ‒ 2005. ‒ T. 252, № 2. ‒ C. 267-72.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236. Shen C.-H. Chapter 9 - Amplification of Nucleic Acids // Diagnostic Molecular Biology / Shen C.-H.Academic Press, 2019. ‒ C. 215-247.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237. Gosiewski T., Jurkiewicz-Badacz D., Sroka A., Brzychczy-Włoch M., Bulanda M. A novel, nested, multiplex, real-time PCR for detection of bacteria and fungi in blood // BMC Microbiology. ‒ 2014. ‒ T. 14, № 1. ‒ C. 144.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238. Wu Z., Li N., Li Z., Wang J., Liu M., Qi M., Wei S., Wu T., Guo Y., Zhu J., Jiang H., Xue R., Sun C., Feng X., Gu J., Han W., Li F., Lei L. Development and application of an indirect ELISA and nested PCR for the epidemiological analysis of Klebsiella pneumoniae among pigs in China // Front Microbiol. ‒ 2023. ‒ T. 14. ‒ C. 1329609.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239. Banada P. P., Chakravorty S., Shah D., Burday M., Mazzella F. M., Alland D. Highly sensitive detection of Staphylococcus aureus directly from patient blood // PLoS One. ‒ 2012. ‒ T. 7, № 2. ‒ C. e31126.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240. Wilson L. A., Sharp P. M. Enterobacterial Repetitive Intergenic Consensus (ERIC) Sequences in Escherichia coli: Evolution and Implications for ERIC-PCR // Molecular Biology and Evolution. ‒ 2006. ‒ T. 23, № 6. ‒ C. 1156-1168.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241. Alsultan A., Elhadi N. Evaluation of ERIC-PCR method for determining genetic diversity among Escherichia coli isolated from human and retail imported frozen shrimp and beef // International Journal of Food Contamination. ‒ 2022. ‒ T. 9, № 1. ‒ C. 12.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242. Hsu B.-M., Chen J.-S., Lin I.-C., Hsu G.-J., Koner S., Hussain B., Huang S.-W., Tsai H.-C. Molecular and Anti-Microbial Resistance (AMR) Profiling of Methicillin-Resistant Staphylococcus aureus (MRSA) from Hospital and Long-Term Care Facilities (LTCF) Environment // Antibiotics. ‒ 2021. ‒ T. 10, № 6. ‒ C. 748.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243. Baran A., Oz C., Cengiz S., Adiguzel M. C. Genomic characterization, antimicrobial resistance profiles, enterotoxin, and biofilm production of methicillin-resistant Staphylococcus aureus isolated from clinical and animal products origins in Eastern Turkey // Pesq. Vet. Bras. ‒ 2022. ‒ T. 42.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244. Ranjbar Omid M., Jamali H., Kafilzadeh F., Borjian A., Arzanlou M. Molecular Epidemiology, Virulence Factors, Antibiotic Resistance and Risk Factors for Nasal Carriage of Staphylococcus aureus in A Teenage Student Population: High Prevalence of Oxacillin Susceptible MRSA Isolates // Jundishapur J Microbiol. ‒ 2021. ‒ T. 14, № 9. ‒ C. e118240.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245. Nour El-Din H. T., Yassin A. S. Phenotype-Genotype Characterization and Antibiotic-Resistance Correlations Among Colonizing and Infectious Methicillin-Resistant Staphylococcus aureus Recovered from Intensive Care Units //. ‒ 2021. ‒ T. 14. ‒ C. 1557-1571.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246. Awad A., Hagras R., Elkenany R. Enterobacterial Repetitive Intergenic Consensus-PCR of Methicillin- resistant Staphylococcus aureus Isolated from Pet Animals //. ‒ 2023.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247. Ye Y., Jiang Q., Wu Q., Zhang J., Lu J., Lin L. The characterization and comparison of Staphylococcus aureus by antibiotic susceptibility testing, enterobacterial repetitive intergenic consensus-polymerase chain reaction, and random amplified polymorphic DNA-polymerase chain reaction // Foodborne Pathog Dis. ‒ 2012. ‒ T. 9, № 2. ‒ C. 168-71.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248. Akindolire M. A., Kumar A., Ateba C. N. Genetic characterization of antibiotic-resistant Staphylococcus aureus from milk in the North-West Province, South Africa // Saudi J Biol Sci. ‒ 2018. ‒ T. 25, № 7. ‒ C. 1348-1355.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249. Juwita S., Indrawati A., Damajanti R., Safika S., Mayasari N. Genetic relationship of Staphylococcus aureus isolated from humans, animals, environment, and Dangke products in dairy farms of South Sulawesi Province, Indonesia // Vet World. ‒ 2022. ‒ T. 15, № 3. ‒ C. 558-564.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250. Saunders N. A., Holmes A. Multilocus Sequence Typing (MLST) of Staphylococcus aureus // Methicillin-Resistant Staphylococcus Aureus (MRSA) Protocols / Ji Y. ‒ Totowa, NJ: Humana Press, 2014. ‒ C. 113-130.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251. Jolley K. A., Bray J. E. Open-access bacterial population genomics: BIGSdb software, the PubMLST.org website and their applications //. ‒ 2018. ‒ T. 3. ‒ C. 124.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252. Ravaioli S., Campoccia D. Comparison of Automated Ribotyping, spa Typing, and MLST in 108 Clinical Isolates of Staphylococcus aureus from Orthopedic Infections //. ‒ 2022. ‒ T. 23, № 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253. Polveiro R. C., Granja M. M. C., Roldão T. C. B., Da Silva Lopes I., Vidigal P. M. P., Lima M. C., Moreira M. A. S. Multilocus sequence analysis reveals genetic diversity in Staphylococcus aureus isolate of goat with mastitis persistent after treatment with enrofloxacin // Sci Rep. ‒ 2021. ‒ T. 11, № 1. ‒ C. 17252.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254. Zhang F., Bai B., Xu G.-j., Lin Z.-w., Li G.-q., Chen Z., Cheng H., Sun X., Wang H.-y., Chen Y.-w., Zheng J.-x., Deng Q.-w., Yu Z.-j. Eravacycline activity against clinical S. aureus isolates from China: in vitro activity, MLST profiles and heteroresistance // BMC Microbiology. ‒ 2018. ‒ T. 18, № 1. ‒ C. 211.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255. Hu Y., Huang Y., Lizou Y., Li J., Zhang R. Evaluation of Staphylococcus aureus Subtyping Module for Methicillin-Resistant Staphylococcus aureus Detection Based on Matrix-Assisted Laser Desorption Ionization Time-of-Flight Mass Spectrometry // Front Microbiol. ‒ 2019. ‒ T. 10. ‒ C. 2504.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256. Güven Gökmen T., Kalayci Y., Yaman A., Köksal F. Molecular characterization of methicillin-resistant Staphylococcus aureus strains by spa typing and pulsed field gel electrophoresis methods // BMC Microbiology. ‒ 2018. ‒ T. 18, № 1. ‒ C. 155.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257. De Oliveira D. M. P., Forde B. M. Antimicrobial Resistance in ESKAPE Pathogens //. ‒ 2020. ‒ T. 33, № 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258. Mulani M. S., Kamble E. E., Kumkar S. N., Tawre M. S., Pardesi K. R. Emerging Strategies to Combat ESKAPE Pathogens in the Era of Antimicrobial Resistance: A Review // Front Microbiol. ‒ 2019. ‒ T. 10. ‒ C. 539.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259. Mahmood H. Y., Jamshidi S., Sutton J. M., Rahman K. M. Current Advances in Developing Inhibitors of Bacterial Multidrug Efflux Pumps // Curr Med Chem. ‒ 2016. ‒ T. 23, № 10. ‒ C. 1062-81.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260. Mlynarczyk-Bonikowska B., Kowalewski C. Molecular Mechanisms of Drug Resistance in Staphylococcus aureus //. ‒ 2022. ‒ T. 23, № 15. ‒ C. 2-33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261. Antresh K., Manisha K. Progression of </w:t>
      </w:r>
      <w:r w:rsidRPr="00FB61F2">
        <w:rPr>
          <w:rFonts w:cs="Times New Roman"/>
          <w:sz w:val="28"/>
          <w:szCs w:val="28"/>
        </w:rPr>
        <w:t>β</w:t>
      </w:r>
      <w:r w:rsidRPr="00FB61F2">
        <w:rPr>
          <w:rFonts w:cs="Times New Roman"/>
          <w:sz w:val="28"/>
          <w:szCs w:val="28"/>
          <w:lang w:val="en-US"/>
        </w:rPr>
        <w:t>-Lactam Resistance in &lt;em&gt;Staphylococcus aureus&lt;/em&gt; // Insights Into Drug Resistance in Staphylococcus aureus / Amjad A. ‒ Rijeka: IntechOpen, 2021. ‒ C. Ch. 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262. Ibrahim M. E., Abbas M., Al-Shahrai A. M., Elamin B. K. Phenotypic Characterization and Antibiotic Resistance Patterns of Extended-Spectrum </w:t>
      </w:r>
      <w:r w:rsidRPr="00FB61F2">
        <w:rPr>
          <w:rFonts w:cs="Times New Roman"/>
          <w:sz w:val="28"/>
          <w:szCs w:val="28"/>
        </w:rPr>
        <w:t>β</w:t>
      </w:r>
      <w:r w:rsidRPr="00FB61F2">
        <w:rPr>
          <w:rFonts w:cs="Times New Roman"/>
          <w:sz w:val="28"/>
          <w:szCs w:val="28"/>
          <w:lang w:val="en-US"/>
        </w:rPr>
        <w:t xml:space="preserve">-Lactamase- and AmpC </w:t>
      </w:r>
      <w:r w:rsidRPr="00FB61F2">
        <w:rPr>
          <w:rFonts w:cs="Times New Roman"/>
          <w:sz w:val="28"/>
          <w:szCs w:val="28"/>
        </w:rPr>
        <w:t>β</w:t>
      </w:r>
      <w:r w:rsidRPr="00FB61F2">
        <w:rPr>
          <w:rFonts w:cs="Times New Roman"/>
          <w:sz w:val="28"/>
          <w:szCs w:val="28"/>
          <w:lang w:val="en-US"/>
        </w:rPr>
        <w:t>-Lactamase-Producing Gram-Negative Bacteria in a Referral Hospital, Saudi Arabia // Can J Infect Dis Med Microbiol. ‒ 2019. ‒ T. 2019. ‒ C. 6054694.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263. Pfeifer Y., Cullik A., Witte W. Resistance to cephalosporins and carbapenems in Gram-negative bacterial pathogens // Int J Med Microbiol. ‒ 2010. ‒ T. 300, № 6. ‒ C. 371-9.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 xml:space="preserve">264. Bush K., Bradford P. A. </w:t>
      </w:r>
      <w:r w:rsidRPr="00FB61F2">
        <w:rPr>
          <w:rFonts w:cs="Times New Roman"/>
          <w:sz w:val="28"/>
          <w:szCs w:val="28"/>
        </w:rPr>
        <w:t>β</w:t>
      </w:r>
      <w:r w:rsidRPr="00FB61F2">
        <w:rPr>
          <w:rFonts w:cs="Times New Roman"/>
          <w:sz w:val="28"/>
          <w:szCs w:val="28"/>
          <w:lang w:val="en-US"/>
        </w:rPr>
        <w:t xml:space="preserve">-Lactams and </w:t>
      </w:r>
      <w:r w:rsidRPr="00FB61F2">
        <w:rPr>
          <w:rFonts w:cs="Times New Roman"/>
          <w:sz w:val="28"/>
          <w:szCs w:val="28"/>
        </w:rPr>
        <w:t>β</w:t>
      </w:r>
      <w:r w:rsidRPr="00FB61F2">
        <w:rPr>
          <w:rFonts w:cs="Times New Roman"/>
          <w:sz w:val="28"/>
          <w:szCs w:val="28"/>
          <w:lang w:val="en-US"/>
        </w:rPr>
        <w:t>-Lactamase Inhibitors: An Overview // Cold Spring Harb Perspect Med. ‒ 2016. ‒ T. 6, № 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265. Dever L. A., Dermody T. S. Mechanisms of bacterial resistance to antibiotics // Arch Intern Med. ‒ 1991. ‒ T. 151, № 5. ‒ C. 886-95.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266. Schulte R. H., Munson E. Staphylococcus aureus Resistance Patterns in Wisconsin: 2018 Surveillance of Wisconsin Organisms for Trends in Antimicrobial Resistance and Epidemiology (SWOTARE) Program Report // Clin Med Res. ‒ 2019. ‒ T. 17, № 3-4. ‒ C. 72-81.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267. P R. V., M J. A comparative analysis of community acquired and hospital acquired methicillin resistant Staphylococcus aureus // J Clin Diagn Res. ‒ 2013. ‒ T. 7, № 7. ‒ C. 1339-42.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268. Peacock S. J., Paterson G. K. Mechanisms of Methicillin Resistance in Staphylococcus aureus // Annu Rev Biochem. ‒ 2015. ‒ T. 84. ‒ C. 577-601.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269. Fisher J. F., Mobashery S. </w:t>
      </w:r>
      <w:r w:rsidRPr="00FB61F2">
        <w:rPr>
          <w:rFonts w:cs="Times New Roman"/>
          <w:sz w:val="28"/>
          <w:szCs w:val="28"/>
        </w:rPr>
        <w:t>β</w:t>
      </w:r>
      <w:r w:rsidRPr="00FB61F2">
        <w:rPr>
          <w:rFonts w:cs="Times New Roman"/>
          <w:sz w:val="28"/>
          <w:szCs w:val="28"/>
          <w:lang w:val="en-US"/>
        </w:rPr>
        <w:t>-Lactam Resistance Mechanisms: Gram-Positive Bacteria and Mycobacterium tuberculosis // Cold Spring Harb Perspect Med. ‒ 2016. ‒ T. 6, № 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270. Hiramatsu K., Ito T., Tsubakishita S., Sasaki T., Takeuchi F., Morimoto Y., Katayama Y., Matsuo M., Kuwahara-Arai K., Hishinuma T., Baba T. Genomic Basis for Methicillin Resistance in Staphylococcus aureus // Infect Chemother. ‒ 2013. ‒ T. 45, № 2. ‒ C. 117-36.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271. Chongtrakool P., Ito T., Ma Xiao X., Kondo Y., Trakulsomboon S., Tiensasitorn C., Jamklang M., Chavalit T., Song J.-H., Hiramatsu K. Staphylococcal Cassette Chromosome mec (SCCmec) Typing of Methicillin-Resistant Staphylococcus aureus Strains Isolated in 11 Asian Countries: a Proposal for a New Nomenclature for SCCmec Elements // Antimicrobial Agents and Chemotherapy. ‒ 2006. ‒ T. 50, № 3. ‒ C. 1001-1012.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272. Emaneini M., Bigverdi R., Kalantar D., Soroush S., Jabalameli F., Noorazar Khoshgnab B., Asadollahi P., Taherikalani M. Distribution of genes encoding tetracycline resistance and aminoglycoside modifying enzymes in Staphylococcus aureus strains isolated from a burn center // Ann Burns Fire Disasters. ‒ 2013. ‒ T. 26, № 2. ‒ C. 76-80.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273. Esposito S., Leone S., Petta E., Noviello S., Ianniello F. Treatment options for skin and soft tissue infections caused by meticillin-resistant Staphylococcus aureus:oralvs.parenteral; home vs. hospital // Int J Antimicrob Agents. ‒ 2009. ‒ T. 34 Suppl 1. ‒ C. S30-5.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274. McCallum N., Berger-Bächi B., Senn M. M. Regulation of antibiotic resistance in Staphylococcus aureus // Int J Med Microbiol. ‒ 2010. ‒ T. 300, № 2-3. ‒ C. 118-29.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275. Bismuth R., Zilhao R., Sakamoto H., Guesdon J. L., Courvalin P. Gene heterogeneity for tetracycline resistance in Staphylococcus spp // Antimicrob Agents Chemother. ‒ 1990. ‒ T. 34, № 8. ‒ C. 1611-4.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276. Werckenthin C., Schwarz S., Roberts M. C. Integration of pT181-like tetracycline resistance plasmids into large staphylococcal plasmids involves IS257 // Antimicrob Agents Chemother. ‒ 1996. ‒ T. 40, № 11. ‒ C. 2542-4.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277. Trzcinski K., Cooper B. S., Hryniewicz W., Dowson C. G. Expression of resistance to tetracyclines in strains of methicillin-resistant Staphylococcus aureus // J Antimicrob Chemother. ‒ 2000. ‒ T. 45, № 6. ‒ C. 763-70.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278. Águila-Arcos S., Álvarez-Rodríguez I., Garaiyurrebaso O., Garbisu C., Grohmann E., Alkorta I. Biofilm-Forming Clinical Staphylococcus Isolates Harbor Horizontal Transfer and Antibiotic Resistance Genes // Front Microbiol. ‒ 2017. ‒ T. 8. ‒ C. 2018.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279. Al-Trad E. I., Chew C. H. The Plasmidomic Landscape of Clinical Methicillin-Resistant Staphylococcus aureus Isolates from Malaysia //. ‒ 2023. ‒ T. 12, № 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280. Lindsay J. A. Staphylococcus aureus genomics and the impact of horizontal gene transfer // International Journal of Medical Microbiology. ‒ 2014. ‒ T. 304, № 2. ‒ C. 103-109.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281. Lindsay J. A. Genomic variation and evolution of Staphylococcus aureus // Int J Med Microbiol. ‒ 2010. ‒ T. 300, № 2-3. ‒ C. 98-103.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282. Lindsay J. A., Moore C. E., Day N. P., Peacock S. J., Witney A. A., Stabler R. A., Husain S. E., Butcher P. D., Hinds J. Microarrays reveal that each of the ten dominant lineages of Staphylococcus aureus has a unique combination of surface-associated and regulatory genes // J Bacteriol. ‒ 2006. ‒ T. 188, № 2. ‒ C. 669-76.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283. Feßler A. T., Wang Y., Wu C., Schwarz S. Mobile macrolide resistance genes in staphylococci // Plasmid. ‒ 2018. ‒ T. 99. ‒ C. 2-10.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284. Wilson D. N. Ribosome-targeting antibiotics and mechanisms of bacterial resistance // Nat Rev Microbiol. ‒ 2014. ‒ T. 12, № 1. ‒ C. 35-48.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285. Uddin T. M., Chakraborty A. J., Khusro A., Zidan B. M. R. M., Mitra S., Emran T. B., Dhama K., Ripon M. K. H., Gajdács M., Sahibzada M. U. K., Hossain M. J., Koirala N. Antibiotic resistance in microbes: History, mechanisms, therapeutic strategies and future prospects // Journal of Infection and Public Health. ‒ 2021. ‒ T. 14, № 12. ‒ C. 1750-1766.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286. Champney W. S., Burdine R. Macrolide antibiotics inhibit 50S ribosomal subunit assembly in Bacillus subtilis and Staphylococcus aureus // Antimicrob Agents Chemother. ‒ 1995. ‒ T. 39, № 9. ‒ C. 2141-4.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287. Roberts M. C., Sutcliffe J., Courvalin P., Jensen L. B., Rood J., Seppala H. Nomenclature for macrolide and macrolide-lincosamide-streptogramin B resistance determinants // Antimicrob Agents Chemother. ‒ 1999. ‒ T. 43, № 12. ‒ C. 2823-30.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288. Weisblum B. Erythromycin resistance by ribosome modification // Antimicrob Agents Chemother. ‒ 1995. ‒ T. 39, № 3. ‒ C. 577-85.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289. Smith L. K., Mankin A. S. Transcriptional and translational control of the mlr operon, which confers resistance to seven classes of protein synthesis inhibitors // Antimicrob Agents Chemother. ‒ 2008. ‒ T. 52, № 5. ‒ C. 1703-12.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290. Clewell D. B., Flannagan S. E., Jaworski D. D. Unconstrained bacterial promiscuity: the Tn916-Tn1545 family of conjugative transposons // Trends Microbiol. ‒ 1995. ‒ T. 3, № 6. ‒ C. 229-36.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291. Grohmann E., Muth G., Espinosa M. Conjugative plasmid transfer in gram-positive bacteria // Microbiol Mol Biol Rev. ‒ 2003. ‒ T. 67, № 2. ‒ C. 277-301, table of contents.</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292. Li X. Z., Nikaido H. Efflux-mediated drug resistance in bacteria: an update // Drugs. ‒ 2009. ‒ T. 69, № 12. ‒ C. 1555-623.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293. Li X. Z., Nikaido H. Efflux-mediated drug resistance in bacteria // Drugs. ‒ 2004. ‒ T. 64, № 2. ‒ C. 159-204.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294. Hassan K. A., Skurray R. A., Brown M. H. Active export proteins mediating drug resistance in staphylococci // J Mol Microbiol Biotechnol. ‒ 2007. ‒ T. 12, № 3-4. ‒ C. 180-96.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295. Cetin E. S., Gunes H., Kaya S., Aridogan B. C., Demirci M. Macrolide-lincosamide-streptogramin B resistance phenotypes in clinical staphylococcal isolates // Int J Antimicrob Agents. ‒ 2008. ‒ T. 31, № 4. ‒ C. 364-8.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296. Lina G., Quaglia A., Reverdy M. E., Leclercq R., Vandenesch F., Etienne J. Distribution of genes encoding resistance to macrolides, lincosamides, and streptogramins among staphylococci // Antimicrob Agents Chemother. ‒ 1999. ‒ T. 43, № 5. ‒ C. 1062-6.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297. van Hoek A. H., Mevius D., Guerra B., Mullany P., Roberts A. P., Aarts H. J. Acquired antibiotic resistance genes: an overview // Front Microbiol. ‒ 2011. ‒ T. 2. ‒ C. 203.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298. Matsuoka M., Inoue M., Endo Y., Nakajima Y. Characteristic expression of three genes, msr(A), mph(C) and erm(Y), that confer resistance to macrolide antibiotics on Staphylococcus aureus // FEMS Microbiol Lett. ‒ 2003. ‒ T. 220, № 2. ‒ C. 287-93.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299. Ambrose K. D., Nisbet R., Stephens D. S. Macrolide efflux in Streptococcus pneumoniae is mediated by a dual efflux pump (mel and mef) and is erythromycin inducible // Antimicrob Agents Chemother. ‒ 2005. ‒ T. 49, № 10. ‒ C. 4203-9.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300. Zhang Y., Tatsuno I., Okada R., Hata N., Matsumoto M., Isaka M., Isobe K. I., Hasegawa T. Predominant role of msr(D) over mef(A) in macrolide resistance in Streptococcus pyogenes // Microbiology (Reading). ‒ 2016. ‒ T. 162, № 1. ‒ C. 46-52.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301. Clancy J., Petitpas J., Dib-Hajj F., Yuan W., Cronan M., Kamath A. V., Bergeron J., Retsema J. A. Molecular cloning and functional analysis of a novel macrolide-resistance determinant, mefA, from Streptococcus pyogenes // Mol Microbiol. ‒ 1996. ‒ T. 22, № 5. ‒ C. 867-79.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302. Garneau-Tsodikova S., Labby K. J. Mechanisms of Resistance to Aminoglycoside Antibiotics: Overview and Perspectives // Medchemcomm. ‒ 2016. ‒ T. 7, № 1. ‒ C. 11-27.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303. Ramirez M. S., Tolmasky M. E. Aminoglycoside modifying enzymes // Drug Resist Updat. ‒ 2010. ‒ T. 13, № 6. ‒ C. 151-71.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304. Daigle D. M., Hughes D. W., Wright G. D. Prodigious substrate specificity of AAC(6')-APH(2"), an aminoglycoside antibiotic resistance determinant in enterococci and staphylococci // Chem Biol. ‒ 1999. ‒ T. 6, № 2. ‒ C. 99-110.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305. Caldwell S. J., Berghuis A. M. Small-angle X-ray scattering analysis of the bifunctional antibiotic resistance enzyme aminoglycoside (6') acetyltransferase-ie/aminoglycoside (2'') phosphotransferase-ia reveals a rigid solution structure // Antimicrob Agents Chemother. ‒ 2012. ‒ T. 56, № 4. ‒ C. 1899-906.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306. Zhang W., Fisher J. F., Mobashery S. The bifunctional enzymes of antibiotic resistance // Curr Opin Microbiol. ‒ 2009. ‒ T. 12, № 5. ‒ C. 505-11.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307. Matsuo H., Kobayashi M., Kumagai T., Kuwabara M., Sugiyama M. Molecular mechanism for the enhancement of arbekacin resistance in a methicillin-resistant Staphylococcus aureus // FEBS Lett. ‒ 2003. ‒ T. 546, № 2-3. ‒ C. 401-6.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308. Buu-Hoï A., Le Bouguenec C., Horaud T. High-level chromosomal gentamicin resistance in Streptococcus agalactiae (group B) // Antimicrob Agents Chemother. ‒ 1990. ‒ T. 34, № 6. ‒ C. 985-8.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309. Ferretti J. J., Gilmore K. S., Courvalin P. Nucleotide sequence analysis of the gene specifying the bifunctional 6'-aminoglycoside acetyltransferase 2"-aminoglycoside phosphotransferase enzyme in Streptococcus faecalis and identification and cloning of gene regions specifying the two activities // J Bacteriol. ‒ 1986. ‒ T. 167, № 2. ‒ C. 631-8.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310. Galimand M., Lambert T., Gerbaud G., Courvalin P. High-level aminoglycoside resistance in the beta-hemolytic group G Streptococcus isolate BM2721 // Antimicrob Agents Chemother. ‒ 1999. ‒ T. 43, № 12. ‒ C. 3008-10.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311. Kaufhold A., Potgieter E. Chromosomally mediated high-level gentamicin resistance in Streptococcus mitis // Antimicrob Agents Chemother. ‒ 1993. ‒ T. 37, № 12. ‒ C. 2740-2.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312. Rouch D. A., Byrne M. E., Kong Y. C., Skurray R. A. The aacA-aphD gentamicin and kanamycin resistance determinant of Tn4001 from Staphylococcus aureus: expression and nucleotide sequence analysis // J Gen Microbiol. ‒ 1987. ‒ T. 133, № 11. ‒ C. 3039-52.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313. Chow J. W., Kak V., You I., Kao S. J., Petrin J., Clewell D. B., Lerner S. A., Miller G. H., Shaw K. J. Aminoglycoside resistance genes aph(2")-Ib and aac(6')-Im detected together in strains of both Escherichia coli and Enterococcus faecium // Antimicrob Agents Chemother. ‒ 2001. ‒ T. 45, № 10. ‒ C. 2691-4.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314. Vaiyapuri M., Kusunur A. B., Badireddy M. R. Molecular Mechanisms of Antimicrobial Resistance // Handbook on Antimicrobial Resistance: Current Status, Trends in Detection and Mitigation Measures / Mothadaka M. P. </w:t>
      </w:r>
      <w:r w:rsidRPr="00FB61F2">
        <w:rPr>
          <w:rFonts w:cs="Times New Roman"/>
          <w:sz w:val="28"/>
          <w:szCs w:val="28"/>
        </w:rPr>
        <w:t>и</w:t>
      </w:r>
      <w:r w:rsidRPr="00FB61F2">
        <w:rPr>
          <w:rFonts w:cs="Times New Roman"/>
          <w:sz w:val="28"/>
          <w:szCs w:val="28"/>
          <w:lang w:val="en-US"/>
        </w:rPr>
        <w:t xml:space="preserve"> </w:t>
      </w:r>
      <w:r w:rsidRPr="00FB61F2">
        <w:rPr>
          <w:rFonts w:cs="Times New Roman"/>
          <w:sz w:val="28"/>
          <w:szCs w:val="28"/>
        </w:rPr>
        <w:t>др</w:t>
      </w:r>
      <w:r w:rsidRPr="00FB61F2">
        <w:rPr>
          <w:rFonts w:cs="Times New Roman"/>
          <w:sz w:val="28"/>
          <w:szCs w:val="28"/>
          <w:lang w:val="en-US"/>
        </w:rPr>
        <w:t>. ‒ Singapore: Springer Nature Singapore, 2023. ‒ C. 601-619.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315. Atamjit S., Kirandeep K., Pallvi M., Avneet K., Komalpreet K., Shilpa H., Saroj A., Neena B., Preet Mohinder Singh B. Mechanistic Insights of Drug Resistance in &lt;em&gt;Staphylococcus aureus&lt;/em&gt; with Special Reference to Newer Antibiotics // Insights Into Drug Resistance in Staphylococcus aureus / Amjad A. ‒ Rijeka: IntechOpen, 2021. ‒ C. Ch. 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316. Fong D. H., Berghuis A. M. Structural basis of APH(3')-IIIa-mediated resistance to N1-substituted aminoglycoside antibiotics // Antimicrob Agents Chemother. ‒ 2009. ‒ T. 53, № 7. ‒ C. 3049-55.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317. McKay G. A., Thompson P. R., Wright G. D. Broad spectrum aminoglycoside phosphotransferase type III from Enterococcus: overexpression, purification, and substrate specificity // Biochemistry. ‒ 1994. ‒ T. 33, № 22. ‒ C. 6936-44.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318. Azimi L., Armin S., Samadi Kafil H., Abdollahi N., Ghazvini K., Hasanzadeh S., Shahraki Zahedani S., Rafiei Tabatabaei S., Fallah F. Evaluation of phenotypic and genotypic patterns of aminoglycoside resistance in the Gram-negative bacteria isolates collected from pediatric and general hospitals // Molecular and Cellular Pediatrics. ‒ 2022. ‒ T. 9, № 1. ‒ C. 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319. Scholz P., Haring V., Wittmann-Liebold B., Ashman K., Bagdasarian M., Scherzinger E. Complete nucleotide sequence and gene organization of the broad-host-range plasmid RSF1010 // Gene. ‒ 1989. ‒ T. 75, № 2. ‒ C. 271-88.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320. Foster T. J. Antibiotic resistance in Staphylococcus aureus. Current status and future prospects // FEMS Microbiology Reviews. ‒ 2017. ‒ T. 41, № 3. ‒ C. 430-449.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321. Griffith E. C., Wallace M. J., Wu Y., Kumar G., Gajewski S., Jackson P., Phelps G. A., Zheng Z., Rock C. O., Lee R. E., White S. W. The Structural and Functional Basis for Recurring Sulfa Drug Resistance Mutations in Staphylococcus aureus Dihydropteroate Synthase // Front Microbiol. ‒ 2018. ‒ T. 9. ‒ C. 1369.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322. Nurjadi D., Zizmann E., Chanthalangsy Q., Heeg K., Boutin S. Integrative Analysis of Whole Genome Sequencing and Phenotypic Resistance Toward Prediction of Trimethoprim-Sulfamethoxazole Resistance in Staphylococcus aureus // Front Microbiol. ‒ 2020. ‒ T. 11. ‒ C. 607842.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323. Jiang H., Dong Y., Jiao X., Tang B., Feng T., Li P., Fang J. In vivo fitness of sul gene-dependent sulfonamide-resistant Escherichia coli in the mammalian gut // mSystems. ‒ 2024. ‒ T. 0, № 0. ‒ C. e00836-24.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324. Jiang H., Cheng H., Liang Y., Yu S., Yu T., Fang J., Zhu C. Diverse Mobile Genetic Elements and Conjugal Transferability of Sulfonamide Resistance Genes (sul1, sul2, and sul3) in Escherichia coli Isolates From Penaeus vannamei and Pork From Large Markets in Zhejiang, China // Front Microbiol. ‒ 2019. ‒ T. 10. ‒ C. 1787.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325. Venkatesan M., Fruci M., Verellen L. A., Skarina T., Mesa N., Flick R., Pham C., Mahadevan R., Stogios P. J., Savchenko A. Molecular mechanism of plasmid-borne resistance to sulfonamide antibiotics // Nature Communications. ‒ 2023. ‒ T. 14, № 1. ‒ C. 4031.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326. Tickler I. A., Goering R. V., Dewell S., Le V. M., Johar L., Obradovich A. E., Tenover F. C. Mobile genetic elements responsible for discordant Staphylococcus aureus phenotypes and genotypes in the same blood culture bottle // Diagnostic Microbiology and Infectious Disease. ‒ 2020. ‒ T. 98, № 4. ‒ C. 115175.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327. Bukowski M., Piwowarczyk R., Madry A., Zagorski-Przybylo R., Hydzik M., Wladyka B. Prevalence of Antibiotic and Heavy Metal Resistance Determinants and Virulence-Related Genetic Elements in Plasmids of Staphylococcus aureus // Front Microbiol. ‒ 2019. ‒ T. 10. ‒ C. 805.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328. Humphrey S., Fillol-Salom A. Bacterial chromosomal mobility via lateral transduction exceeds that of classical mobile genetic elements //. ‒ 2021. ‒ T. 12, № 1. ‒ C. 6509.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329. Ramos B., Cunha M. V. The mobilome of Staphylococcus aureus from wild ungulates reveals epidemiological links at the animal-human interface // Environ Pollut. ‒ 2024. ‒ T. 356. ‒ C. 124241.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330. Hatem Z. A., Jasim S. A., Mahdi Z. H. Phenotypic and Genotypic Characterization of Antibiotic Resistance in Staphylococcus aureus Isolated from Different Sources // Jundishapur J Microbiol. ‒ 2021. ‒ T. 14, № 4. ‒ C. e115221.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331. Tigabu A., Getaneh A. Staphylococcus aureus, ESKAPE Bacteria Challenging Current Health Care and Community Settings: a Literature Review // Clin Lab. ‒ 2021. ‒ T. 67, № 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332. Ridder M. J., Daly S. M., Hall P. R., Bose J. L. Quantitative Hemolysis Assays // Methods Mol Biol. ‒ 2021. ‒ T. 2341. ‒ C. 25-30.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333. Carroll K. C., Burnham C. D. From canines to humans: Clinical importance of Staphylococcus pseudintermedius //. ‒ 2021. ‒ T. 17, № 12. ‒ C. e1009961.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334. Abdulbaqi A., Ibrahim A. S. Molecular analysis of Staphylococcus aureus isolated from clinical samples and natural flora: Molecular analysis of S. aureus isolated from clinical samples // Cellular and Molecular Biology. ‒ 2023. ‒ T. 69, № 1. ‒ C. 145-149.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335. El-Sokkary M. Molecular Detection of some Staphylococcal species with the newly developed folp gene sequences // Research Journal of Pharmacy and Technology. ‒ 2022.10.52711/0974-360X.2022.00857. ‒ C. 5099-5105.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336. Kosecka-Strojek M., Sabat A. J., Akkerboom V., Becker K., van Zanten E., Wisselink G., Miedzobrodzki J., Kooistra-Smid A., Friedrich A. W. Development and Validation of a Reference Data Set for Assigning Staphylococcus Species Based on Next-Generation Sequencing of the 16S-23S rRNA Region // Front Cell Infect Microbiol. ‒ 2019. ‒ T. 9. ‒ C. 278.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337. Gumaa M. A., Idris A. B., Bilal N. E., Hassan M. A. First insights into molecular basis identification of 16 s ribosomal RNA gene of Staphylococcus aureus isolated from Sudan // BMC Res Notes. ‒ 2021. ‒ T. 14, № 1. ‒ C. 240.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338. Karimzadeh R., Ghassab R. K. Identification of nuc nuclease and sea enterotoxin genes in Staphylococcus aureus isolates from nasal mucosa of burn </w:t>
      </w:r>
      <w:r w:rsidRPr="00FB61F2">
        <w:rPr>
          <w:rFonts w:cs="Times New Roman"/>
          <w:sz w:val="28"/>
          <w:szCs w:val="28"/>
          <w:lang w:val="en-US"/>
        </w:rPr>
        <w:lastRenderedPageBreak/>
        <w:t>hospital staff: a cross-sectional study // New Microbes New Infect. ‒ 2022. ‒ T. 47. ‒ C. 100992.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339. Sheet O., Talat R., Kanaan I., Najem A., Alchalabi A. Detection of the nuc gene in Staphylococcus aureus isolated from swamps and ponds in Mosul city by using PCR techniques // Iraqi Journal of Veterinary Sciences. ‒ 2022. ‒ T. 36. ‒ C. 821-824.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340. Canning B., Mohamed I., Wickramasinghe N., Swindells J., O'Shea M. K. Thermonuclease test accuracy is preserved in methicillin-resistant Staphylococcus aureus isolates // J Med Microbiol. ‒ 2020. ‒ T. 69, № 4. ‒ C. 548-551.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341. Madkour E., Abou Zeid A., Abdel Ghany S., Alshehrei F. M., El-Ghareeb D., Abdel-Hakeem M. Sensitive and selective colorimetric detection of Staphylococcus aureus-SPA gene by engineered gold nanosensor // Saudi J Biol Sci. ‒ 2023. ‒ T. 30, № 2. ‒ C. 103559.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342. Amelia S., Kusumawati R., Balatif R., Tania T., Winda L., Syamira N. Diversity of Spa gene between methicillin-resistant and methicillin-sensitive Staphylococcus aureus bacteria in a tertiary referral hospital, Indonesia // Medical Journal of Indonesia. ‒ 2023. ‒ T. 32.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343. Kareem S. M., Aljubori S. S., Ali M. R. Novel determination of spa gene diversity and its molecular typing among Staphylococcus aureus Iraqi isolates obtained from different clinical samples // New Microbes New Infect. ‒ 2020. ‒ T. 34. ‒ C. 100653.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344. Ghani Al-Muhanna S., Ameer Al-Kraety I. A., Banoon S. R. Molecular detection of spa gene among Staphylococcus aureus isolated from mastitis // Iranian Journal of Ichthyology. ‒ 2021. ‒ T. 8. ‒ C. 16-20.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345. Idrees M. M., Saeed K., Shahid M. A., Akhtar M., Qammar K., Hassan J., Khaliq T., Saeed A. Prevalence of mecA- and mecC-Associated Methicillin-Resistant Staphylococcus aureus in Clinical Specimens, Punjab, Pakistan // Biomedicines. ‒ 2023. ‒ T. 11, № 3. ‒ C. 878.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346. Nguyen-Thi B.-H., Thi N., Nguyen-Thi H.-Y., Nguyen L.-N., Le T.-S. Unraveling the genetic basis of antibiotic resistance in Staphylococcus aureus: Focus on mecA and PVL Genes // F1000Research. ‒ 2024. ‒ T. 13. ‒ C. 1-21.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347. Dhungel S., Rijal K. R. Methicillin-Resistant Staphylococcus aureus (MRSA): Prevalence, Antimicrobial Susceptibility Pattern, and Detection of mecA Gene among Cardiac Patients from a Tertiary Care Heart Center in Kathmandu, Nepal //. ‒ 2021. ‒ T. 14. ‒ C. 11786337211037355.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348. Vieira G., Leal N., Rodrigues A., Chaves C., Rodrigues F., Osório N. MRSA/MSSA causing infections: prevalence of mecA gene // European Journal of Public Health. ‒ 2020. ‒ T. 30, № Supplement_2. ‒ C. ckaa040.052.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349. Cikman A., Aydin M., Gulhan B., Karakecili F., Kurtoglu M. G., Yuksekkaya S., Parlak M., Gultepe B. S., Cicek A. C., Bilman F. B., Ciftci I. H., Kara M., Atmaca S., Ozekinci T. Absence of the mecC gene in methicillin-resistant Staphylococcus aureus isolated from various clinical samples: The first multi-</w:t>
      </w:r>
      <w:r w:rsidRPr="00FB61F2">
        <w:rPr>
          <w:rFonts w:cs="Times New Roman"/>
          <w:sz w:val="28"/>
          <w:szCs w:val="28"/>
          <w:lang w:val="en-US"/>
        </w:rPr>
        <w:lastRenderedPageBreak/>
        <w:t>centered study in Turkey // J Infect Public Health. ‒ 2019. ‒ T. 12, № 4. ‒ C. 528-533.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350. Nadiya S., Kolla H. B., Reddy P. N. Optimization and evaluation of a multiplex PCR assay for detection of Staphylococcus aureus and its major virulence genes for assessing food safety //. ‒ 2023. ‒ T. 54, № 1. ‒ C. 311-321.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351. Houri H., Samadpanah M., Tayebi Z., Norouzzadeh R., Malekabad E. S., Dadashi A.-R. Investigating the toxin profiles and clinically relevant antibiotic resistance genes among Staphylococcus aureus isolates using multiplex-PCR assay in Tehran, Iran // Gene Reports. ‒ 2020. ‒ T. 19. ‒ C. 100660.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352. Kashani S., Alvandi A., Abiri R. Diagnostic Values of Multiplex Loop-Mediated Isothermal Amplification and Multiplex Polymerase Chain Reaction for Detection of Methicillin-Resistant Staphylococcus aureus // Jundishapur Journal of Microbiology. ‒ 2020. ‒ T. In Press.</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353. Liu Y., Ji Y. Multilocus Sequence Typing of Staphylococcus aureus // Methods Mol Biol. ‒ 2020. ‒ T. 2069. ‒ C. 95-102.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354. Jalil M., Quddos F., Anwer F., Nasir S., Rahman A., Alharbi M., Alshammari A., Alshammari H. K., Ali A. Comparative Pan-Genomic Analysis Revealed an Improved Multi-Locus Sequence Typing Scheme for Staphylococcus aureus // Genes. ‒ 2022. ‒ T. 13, № 11. ‒ C. 2160.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355. Song M., Li Q., He Y., Lan L., Feng Z., Fan Y., Liu H., Qin F., Chen D., Yang M. A Comprehensive Multilocus Sequence Typing Scheme for Identification and Genotyping of Staphylococcus Strains // Foodborne Pathog Dis. ‒ 2019. ‒ T. 16, № 5. ‒ C. 331-338.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356. Liou C. H., Wu H. C., Liao Y. C., Yang Lauderdale T. L., Huang I. W., Chen F. J. nanoMLST: accurate multilocus sequence typing using Oxford Nanopore Technologies MinION with a dual-barcode approach to multiplex large numbers of samples // Microb Genom. ‒ 2020. ‒ T. 6, № 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357. Kim J. M., Kim I., Chung S. H., Chung Y., Han M., Kim J. S. Rapid Discrimination of Methicillin-Resistant Staphylococcus aureus by MALDI-TOF MS // Pathogens. ‒ 2019. ‒ T. 8, № 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358. Tang W., Ranganathan N., Shahrezaei V., Larrouy-Maumus G. MALDI-TOF mass spectrometry on intact bacteria combined with a refined analysis framework allows accurate classification of MSSA and MRSA // PLoS One. ‒ 2019. ‒ T. 14, № 6. ‒ C. e0218951.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359. Dawning A., Lin X., Jerris R. C., Thornton K., Mohamed N., Immergluck L. 860. Molecular Characterization of Isolated Staphylococcus aureus Specimens Using Matrix-Assisted Laser Desorption/Ionization Time-of-Flight Mass Spectrometry (MALDI-TOF MS) // Open Forum Infectious Diseases. ‒ 2023. ‒ T. 10, № Supplement_2. ‒ C. ofad500.905.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360. Tonacini J., Stephan D., Vogel G., Avondet M. A., Kalman F., Crovadore J., Lefort F., Schnyder B. Intact Staphylococcus Enterotoxin SEB from Culture Supernatant Detected by MALDI-TOF Mass Spectrometry // Toxins (Basel). ‒ 2019. ‒ T. 11, № 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361. Massawe F., Mdegela R., Kurwijila L. Antibiotic resistance of Staphylococcus aureus isolates from milk produced by smallholder dairy farmers in Mbeya Region, Tanzania // International Journal of One Health. ‒ 2019. ‒ T. 5. ‒ C. 31-37.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362. Nouri Gharajalar S., Onsori M. Molecular detection of antibiotic resistance genes in multidrug-resistant Staphylococcus aureus isolates from dog dental plaque // BULGARIAN JOURNAL OF VETERINARY MEDICINE. ‒ 2019. ‒ T. 22. ‒ C. 419-427.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363. Rasheed H., Ijaz M., Ahmed A., Javed M. U., Shah S. F. A., Anwaar F. Discrepancies between phenotypic and genotypic identification methods of antibiotic resistant genes harboring Staphylococcusaureus // Microb Pathog. ‒ 2023. ‒ T. 184. ‒ C. 106342.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364. Medugu N., Nwajiobi-Princewill P., Shettima S., Manga M. M., Mohammed Y., Wariso K., Akujobi C. N., Oduyebo O., Iregbu K. A Mini-National Surveillance Study of Resistance Profiles of Staphylococcus Aureus isolated from Clinical Specimens across Hospitals in Nigeria // Nigerian journal of clinical practice. ‒ 2021. ‒ T. 24. ‒ C. 225-232.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365. Sonola V. S., Misinzo G., Matee M. I. Occurrence of Multidrug-Resistant Staphylococcus aureus among Humans, Rodents, Chickens, and Household Soils in Karatu, Northern Tanzania // International Journal of Environmental Research and Public Health. ‒ 2021. ‒ T. 18, № 16. ‒ C. 8496.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366. Palladini G., Garbarino C., Luppi A., Russo S., Filippi A., Arrigoni N., Massella E., Ricchi M. Comparison between broth microdilution and agar disk diffusion methods for antimicrobial susceptibility testing of bovine mastitis pathogens // J Microbiol Methods. ‒ 2023. ‒ T. 212. ‒ C. 106796.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367. Oh Jun T., Ambler Jane E., Cassino C., Schuch R. Development of a Broth Microdilution Method for Exebacase Susceptibility Testing // Antimicrobial Agents and Chemotherapy. ‒ 2021. ‒ T. 65, № 7. ‒ C. 10.1128/aac.02587-20.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368. Nemati G., Romanó A., Wahl F., Berger T., Rojo L. V., Graber H. U. Bovine Staphylococcus aureus: a European study of contagiousness and antimicrobial resistance // Front Vet Sci. ‒ 2023. ‒ T. 10. ‒ C. 1154550.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369. Huang Y. T., Kuo Y. W., Teng L. J., Liao C. H., Hsueh P. R. Comparison of Etest and broth microdilution for evaluating the susceptibility of Staphylococcus aureus and Streptococcus pneumoniae to ceftaroline and of carbapenem-resistant Enterobacterales and Pseudomonas aeruginosa to ceftazidime/avibactam // J Glob Antimicrob Resist. ‒ 2021. ‒ T. 26. ‒ C. 301-307.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370. Kuo C. F., Lio C. F., Chen H. T., Wang Y. T., Ma K. S., Chou Y. T., Chang F. C., Tsai S. Y. Discordance of vancomycin minimum inhibitory concentration for methicillin-resistant Staphylococcus aureus at 2 </w:t>
      </w:r>
      <w:r w:rsidRPr="00FB61F2">
        <w:rPr>
          <w:rFonts w:cs="Times New Roman"/>
          <w:sz w:val="28"/>
          <w:szCs w:val="28"/>
        </w:rPr>
        <w:t>μ</w:t>
      </w:r>
      <w:r w:rsidRPr="00FB61F2">
        <w:rPr>
          <w:rFonts w:cs="Times New Roman"/>
          <w:sz w:val="28"/>
          <w:szCs w:val="28"/>
          <w:lang w:val="en-US"/>
        </w:rPr>
        <w:t>g/mL between Vitek II, E-test, and Broth Microdilution // PeerJ. ‒ 2020. ‒ T. 8. ‒ C. 1-16.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371. Solgi S., Razavi S., Nateghian A., Irajian G., Pournajaf A., Hasannejad-Bibalan M., Rahmani S. Resistance-related determinants in clinically relevant Staphylococcus aureus isolated from teaching therapeutic centers, Tehran, Iran // Reviews in Medical Microbiology. ‒ 2019. ‒ T. Publish Ahead of Print. ‒ C. 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372. Saravolatz L. D., Pawlak J. VISA–Daptomycin non-susceptible Staphylococcus aureus frequently demonstrate non-susceptibility to Telavancin // Diagnostic Microbiology and Infectious Disease. ‒ 2019. ‒ T. 93, № 2. ‒ C. 159-161.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373. Galia L., Ligozzi M., Bertoncelli A., Mazzariol A. Real-time PCR assay for detection of Staphylococcus aureus, Panton-Valentine Leucocidin and Methicillin Resistance directly from clinical samples // AIMS Microbiol. ‒ 2019. ‒ T. 5, № 2. ‒ C. 138-146.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374. Shi Z., Li Y., Hu A., Cui J., Shao M., Zhu L., Yang K., Liu Y., Deng G., Zhu C. Duplex real-time fluorescent recombinase polymerase amplification for the rapid and sensitive detection of two resistance genes in drug-resistant Staphylococcus aureus // J Microbiol Methods. ‒ 2022. ‒ T. 202. ‒ C. 106590.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375. Wang H., Hecht S., Kline D., Leber A. L. Staphylococcus aureus and methicillin resistance detection directly from pediatric samples using PCR assays with differential cycle threshold values for corroboration of methicillin resistance // J Microbiol Methods. ‒ 2019. ‒ T. 159. ‒ C. 167-173.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376. Talebi G., Hashemia A., Goudarzi H., Shariati A., Bostanghadiri N., Yasbolaghi Sharahi J., Abbsi E. Survey of ermA, ermB, ermC and mecA genes among Staphylococcus aureus isolates isolated from patients admitted to hospitals in Tehran, Iran by PCR and Sequencing // Biomedical Research. ‒ 2019. ‒ T. 30.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377. Madhavan A., Sachu A., Balakrishnan A., Vasudevan A., Balakrishnan S., Vasudevapanicker J. Comparison of PCR and phenotypic methods for the detection of methicillin resistant Staphylococcus aureus // Iran J Microbiol. ‒ 2021. ‒ T. 13, № 1. ‒ C. 31-36.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378. </w:t>
      </w:r>
      <w:r w:rsidRPr="00FB61F2">
        <w:rPr>
          <w:rFonts w:cs="Times New Roman"/>
          <w:sz w:val="28"/>
          <w:szCs w:val="28"/>
        </w:rPr>
        <w:t>Байменов</w:t>
      </w:r>
      <w:r w:rsidRPr="00FB61F2">
        <w:rPr>
          <w:rFonts w:cs="Times New Roman"/>
          <w:sz w:val="28"/>
          <w:szCs w:val="28"/>
          <w:lang w:val="en-US"/>
        </w:rPr>
        <w:t xml:space="preserve"> </w:t>
      </w:r>
      <w:r w:rsidRPr="00FB61F2">
        <w:rPr>
          <w:rFonts w:cs="Times New Roman"/>
          <w:sz w:val="28"/>
          <w:szCs w:val="28"/>
        </w:rPr>
        <w:t>Б</w:t>
      </w:r>
      <w:r w:rsidRPr="00FB61F2">
        <w:rPr>
          <w:rFonts w:cs="Times New Roman"/>
          <w:sz w:val="28"/>
          <w:szCs w:val="28"/>
          <w:lang w:val="en-US"/>
        </w:rPr>
        <w:t xml:space="preserve">., </w:t>
      </w:r>
      <w:r w:rsidRPr="00FB61F2">
        <w:rPr>
          <w:rFonts w:cs="Times New Roman"/>
          <w:sz w:val="28"/>
          <w:szCs w:val="28"/>
        </w:rPr>
        <w:t>Чужебаева</w:t>
      </w:r>
      <w:r w:rsidRPr="00FB61F2">
        <w:rPr>
          <w:rFonts w:cs="Times New Roman"/>
          <w:sz w:val="28"/>
          <w:szCs w:val="28"/>
          <w:lang w:val="en-US"/>
        </w:rPr>
        <w:t xml:space="preserve"> </w:t>
      </w:r>
      <w:r w:rsidRPr="00FB61F2">
        <w:rPr>
          <w:rFonts w:cs="Times New Roman"/>
          <w:sz w:val="28"/>
          <w:szCs w:val="28"/>
        </w:rPr>
        <w:t>Г</w:t>
      </w:r>
      <w:r w:rsidRPr="00FB61F2">
        <w:rPr>
          <w:rFonts w:cs="Times New Roman"/>
          <w:sz w:val="28"/>
          <w:szCs w:val="28"/>
          <w:lang w:val="en-US"/>
        </w:rPr>
        <w:t xml:space="preserve">., </w:t>
      </w:r>
      <w:r w:rsidRPr="00FB61F2">
        <w:rPr>
          <w:rFonts w:cs="Times New Roman"/>
          <w:sz w:val="28"/>
          <w:szCs w:val="28"/>
        </w:rPr>
        <w:t>Алиева</w:t>
      </w:r>
      <w:r w:rsidRPr="00FB61F2">
        <w:rPr>
          <w:rFonts w:cs="Times New Roman"/>
          <w:sz w:val="28"/>
          <w:szCs w:val="28"/>
          <w:lang w:val="en-US"/>
        </w:rPr>
        <w:t xml:space="preserve"> </w:t>
      </w:r>
      <w:r w:rsidRPr="00FB61F2">
        <w:rPr>
          <w:rFonts w:cs="Times New Roman"/>
          <w:sz w:val="28"/>
          <w:szCs w:val="28"/>
        </w:rPr>
        <w:t>Г</w:t>
      </w:r>
      <w:r w:rsidRPr="00FB61F2">
        <w:rPr>
          <w:rFonts w:cs="Times New Roman"/>
          <w:sz w:val="28"/>
          <w:szCs w:val="28"/>
          <w:lang w:val="en-US"/>
        </w:rPr>
        <w:t xml:space="preserve">., </w:t>
      </w:r>
      <w:r w:rsidRPr="00FB61F2">
        <w:rPr>
          <w:rFonts w:cs="Times New Roman"/>
          <w:sz w:val="28"/>
          <w:szCs w:val="28"/>
        </w:rPr>
        <w:t>Серикбайов</w:t>
      </w:r>
      <w:r w:rsidRPr="00FB61F2">
        <w:rPr>
          <w:rFonts w:cs="Times New Roman"/>
          <w:sz w:val="28"/>
          <w:szCs w:val="28"/>
          <w:lang w:val="en-US"/>
        </w:rPr>
        <w:t xml:space="preserve"> </w:t>
      </w:r>
      <w:r w:rsidRPr="00FB61F2">
        <w:rPr>
          <w:rFonts w:cs="Times New Roman"/>
          <w:sz w:val="28"/>
          <w:szCs w:val="28"/>
        </w:rPr>
        <w:t>О</w:t>
      </w:r>
      <w:r w:rsidRPr="00FB61F2">
        <w:rPr>
          <w:rFonts w:cs="Times New Roman"/>
          <w:sz w:val="28"/>
          <w:szCs w:val="28"/>
          <w:lang w:val="en-US"/>
        </w:rPr>
        <w:t xml:space="preserve">. </w:t>
      </w:r>
      <w:r w:rsidRPr="00FB61F2">
        <w:rPr>
          <w:rFonts w:cs="Times New Roman"/>
          <w:sz w:val="28"/>
          <w:szCs w:val="28"/>
        </w:rPr>
        <w:t>Разработка</w:t>
      </w:r>
      <w:r w:rsidRPr="00FB61F2">
        <w:rPr>
          <w:rFonts w:cs="Times New Roman"/>
          <w:sz w:val="28"/>
          <w:szCs w:val="28"/>
          <w:lang w:val="en-US"/>
        </w:rPr>
        <w:t xml:space="preserve"> </w:t>
      </w:r>
      <w:r w:rsidRPr="00FB61F2">
        <w:rPr>
          <w:rFonts w:cs="Times New Roman"/>
          <w:sz w:val="28"/>
          <w:szCs w:val="28"/>
        </w:rPr>
        <w:t>рекомбинантных</w:t>
      </w:r>
      <w:r w:rsidRPr="00FB61F2">
        <w:rPr>
          <w:rFonts w:cs="Times New Roman"/>
          <w:sz w:val="28"/>
          <w:szCs w:val="28"/>
          <w:lang w:val="en-US"/>
        </w:rPr>
        <w:t xml:space="preserve"> </w:t>
      </w:r>
      <w:r w:rsidRPr="00FB61F2">
        <w:rPr>
          <w:rFonts w:cs="Times New Roman"/>
          <w:sz w:val="28"/>
          <w:szCs w:val="28"/>
        </w:rPr>
        <w:t>положительных</w:t>
      </w:r>
      <w:r w:rsidRPr="00FB61F2">
        <w:rPr>
          <w:rFonts w:cs="Times New Roman"/>
          <w:sz w:val="28"/>
          <w:szCs w:val="28"/>
          <w:lang w:val="en-US"/>
        </w:rPr>
        <w:t xml:space="preserve"> </w:t>
      </w:r>
      <w:r w:rsidRPr="00FB61F2">
        <w:rPr>
          <w:rFonts w:cs="Times New Roman"/>
          <w:sz w:val="28"/>
          <w:szCs w:val="28"/>
        </w:rPr>
        <w:t>контролей</w:t>
      </w:r>
      <w:r w:rsidRPr="00FB61F2">
        <w:rPr>
          <w:rFonts w:cs="Times New Roman"/>
          <w:sz w:val="28"/>
          <w:szCs w:val="28"/>
          <w:lang w:val="en-US"/>
        </w:rPr>
        <w:t xml:space="preserve"> </w:t>
      </w:r>
      <w:r w:rsidRPr="00FB61F2">
        <w:rPr>
          <w:rFonts w:cs="Times New Roman"/>
          <w:sz w:val="28"/>
          <w:szCs w:val="28"/>
        </w:rPr>
        <w:t>ПЦР</w:t>
      </w:r>
      <w:r w:rsidRPr="00FB61F2">
        <w:rPr>
          <w:rFonts w:cs="Times New Roman"/>
          <w:sz w:val="28"/>
          <w:szCs w:val="28"/>
          <w:lang w:val="en-US"/>
        </w:rPr>
        <w:t xml:space="preserve"> </w:t>
      </w:r>
      <w:r w:rsidRPr="00FB61F2">
        <w:rPr>
          <w:rFonts w:cs="Times New Roman"/>
          <w:sz w:val="28"/>
          <w:szCs w:val="28"/>
        </w:rPr>
        <w:t>для</w:t>
      </w:r>
      <w:r w:rsidRPr="00FB61F2">
        <w:rPr>
          <w:rFonts w:cs="Times New Roman"/>
          <w:sz w:val="28"/>
          <w:szCs w:val="28"/>
          <w:lang w:val="en-US"/>
        </w:rPr>
        <w:t xml:space="preserve"> </w:t>
      </w:r>
      <w:r w:rsidRPr="00FB61F2">
        <w:rPr>
          <w:rFonts w:cs="Times New Roman"/>
          <w:sz w:val="28"/>
          <w:szCs w:val="28"/>
        </w:rPr>
        <w:t>выявления</w:t>
      </w:r>
      <w:r w:rsidRPr="00FB61F2">
        <w:rPr>
          <w:rFonts w:cs="Times New Roman"/>
          <w:sz w:val="28"/>
          <w:szCs w:val="28"/>
          <w:lang w:val="en-US"/>
        </w:rPr>
        <w:t xml:space="preserve"> Staphylococcus aureus </w:t>
      </w:r>
      <w:r w:rsidRPr="00FB61F2">
        <w:rPr>
          <w:rFonts w:cs="Times New Roman"/>
          <w:sz w:val="28"/>
          <w:szCs w:val="28"/>
        </w:rPr>
        <w:t>и</w:t>
      </w:r>
      <w:r w:rsidRPr="00FB61F2">
        <w:rPr>
          <w:rFonts w:cs="Times New Roman"/>
          <w:sz w:val="28"/>
          <w:szCs w:val="28"/>
          <w:lang w:val="en-US"/>
        </w:rPr>
        <w:t xml:space="preserve"> Streptococcus agalactiae </w:t>
      </w:r>
      <w:r w:rsidRPr="00FB61F2">
        <w:rPr>
          <w:rFonts w:cs="Times New Roman"/>
          <w:sz w:val="28"/>
          <w:szCs w:val="28"/>
        </w:rPr>
        <w:t>в</w:t>
      </w:r>
      <w:r w:rsidRPr="00FB61F2">
        <w:rPr>
          <w:rFonts w:cs="Times New Roman"/>
          <w:sz w:val="28"/>
          <w:szCs w:val="28"/>
          <w:lang w:val="en-US"/>
        </w:rPr>
        <w:t xml:space="preserve"> </w:t>
      </w:r>
      <w:r w:rsidRPr="00FB61F2">
        <w:rPr>
          <w:rFonts w:cs="Times New Roman"/>
          <w:sz w:val="28"/>
          <w:szCs w:val="28"/>
        </w:rPr>
        <w:t>молочной</w:t>
      </w:r>
      <w:r w:rsidRPr="00FB61F2">
        <w:rPr>
          <w:rFonts w:cs="Times New Roman"/>
          <w:sz w:val="28"/>
          <w:szCs w:val="28"/>
          <w:lang w:val="en-US"/>
        </w:rPr>
        <w:t xml:space="preserve"> </w:t>
      </w:r>
      <w:r w:rsidRPr="00FB61F2">
        <w:rPr>
          <w:rFonts w:cs="Times New Roman"/>
          <w:sz w:val="28"/>
          <w:szCs w:val="28"/>
        </w:rPr>
        <w:t>продукции</w:t>
      </w:r>
      <w:r w:rsidRPr="00FB61F2">
        <w:rPr>
          <w:rFonts w:cs="Times New Roman"/>
          <w:sz w:val="28"/>
          <w:szCs w:val="28"/>
          <w:lang w:val="en-US"/>
        </w:rPr>
        <w:t xml:space="preserve"> </w:t>
      </w:r>
      <w:r w:rsidRPr="00FB61F2">
        <w:rPr>
          <w:rFonts w:cs="Times New Roman"/>
          <w:sz w:val="28"/>
          <w:szCs w:val="28"/>
        </w:rPr>
        <w:t>и</w:t>
      </w:r>
      <w:r w:rsidRPr="00FB61F2">
        <w:rPr>
          <w:rFonts w:cs="Times New Roman"/>
          <w:sz w:val="28"/>
          <w:szCs w:val="28"/>
          <w:lang w:val="en-US"/>
        </w:rPr>
        <w:t xml:space="preserve"> </w:t>
      </w:r>
      <w:r w:rsidRPr="00FB61F2">
        <w:rPr>
          <w:rFonts w:cs="Times New Roman"/>
          <w:sz w:val="28"/>
          <w:szCs w:val="28"/>
        </w:rPr>
        <w:t>определения</w:t>
      </w:r>
      <w:r w:rsidRPr="00FB61F2">
        <w:rPr>
          <w:rFonts w:cs="Times New Roman"/>
          <w:sz w:val="28"/>
          <w:szCs w:val="28"/>
          <w:lang w:val="en-US"/>
        </w:rPr>
        <w:t xml:space="preserve"> </w:t>
      </w:r>
      <w:r w:rsidRPr="00FB61F2">
        <w:rPr>
          <w:rFonts w:cs="Times New Roman"/>
          <w:sz w:val="28"/>
          <w:szCs w:val="28"/>
        </w:rPr>
        <w:t>их</w:t>
      </w:r>
      <w:r w:rsidRPr="00FB61F2">
        <w:rPr>
          <w:rFonts w:cs="Times New Roman"/>
          <w:sz w:val="28"/>
          <w:szCs w:val="28"/>
          <w:lang w:val="en-US"/>
        </w:rPr>
        <w:t xml:space="preserve"> </w:t>
      </w:r>
      <w:r w:rsidRPr="00FB61F2">
        <w:rPr>
          <w:rFonts w:cs="Times New Roman"/>
          <w:sz w:val="28"/>
          <w:szCs w:val="28"/>
        </w:rPr>
        <w:t>локусов</w:t>
      </w:r>
      <w:r w:rsidRPr="00FB61F2">
        <w:rPr>
          <w:rFonts w:cs="Times New Roman"/>
          <w:sz w:val="28"/>
          <w:szCs w:val="28"/>
          <w:lang w:val="en-US"/>
        </w:rPr>
        <w:t xml:space="preserve"> </w:t>
      </w:r>
      <w:r w:rsidRPr="00FB61F2">
        <w:rPr>
          <w:rFonts w:cs="Times New Roman"/>
          <w:sz w:val="28"/>
          <w:szCs w:val="28"/>
        </w:rPr>
        <w:t>антибиотикорезистентности</w:t>
      </w:r>
      <w:r w:rsidRPr="00FB61F2">
        <w:rPr>
          <w:rFonts w:cs="Times New Roman"/>
          <w:sz w:val="28"/>
          <w:szCs w:val="28"/>
          <w:lang w:val="en-US"/>
        </w:rPr>
        <w:t xml:space="preserve"> // Ġylym ža̋ne bìlìm. ‒ 2023. ‒ T. 2, № 2 (71). ‒ C. 144-153.</w:t>
      </w:r>
    </w:p>
    <w:p w:rsidR="00FB61F2" w:rsidRPr="00FB61F2" w:rsidRDefault="00FB61F2" w:rsidP="00FB61F2">
      <w:pPr>
        <w:ind w:firstLine="709"/>
        <w:rPr>
          <w:rFonts w:cs="Times New Roman"/>
          <w:sz w:val="28"/>
          <w:szCs w:val="28"/>
        </w:rPr>
      </w:pPr>
      <w:r w:rsidRPr="00FB61F2">
        <w:rPr>
          <w:rFonts w:cs="Times New Roman"/>
          <w:sz w:val="28"/>
          <w:szCs w:val="28"/>
          <w:lang w:val="en-US"/>
        </w:rPr>
        <w:t xml:space="preserve">379. Rychshanova R., Mendybayeva A., Miciński B., Mamiyev N., Shevchenko P., Bermukhametov Z., Orzechowski B., Miciński J. Antibiotic resistance and biofilm formation in Staphylococcus aureus isolated from dairy cows at the stage of subclinical mastitis in northern Kazakhstan // Arch Anim Breed. </w:t>
      </w:r>
      <w:r w:rsidRPr="00FB61F2">
        <w:rPr>
          <w:rFonts w:cs="Times New Roman"/>
          <w:sz w:val="28"/>
          <w:szCs w:val="28"/>
        </w:rPr>
        <w:t>‒ 2022. ‒ T. 65, № 4. ‒ C. 439-448.</w:t>
      </w:r>
    </w:p>
    <w:p w:rsidR="00FB61F2" w:rsidRPr="00FB61F2" w:rsidRDefault="00FB61F2" w:rsidP="00FB61F2">
      <w:pPr>
        <w:ind w:firstLine="709"/>
        <w:rPr>
          <w:rFonts w:cs="Times New Roman"/>
          <w:sz w:val="28"/>
          <w:szCs w:val="28"/>
        </w:rPr>
      </w:pPr>
      <w:r w:rsidRPr="00FB61F2">
        <w:rPr>
          <w:rFonts w:cs="Times New Roman"/>
          <w:sz w:val="28"/>
          <w:szCs w:val="28"/>
        </w:rPr>
        <w:t>380. Алиева Г.К. Байменов Б.М., Алешина Ю.Е., Рыщанова Р.М. Выделение и идентификация Staphylococcus aureus из молока коров и определение их чувствительности/резистентности к антибиотикам // Материалы международной научно-практической конференции 26 апреля 2019 года. - Костанай: Костанайский государственный университет имени А.Байтурсынова. ‒ 2019. ‒ C. 151-154.</w:t>
      </w:r>
    </w:p>
    <w:p w:rsidR="00FB61F2" w:rsidRPr="00FB61F2" w:rsidRDefault="00FB61F2" w:rsidP="00FB61F2">
      <w:pPr>
        <w:ind w:firstLine="709"/>
        <w:rPr>
          <w:rFonts w:cs="Times New Roman"/>
          <w:sz w:val="28"/>
          <w:szCs w:val="28"/>
          <w:lang w:val="en-US"/>
        </w:rPr>
      </w:pPr>
      <w:r w:rsidRPr="00FB61F2">
        <w:rPr>
          <w:rFonts w:cs="Times New Roman"/>
          <w:sz w:val="28"/>
          <w:szCs w:val="28"/>
        </w:rPr>
        <w:t xml:space="preserve">381. Чужебаева Г., Алиева Г., Байменов Б., Мәлікзада Қ. Основные биологические свойства и устойчивость к антибиотикам изолятов Staphylococcus аureus и Streptococcus agalactiae, выделенных из молока коров Костанайской области Казахстана // Ġylym ža̋ne bìlìm. </w:t>
      </w:r>
      <w:r w:rsidRPr="00FB61F2">
        <w:rPr>
          <w:rFonts w:cs="Times New Roman"/>
          <w:sz w:val="28"/>
          <w:szCs w:val="28"/>
          <w:lang w:val="en-US"/>
        </w:rPr>
        <w:t>‒ 2022. ‒ T. 1, № 1 (66). ‒ C. 3-11.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382. Baymenov B. M., Bulashev A. K., Chuzhebayeva G. D., Aliyeva G. K., Beishova I. S., Kokanov S. K., Raketsky V. A. Phenotypic and genotypic resistance to antibiotics in Staphylococcus aureus strains isolated from cattle milk in Northern Kazakhstan // Vet World. ‒ 2023. ‒ T. 16, № 9. ‒ C. 1815-1820.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383. Sayers E. W., Beck J., Bolton E. E., Bourexis D., Brister J. R., Canese K., Comeau D. C., Funk K., Kim S., Klimke W., Marchler-Bauer A., Landrum M., Lathrop S., Lu Z., Madden T. L., O'Leary N., Phan L., Rangwala S. H., Schneider V. A., Skripchenko Y., Wang J., Ye J., Trawick B. W., Pruitt K. D., Sherry S. T. Database resources of the National Center for Biotechnology Information // Nucleic Acids Res. ‒ 2021. ‒ T. 49, № D1. ‒ C. D10-d17.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384. </w:t>
      </w:r>
      <w:r w:rsidRPr="00FB61F2">
        <w:rPr>
          <w:rFonts w:cs="Times New Roman"/>
          <w:sz w:val="28"/>
          <w:szCs w:val="28"/>
        </w:rPr>
        <w:t>Байменов</w:t>
      </w:r>
      <w:r w:rsidRPr="00FB61F2">
        <w:rPr>
          <w:rFonts w:cs="Times New Roman"/>
          <w:sz w:val="28"/>
          <w:szCs w:val="28"/>
          <w:lang w:val="en-US"/>
        </w:rPr>
        <w:t xml:space="preserve"> </w:t>
      </w:r>
      <w:r w:rsidRPr="00FB61F2">
        <w:rPr>
          <w:rFonts w:cs="Times New Roman"/>
          <w:sz w:val="28"/>
          <w:szCs w:val="28"/>
        </w:rPr>
        <w:t>Б</w:t>
      </w:r>
      <w:r w:rsidRPr="00FB61F2">
        <w:rPr>
          <w:rFonts w:cs="Times New Roman"/>
          <w:sz w:val="28"/>
          <w:szCs w:val="28"/>
          <w:lang w:val="en-US"/>
        </w:rPr>
        <w:t>.</w:t>
      </w:r>
      <w:r w:rsidRPr="00FB61F2">
        <w:rPr>
          <w:rFonts w:cs="Times New Roman"/>
          <w:sz w:val="28"/>
          <w:szCs w:val="28"/>
        </w:rPr>
        <w:t>М</w:t>
      </w:r>
      <w:r w:rsidRPr="00FB61F2">
        <w:rPr>
          <w:rFonts w:cs="Times New Roman"/>
          <w:sz w:val="28"/>
          <w:szCs w:val="28"/>
          <w:lang w:val="en-US"/>
        </w:rPr>
        <w:t xml:space="preserve">. </w:t>
      </w:r>
      <w:r w:rsidRPr="00FB61F2">
        <w:rPr>
          <w:rFonts w:cs="Times New Roman"/>
          <w:sz w:val="28"/>
          <w:szCs w:val="28"/>
        </w:rPr>
        <w:t>Чужебаева</w:t>
      </w:r>
      <w:r w:rsidRPr="00FB61F2">
        <w:rPr>
          <w:rFonts w:cs="Times New Roman"/>
          <w:sz w:val="28"/>
          <w:szCs w:val="28"/>
          <w:lang w:val="en-US"/>
        </w:rPr>
        <w:t xml:space="preserve"> </w:t>
      </w:r>
      <w:r w:rsidRPr="00FB61F2">
        <w:rPr>
          <w:rFonts w:cs="Times New Roman"/>
          <w:sz w:val="28"/>
          <w:szCs w:val="28"/>
        </w:rPr>
        <w:t>Г</w:t>
      </w:r>
      <w:r w:rsidRPr="00FB61F2">
        <w:rPr>
          <w:rFonts w:cs="Times New Roman"/>
          <w:sz w:val="28"/>
          <w:szCs w:val="28"/>
          <w:lang w:val="en-US"/>
        </w:rPr>
        <w:t>.</w:t>
      </w:r>
      <w:r w:rsidRPr="00FB61F2">
        <w:rPr>
          <w:rFonts w:cs="Times New Roman"/>
          <w:sz w:val="28"/>
          <w:szCs w:val="28"/>
        </w:rPr>
        <w:t>Д</w:t>
      </w:r>
      <w:r w:rsidRPr="00FB61F2">
        <w:rPr>
          <w:rFonts w:cs="Times New Roman"/>
          <w:sz w:val="28"/>
          <w:szCs w:val="28"/>
          <w:lang w:val="en-US"/>
        </w:rPr>
        <w:t xml:space="preserve">., </w:t>
      </w:r>
      <w:r w:rsidRPr="00FB61F2">
        <w:rPr>
          <w:rFonts w:cs="Times New Roman"/>
          <w:sz w:val="28"/>
          <w:szCs w:val="28"/>
        </w:rPr>
        <w:t>Ермагамбетова</w:t>
      </w:r>
      <w:r w:rsidRPr="00FB61F2">
        <w:rPr>
          <w:rFonts w:cs="Times New Roman"/>
          <w:sz w:val="28"/>
          <w:szCs w:val="28"/>
          <w:lang w:val="en-US"/>
        </w:rPr>
        <w:t xml:space="preserve"> </w:t>
      </w:r>
      <w:r w:rsidRPr="00FB61F2">
        <w:rPr>
          <w:rFonts w:cs="Times New Roman"/>
          <w:sz w:val="28"/>
          <w:szCs w:val="28"/>
        </w:rPr>
        <w:t>С</w:t>
      </w:r>
      <w:r w:rsidRPr="00FB61F2">
        <w:rPr>
          <w:rFonts w:cs="Times New Roman"/>
          <w:sz w:val="28"/>
          <w:szCs w:val="28"/>
          <w:lang w:val="en-US"/>
        </w:rPr>
        <w:t>.</w:t>
      </w:r>
      <w:r w:rsidRPr="00FB61F2">
        <w:rPr>
          <w:rFonts w:cs="Times New Roman"/>
          <w:sz w:val="28"/>
          <w:szCs w:val="28"/>
        </w:rPr>
        <w:t>Е</w:t>
      </w:r>
      <w:r w:rsidRPr="00FB61F2">
        <w:rPr>
          <w:rFonts w:cs="Times New Roman"/>
          <w:sz w:val="28"/>
          <w:szCs w:val="28"/>
          <w:lang w:val="en-US"/>
        </w:rPr>
        <w:t xml:space="preserve">. </w:t>
      </w:r>
      <w:r w:rsidRPr="00FB61F2">
        <w:rPr>
          <w:rFonts w:cs="Times New Roman"/>
          <w:sz w:val="28"/>
          <w:szCs w:val="28"/>
        </w:rPr>
        <w:t>Идентификация</w:t>
      </w:r>
      <w:r w:rsidRPr="00FB61F2">
        <w:rPr>
          <w:rFonts w:cs="Times New Roman"/>
          <w:sz w:val="28"/>
          <w:szCs w:val="28"/>
          <w:lang w:val="en-US"/>
        </w:rPr>
        <w:t xml:space="preserve"> Staphylococcus aureus </w:t>
      </w:r>
      <w:r w:rsidRPr="00FB61F2">
        <w:rPr>
          <w:rFonts w:cs="Times New Roman"/>
          <w:sz w:val="28"/>
          <w:szCs w:val="28"/>
        </w:rPr>
        <w:t>в</w:t>
      </w:r>
      <w:r w:rsidRPr="00FB61F2">
        <w:rPr>
          <w:rFonts w:cs="Times New Roman"/>
          <w:sz w:val="28"/>
          <w:szCs w:val="28"/>
          <w:lang w:val="en-US"/>
        </w:rPr>
        <w:t xml:space="preserve"> </w:t>
      </w:r>
      <w:r w:rsidRPr="00FB61F2">
        <w:rPr>
          <w:rFonts w:cs="Times New Roman"/>
          <w:sz w:val="28"/>
          <w:szCs w:val="28"/>
        </w:rPr>
        <w:t>объектах</w:t>
      </w:r>
      <w:r w:rsidRPr="00FB61F2">
        <w:rPr>
          <w:rFonts w:cs="Times New Roman"/>
          <w:sz w:val="28"/>
          <w:szCs w:val="28"/>
          <w:lang w:val="en-US"/>
        </w:rPr>
        <w:t xml:space="preserve"> </w:t>
      </w:r>
      <w:r w:rsidRPr="00FB61F2">
        <w:rPr>
          <w:rFonts w:cs="Times New Roman"/>
          <w:sz w:val="28"/>
          <w:szCs w:val="28"/>
        </w:rPr>
        <w:t>ветеринарносанитарного</w:t>
      </w:r>
      <w:r w:rsidRPr="00FB61F2">
        <w:rPr>
          <w:rFonts w:cs="Times New Roman"/>
          <w:sz w:val="28"/>
          <w:szCs w:val="28"/>
          <w:lang w:val="en-US"/>
        </w:rPr>
        <w:t xml:space="preserve"> </w:t>
      </w:r>
      <w:r w:rsidRPr="00FB61F2">
        <w:rPr>
          <w:rFonts w:cs="Times New Roman"/>
          <w:sz w:val="28"/>
          <w:szCs w:val="28"/>
        </w:rPr>
        <w:t>надзора</w:t>
      </w:r>
      <w:r w:rsidRPr="00FB61F2">
        <w:rPr>
          <w:rFonts w:cs="Times New Roman"/>
          <w:sz w:val="28"/>
          <w:szCs w:val="28"/>
          <w:lang w:val="en-US"/>
        </w:rPr>
        <w:t xml:space="preserve"> </w:t>
      </w:r>
      <w:r w:rsidRPr="00FB61F2">
        <w:rPr>
          <w:rFonts w:cs="Times New Roman"/>
          <w:sz w:val="28"/>
          <w:szCs w:val="28"/>
        </w:rPr>
        <w:t>методом</w:t>
      </w:r>
      <w:r w:rsidRPr="00FB61F2">
        <w:rPr>
          <w:rFonts w:cs="Times New Roman"/>
          <w:sz w:val="28"/>
          <w:szCs w:val="28"/>
          <w:lang w:val="en-US"/>
        </w:rPr>
        <w:t xml:space="preserve"> </w:t>
      </w:r>
      <w:r w:rsidRPr="00FB61F2">
        <w:rPr>
          <w:rFonts w:cs="Times New Roman"/>
          <w:sz w:val="28"/>
          <w:szCs w:val="28"/>
        </w:rPr>
        <w:t>ПЦР</w:t>
      </w:r>
      <w:r w:rsidRPr="00FB61F2">
        <w:rPr>
          <w:rFonts w:cs="Times New Roman"/>
          <w:sz w:val="28"/>
          <w:szCs w:val="28"/>
          <w:lang w:val="en-US"/>
        </w:rPr>
        <w:t xml:space="preserve"> Real Time // “3i: intellect, idea, innovation - </w:t>
      </w:r>
      <w:r w:rsidRPr="00FB61F2">
        <w:rPr>
          <w:rFonts w:cs="Times New Roman"/>
          <w:sz w:val="28"/>
          <w:szCs w:val="28"/>
        </w:rPr>
        <w:t>интеллект</w:t>
      </w:r>
      <w:r w:rsidRPr="00FB61F2">
        <w:rPr>
          <w:rFonts w:cs="Times New Roman"/>
          <w:sz w:val="28"/>
          <w:szCs w:val="28"/>
          <w:lang w:val="en-US"/>
        </w:rPr>
        <w:t xml:space="preserve">, </w:t>
      </w:r>
      <w:r w:rsidRPr="00FB61F2">
        <w:rPr>
          <w:rFonts w:cs="Times New Roman"/>
          <w:sz w:val="28"/>
          <w:szCs w:val="28"/>
        </w:rPr>
        <w:t>идея</w:t>
      </w:r>
      <w:r w:rsidRPr="00FB61F2">
        <w:rPr>
          <w:rFonts w:cs="Times New Roman"/>
          <w:sz w:val="28"/>
          <w:szCs w:val="28"/>
          <w:lang w:val="en-US"/>
        </w:rPr>
        <w:t xml:space="preserve">, </w:t>
      </w:r>
      <w:r w:rsidRPr="00FB61F2">
        <w:rPr>
          <w:rFonts w:cs="Times New Roman"/>
          <w:sz w:val="28"/>
          <w:szCs w:val="28"/>
        </w:rPr>
        <w:t>инновация</w:t>
      </w:r>
      <w:r w:rsidRPr="00FB61F2">
        <w:rPr>
          <w:rFonts w:cs="Times New Roman"/>
          <w:sz w:val="28"/>
          <w:szCs w:val="28"/>
          <w:lang w:val="en-US"/>
        </w:rPr>
        <w:t>. ‒ 2020. ‒ T. №2. ‒ C. 8-17.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385. </w:t>
      </w:r>
      <w:r w:rsidRPr="00FB61F2">
        <w:rPr>
          <w:rFonts w:cs="Times New Roman"/>
          <w:sz w:val="28"/>
          <w:szCs w:val="28"/>
        </w:rPr>
        <w:t>Чужебаева</w:t>
      </w:r>
      <w:r w:rsidRPr="00FB61F2">
        <w:rPr>
          <w:rFonts w:cs="Times New Roman"/>
          <w:sz w:val="28"/>
          <w:szCs w:val="28"/>
          <w:lang w:val="en-US"/>
        </w:rPr>
        <w:t xml:space="preserve"> </w:t>
      </w:r>
      <w:r w:rsidRPr="00FB61F2">
        <w:rPr>
          <w:rFonts w:cs="Times New Roman"/>
          <w:sz w:val="28"/>
          <w:szCs w:val="28"/>
        </w:rPr>
        <w:t>Г</w:t>
      </w:r>
      <w:r w:rsidRPr="00FB61F2">
        <w:rPr>
          <w:rFonts w:cs="Times New Roman"/>
          <w:sz w:val="28"/>
          <w:szCs w:val="28"/>
          <w:lang w:val="en-US"/>
        </w:rPr>
        <w:t xml:space="preserve">., </w:t>
      </w:r>
      <w:r w:rsidRPr="00FB61F2">
        <w:rPr>
          <w:rFonts w:cs="Times New Roman"/>
          <w:sz w:val="28"/>
          <w:szCs w:val="28"/>
        </w:rPr>
        <w:t>Байменов</w:t>
      </w:r>
      <w:r w:rsidRPr="00FB61F2">
        <w:rPr>
          <w:rFonts w:cs="Times New Roman"/>
          <w:sz w:val="28"/>
          <w:szCs w:val="28"/>
          <w:lang w:val="en-US"/>
        </w:rPr>
        <w:t xml:space="preserve"> </w:t>
      </w:r>
      <w:r w:rsidRPr="00FB61F2">
        <w:rPr>
          <w:rFonts w:cs="Times New Roman"/>
          <w:sz w:val="28"/>
          <w:szCs w:val="28"/>
        </w:rPr>
        <w:t>Б</w:t>
      </w:r>
      <w:r w:rsidRPr="00FB61F2">
        <w:rPr>
          <w:rFonts w:cs="Times New Roman"/>
          <w:sz w:val="28"/>
          <w:szCs w:val="28"/>
          <w:lang w:val="en-US"/>
        </w:rPr>
        <w:t xml:space="preserve">., </w:t>
      </w:r>
      <w:r w:rsidRPr="00FB61F2">
        <w:rPr>
          <w:rFonts w:cs="Times New Roman"/>
          <w:sz w:val="28"/>
          <w:szCs w:val="28"/>
        </w:rPr>
        <w:t>Алиева</w:t>
      </w:r>
      <w:r w:rsidRPr="00FB61F2">
        <w:rPr>
          <w:rFonts w:cs="Times New Roman"/>
          <w:sz w:val="28"/>
          <w:szCs w:val="28"/>
          <w:lang w:val="en-US"/>
        </w:rPr>
        <w:t xml:space="preserve"> </w:t>
      </w:r>
      <w:r w:rsidRPr="00FB61F2">
        <w:rPr>
          <w:rFonts w:cs="Times New Roman"/>
          <w:sz w:val="28"/>
          <w:szCs w:val="28"/>
        </w:rPr>
        <w:t>Г</w:t>
      </w:r>
      <w:r w:rsidRPr="00FB61F2">
        <w:rPr>
          <w:rFonts w:cs="Times New Roman"/>
          <w:sz w:val="28"/>
          <w:szCs w:val="28"/>
          <w:lang w:val="en-US"/>
        </w:rPr>
        <w:t xml:space="preserve">., </w:t>
      </w:r>
      <w:r w:rsidRPr="00FB61F2">
        <w:rPr>
          <w:rFonts w:cs="Times New Roman"/>
          <w:sz w:val="28"/>
          <w:szCs w:val="28"/>
        </w:rPr>
        <w:t>Муканов</w:t>
      </w:r>
      <w:r w:rsidRPr="00FB61F2">
        <w:rPr>
          <w:rFonts w:cs="Times New Roman"/>
          <w:sz w:val="28"/>
          <w:szCs w:val="28"/>
          <w:lang w:val="en-US"/>
        </w:rPr>
        <w:t xml:space="preserve"> </w:t>
      </w:r>
      <w:r w:rsidRPr="00FB61F2">
        <w:rPr>
          <w:rFonts w:cs="Times New Roman"/>
          <w:sz w:val="28"/>
          <w:szCs w:val="28"/>
        </w:rPr>
        <w:t>Т</w:t>
      </w:r>
      <w:r w:rsidRPr="00FB61F2">
        <w:rPr>
          <w:rFonts w:cs="Times New Roman"/>
          <w:sz w:val="28"/>
          <w:szCs w:val="28"/>
          <w:lang w:val="en-US"/>
        </w:rPr>
        <w:t xml:space="preserve">. 619:616.9:579.62 </w:t>
      </w:r>
      <w:r w:rsidRPr="00FB61F2">
        <w:rPr>
          <w:rFonts w:cs="Times New Roman"/>
          <w:sz w:val="28"/>
          <w:szCs w:val="28"/>
        </w:rPr>
        <w:t>Оценка</w:t>
      </w:r>
      <w:r w:rsidRPr="00FB61F2">
        <w:rPr>
          <w:rFonts w:cs="Times New Roman"/>
          <w:sz w:val="28"/>
          <w:szCs w:val="28"/>
          <w:lang w:val="en-US"/>
        </w:rPr>
        <w:t xml:space="preserve"> </w:t>
      </w:r>
      <w:r w:rsidRPr="00FB61F2">
        <w:rPr>
          <w:rFonts w:cs="Times New Roman"/>
          <w:sz w:val="28"/>
          <w:szCs w:val="28"/>
        </w:rPr>
        <w:t>праймеров</w:t>
      </w:r>
      <w:r w:rsidRPr="00FB61F2">
        <w:rPr>
          <w:rFonts w:cs="Times New Roman"/>
          <w:sz w:val="28"/>
          <w:szCs w:val="28"/>
          <w:lang w:val="en-US"/>
        </w:rPr>
        <w:t xml:space="preserve"> </w:t>
      </w:r>
      <w:r w:rsidRPr="00FB61F2">
        <w:rPr>
          <w:rFonts w:cs="Times New Roman"/>
          <w:sz w:val="28"/>
          <w:szCs w:val="28"/>
        </w:rPr>
        <w:t>и</w:t>
      </w:r>
      <w:r w:rsidRPr="00FB61F2">
        <w:rPr>
          <w:rFonts w:cs="Times New Roman"/>
          <w:sz w:val="28"/>
          <w:szCs w:val="28"/>
          <w:lang w:val="en-US"/>
        </w:rPr>
        <w:t xml:space="preserve"> </w:t>
      </w:r>
      <w:r w:rsidRPr="00FB61F2">
        <w:rPr>
          <w:rFonts w:cs="Times New Roman"/>
          <w:sz w:val="28"/>
          <w:szCs w:val="28"/>
        </w:rPr>
        <w:t>флуоресцентно</w:t>
      </w:r>
      <w:r w:rsidRPr="00FB61F2">
        <w:rPr>
          <w:rFonts w:cs="Times New Roman"/>
          <w:sz w:val="28"/>
          <w:szCs w:val="28"/>
          <w:lang w:val="en-US"/>
        </w:rPr>
        <w:t>-</w:t>
      </w:r>
      <w:r w:rsidRPr="00FB61F2">
        <w:rPr>
          <w:rFonts w:cs="Times New Roman"/>
          <w:sz w:val="28"/>
          <w:szCs w:val="28"/>
        </w:rPr>
        <w:t>меченных</w:t>
      </w:r>
      <w:r w:rsidRPr="00FB61F2">
        <w:rPr>
          <w:rFonts w:cs="Times New Roman"/>
          <w:sz w:val="28"/>
          <w:szCs w:val="28"/>
          <w:lang w:val="en-US"/>
        </w:rPr>
        <w:t xml:space="preserve"> </w:t>
      </w:r>
      <w:r w:rsidRPr="00FB61F2">
        <w:rPr>
          <w:rFonts w:cs="Times New Roman"/>
          <w:sz w:val="28"/>
          <w:szCs w:val="28"/>
        </w:rPr>
        <w:t>зондов</w:t>
      </w:r>
      <w:r w:rsidRPr="00FB61F2">
        <w:rPr>
          <w:rFonts w:cs="Times New Roman"/>
          <w:sz w:val="28"/>
          <w:szCs w:val="28"/>
          <w:lang w:val="en-US"/>
        </w:rPr>
        <w:t xml:space="preserve"> </w:t>
      </w:r>
      <w:r w:rsidRPr="00FB61F2">
        <w:rPr>
          <w:rFonts w:cs="Times New Roman"/>
          <w:sz w:val="28"/>
          <w:szCs w:val="28"/>
        </w:rPr>
        <w:t>для</w:t>
      </w:r>
      <w:r w:rsidRPr="00FB61F2">
        <w:rPr>
          <w:rFonts w:cs="Times New Roman"/>
          <w:sz w:val="28"/>
          <w:szCs w:val="28"/>
          <w:lang w:val="en-US"/>
        </w:rPr>
        <w:t xml:space="preserve"> </w:t>
      </w:r>
      <w:r w:rsidRPr="00FB61F2">
        <w:rPr>
          <w:rFonts w:cs="Times New Roman"/>
          <w:sz w:val="28"/>
          <w:szCs w:val="28"/>
        </w:rPr>
        <w:t>идентификации</w:t>
      </w:r>
      <w:r w:rsidRPr="00FB61F2">
        <w:rPr>
          <w:rFonts w:cs="Times New Roman"/>
          <w:sz w:val="28"/>
          <w:szCs w:val="28"/>
          <w:lang w:val="en-US"/>
        </w:rPr>
        <w:t xml:space="preserve"> Staphylococcus </w:t>
      </w:r>
      <w:r w:rsidRPr="00FB61F2">
        <w:rPr>
          <w:rFonts w:cs="Times New Roman"/>
          <w:sz w:val="28"/>
          <w:szCs w:val="28"/>
        </w:rPr>
        <w:t>а</w:t>
      </w:r>
      <w:r w:rsidRPr="00FB61F2">
        <w:rPr>
          <w:rFonts w:cs="Times New Roman"/>
          <w:sz w:val="28"/>
          <w:szCs w:val="28"/>
          <w:lang w:val="en-US"/>
        </w:rPr>
        <w:t xml:space="preserve">ureus </w:t>
      </w:r>
      <w:r w:rsidRPr="00FB61F2">
        <w:rPr>
          <w:rFonts w:cs="Times New Roman"/>
          <w:sz w:val="28"/>
          <w:szCs w:val="28"/>
        </w:rPr>
        <w:t>и</w:t>
      </w:r>
      <w:r w:rsidRPr="00FB61F2">
        <w:rPr>
          <w:rFonts w:cs="Times New Roman"/>
          <w:sz w:val="28"/>
          <w:szCs w:val="28"/>
          <w:lang w:val="en-US"/>
        </w:rPr>
        <w:t xml:space="preserve"> Streptococcus agalactiae </w:t>
      </w:r>
      <w:r w:rsidRPr="00FB61F2">
        <w:rPr>
          <w:rFonts w:cs="Times New Roman"/>
          <w:sz w:val="28"/>
          <w:szCs w:val="28"/>
        </w:rPr>
        <w:t>и</w:t>
      </w:r>
      <w:r w:rsidRPr="00FB61F2">
        <w:rPr>
          <w:rFonts w:cs="Times New Roman"/>
          <w:sz w:val="28"/>
          <w:szCs w:val="28"/>
          <w:lang w:val="en-US"/>
        </w:rPr>
        <w:t xml:space="preserve"> </w:t>
      </w:r>
      <w:r w:rsidRPr="00FB61F2">
        <w:rPr>
          <w:rFonts w:cs="Times New Roman"/>
          <w:sz w:val="28"/>
          <w:szCs w:val="28"/>
        </w:rPr>
        <w:t>их</w:t>
      </w:r>
      <w:r w:rsidRPr="00FB61F2">
        <w:rPr>
          <w:rFonts w:cs="Times New Roman"/>
          <w:sz w:val="28"/>
          <w:szCs w:val="28"/>
          <w:lang w:val="en-US"/>
        </w:rPr>
        <w:t xml:space="preserve"> </w:t>
      </w:r>
      <w:r w:rsidRPr="00FB61F2">
        <w:rPr>
          <w:rFonts w:cs="Times New Roman"/>
          <w:sz w:val="28"/>
          <w:szCs w:val="28"/>
        </w:rPr>
        <w:t>генов</w:t>
      </w:r>
      <w:r w:rsidRPr="00FB61F2">
        <w:rPr>
          <w:rFonts w:cs="Times New Roman"/>
          <w:sz w:val="28"/>
          <w:szCs w:val="28"/>
          <w:lang w:val="en-US"/>
        </w:rPr>
        <w:t xml:space="preserve"> </w:t>
      </w:r>
      <w:r w:rsidRPr="00FB61F2">
        <w:rPr>
          <w:rFonts w:cs="Times New Roman"/>
          <w:sz w:val="28"/>
          <w:szCs w:val="28"/>
        </w:rPr>
        <w:t>резистентности</w:t>
      </w:r>
      <w:r w:rsidRPr="00FB61F2">
        <w:rPr>
          <w:rFonts w:cs="Times New Roman"/>
          <w:sz w:val="28"/>
          <w:szCs w:val="28"/>
          <w:lang w:val="en-US"/>
        </w:rPr>
        <w:t xml:space="preserve"> </w:t>
      </w:r>
      <w:r w:rsidRPr="00FB61F2">
        <w:rPr>
          <w:rFonts w:cs="Times New Roman"/>
          <w:sz w:val="28"/>
          <w:szCs w:val="28"/>
        </w:rPr>
        <w:t>к</w:t>
      </w:r>
      <w:r w:rsidRPr="00FB61F2">
        <w:rPr>
          <w:rFonts w:cs="Times New Roman"/>
          <w:sz w:val="28"/>
          <w:szCs w:val="28"/>
          <w:lang w:val="en-US"/>
        </w:rPr>
        <w:t xml:space="preserve"> </w:t>
      </w:r>
      <w:r w:rsidRPr="00FB61F2">
        <w:rPr>
          <w:rFonts w:cs="Times New Roman"/>
          <w:sz w:val="28"/>
          <w:szCs w:val="28"/>
        </w:rPr>
        <w:t>антибактериальным</w:t>
      </w:r>
      <w:r w:rsidRPr="00FB61F2">
        <w:rPr>
          <w:rFonts w:cs="Times New Roman"/>
          <w:sz w:val="28"/>
          <w:szCs w:val="28"/>
          <w:lang w:val="en-US"/>
        </w:rPr>
        <w:t xml:space="preserve"> </w:t>
      </w:r>
      <w:r w:rsidRPr="00FB61F2">
        <w:rPr>
          <w:rFonts w:cs="Times New Roman"/>
          <w:sz w:val="28"/>
          <w:szCs w:val="28"/>
        </w:rPr>
        <w:t>препаратам</w:t>
      </w:r>
      <w:r w:rsidRPr="00FB61F2">
        <w:rPr>
          <w:rFonts w:cs="Times New Roman"/>
          <w:sz w:val="28"/>
          <w:szCs w:val="28"/>
          <w:lang w:val="en-US"/>
        </w:rPr>
        <w:t xml:space="preserve"> // Ġylym ža̋ne bìlìm. ‒ 2022. ‒ T. 1, № 3(68). ‒ C. 105-114.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386. Gan C., Hu J., Cao Q., Zhao R., Li Y., Wang Z., Tao Y., Mo X. Rapid identification of pathogens involved in pediatric osteoarticular infections by multiplex PCR // Ann Transl Med. ‒ 2020. ‒ T. 8, № 5. ‒ C. 1-9.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387. Caro R. E. S., Cagayan J., Gardoce R. R., Manohar A. N. C. Mining and validation of novel simple sequence repeat (SSR) markers derived from coconut (Cocos nucifera L.) genome assembly //. ‒ 2022. ‒ T. 20, № 1. ‒ C. 71.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388. Dewi K. S., Fuad A. M. Improving the Expression of Human Granulocyte Colony Stimulating Factor in Escherichia coli by Reducing the GC-content and Increasing mRNA Folding Free Energy at 5'-Terminal End // Adv Pharm Bull. ‒ 2020. ‒ T. 10, № 4. ‒ C. 610-616.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389. Behzadi P., Najafi A., Behzadi E., Ranjbar R. Microarray long oligo probe designing for Escherichia coli: an in-silico DNA marker extraction // Cent European J Urol. ‒ 2016. ‒ T. 69, № 1. ‒ C. 105-11.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390. Oleinikova Y., Alybayeva A., Daugaliyeva S., Alimzhanova M., Ashimuly K., Yermekbay Z., Khadzhibayeva I., Saubenova M. Development of an antagonistic active beverage based on a starter including Acetobacter and assessment of its volatile profile // International Dairy Journal. ‒ 2024. ‒ T. 148. ‒ C. 105789.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391. Tamura K., Nei M., Kumar S. Prospects for inferring very large phylogenies by using the neighbor-joining method // Proceedings of the National Academy of Sciences. ‒ 2004. ‒ T. 101, № 30. ‒ C. 11030-11035.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392. Tamura K., Stecher G., Kumar S. MEGA11: Molecular Evolutionary Genetics Analysis Version 11 //. ‒ 2021. ‒ T. 38, № 7. ‒ C. 3022-3027.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393. Shreffler J., Huecker M. R. Diagnostic Testing Accuracy: Sensitivity, Specificity, Predictive Values and Likelihood Ratios // StatPearls. ‒ Treasure Island </w:t>
      </w:r>
      <w:r w:rsidRPr="00FB61F2">
        <w:rPr>
          <w:rFonts w:cs="Times New Roman"/>
          <w:sz w:val="28"/>
          <w:szCs w:val="28"/>
          <w:lang w:val="en-US"/>
        </w:rPr>
        <w:lastRenderedPageBreak/>
        <w:t>(FL) ineligible companies. Disclosure: Martin Huecker declares no relevant financial relationships with ineligible companies.: StatPearls Publishing</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Copyright © 2023, StatPearls Publishing LLC., 2023.</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394. McHugh M. L. Interrater reliability: the kappa statistic // Biochem Med (Zagreb). ‒ 2012. ‒ T. 22, № 3. ‒ C. 276-82.</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395. Khan A. U., Sultan A., Tyagi A., Zahoor S., Akram M., Kaur S., Shahid M., Vaishnavi C. V. Amplification of mecA gene in multi-drug resistant Staphylococcus aureus strains from hospital personnel // J Infect Dev Ctries. ‒ 2007. ‒ T. 1, № 3. ‒ C. 289-95.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396. Salem-Bekhit M. M., Muharram M., Alhosiny I. M., Hashim M. Molecular detection of genes encoding virulence determinants in Staphylococcus aureus strains isolated from bovine mastitis // J. Appl. Sci. Res. ‒ 2010. ‒ T. 6, № 2. ‒ C. 121-128.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397. Zhang K., Sparling J., Chow B. L., Elsayed S., Hussain Z., Church D. L., Gregson D. B., Louie T., Conly J. M. New quadriplex PCR assay for detection of methicillin and mupirocin resistance and simultaneous discrimination of Staphylococcus aureus from coagulase-negative staphylococci // J Clin Microbiol. ‒ 2004. ‒ T. 42, № 11. ‒ C. 4947-55.</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398. Lee N., Kwon K. Y., Oh S. K., Chang H. J., Chun H. S., Choi S. W. A multiplex PCR assay for simultaneous detection of Escherichia coli O157:H7, Bacillus cereus, Vibrio parahaemolyticus, Salmonella spp., Listeria monocytogenes, and Staphylococcus aureus in Korean ready-to-eat food // Foodborne Pathog Dis. ‒ 2014. ‒ T. 11, № 7. ‒ C. 574-80.</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399. Yang F. L., Li X. S., Liang X. W., Zhang X. F., Qin G. S., Yang B. Z. Detection of virulence-associated genes in Staphylococcus aureus isolated from bovine clinical mastitis milk samples in Guangxi // Trop Anim Health Prod. ‒ 2012. ‒ T. 44, № 8. ‒ C. 1821-6.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400. Takayama Y., Tanaka T., Oikawa K., Fukano N., Goto M., Takahashi T. Prevalence of blaZ Gene and Performance of Phenotypic Tests to Detect Penicillinase in Staphylococcus aureus Isolates from Japan // Ann Lab Med. ‒ 2018. ‒ T. 38, № 2. ‒ C. 155-159.</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401. Brook I. Inoculum effect // Rev Infect Dis. ‒ 1989. ‒ T. 11, № 3. ‒ C. 361-8.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402. Nannini E. C., Singh K. V., Murray B. E. Relapse of type A beta-lactamase-producing Staphylococcus aureus native valve endocarditis during cefazolin therapy: revisiting the issue // Clin Infect Dis. ‒ 2003. ‒ T. 37, № 9. ‒ C. 1194-8.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 xml:space="preserve">403. Lee S., Kwon K. T., Kim H. I., Chang H. H., Lee J. M., Choe P. G., Park W. B., Kim N. J., Oh M. D., Song D. Y., Kim S. W. Clinical implications of cefazolin inoculum effect and </w:t>
      </w:r>
      <w:r w:rsidRPr="00FB61F2">
        <w:rPr>
          <w:rFonts w:cs="Times New Roman"/>
          <w:sz w:val="28"/>
          <w:szCs w:val="28"/>
        </w:rPr>
        <w:t>β</w:t>
      </w:r>
      <w:r w:rsidRPr="00FB61F2">
        <w:rPr>
          <w:rFonts w:cs="Times New Roman"/>
          <w:sz w:val="28"/>
          <w:szCs w:val="28"/>
          <w:lang w:val="en-US"/>
        </w:rPr>
        <w:t>-lactamase type on methicillin-susceptible Staphylococcus aureus bacteremia // Microb Drug Resist. ‒ 2014. ‒ T. 20, № 6. ‒ C. 568-74.</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lastRenderedPageBreak/>
        <w:t>404. Nannini E. C., Stryjewski M. E., Singh K. V., Bourgogne A., Rude T. H., Corey G. R., Fowler V. G., Jr., Murray B. E. Inoculum effect with cefazolin among clinical isolates of methicillin-susceptible Staphylococcus aureus: frequency and possible cause of cefazolin treatment failure // Antimicrob Agents Chemother. ‒ 2009. ‒ T. 53, № 8. ‒ C. 3437-41.</w:t>
      </w:r>
    </w:p>
    <w:p w:rsidR="00FB61F2" w:rsidRPr="003D540B" w:rsidRDefault="00FB61F2" w:rsidP="00FB61F2">
      <w:pPr>
        <w:ind w:firstLine="709"/>
        <w:rPr>
          <w:rFonts w:cs="Times New Roman"/>
          <w:sz w:val="28"/>
          <w:szCs w:val="28"/>
          <w:lang w:val="en-US"/>
        </w:rPr>
      </w:pPr>
      <w:r w:rsidRPr="00FB61F2">
        <w:rPr>
          <w:rFonts w:cs="Times New Roman"/>
          <w:sz w:val="28"/>
          <w:szCs w:val="28"/>
          <w:lang w:val="en-US"/>
        </w:rPr>
        <w:t xml:space="preserve">405. Lee S., Song K. H., Jung S. I., Park W. B., Lee S. H., Kim Y. S., Kwak Y. G., Kim Y. K., Kiem S. M., Kim H. I., Kim E. S., Park K. H., Kim N. J., Jang H. C., Kim H. B. Comparative outcomes of cefazolin versus nafcillin for methicillin-susceptible Staphylococcus aureus bacteraemia: a prospective multicentre cohort study in Korea // Clin Microbiol Infect. </w:t>
      </w:r>
      <w:r w:rsidRPr="003D540B">
        <w:rPr>
          <w:rFonts w:cs="Times New Roman"/>
          <w:sz w:val="28"/>
          <w:szCs w:val="28"/>
          <w:lang w:val="en-US"/>
        </w:rPr>
        <w:t>‒ 2018. ‒ T. 24, № 2. ‒ C. 152-158.</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406. Khan S. A., Nawaz M. S., Khan A. A., Cerniglia C. E. Simultaneous detection of erythromycin-resistant methylase genes ermA and ermC from Staphylococcus spp. by multiplex-PCR // Mol Cell Probes. ‒ 1999. ‒ T. 13, № 5. ‒ C. 381-7.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407. Mlynarczyk B., Mlynarczyk A., Kmera-Muszynska M., Majewski S., Mlynarczyk G. Mechanisms of resistance to antimicrobial drugs in pathogenic Gram-positive cocci // Mini Rev Med Chem. ‒ 2010. ‒ T. 10, № 10. ‒ C. 928-37.</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408. Steward C. D., Raney P. M., Morrell A. K., Williams P. P., McDougal L. K., Jevitt L., McGowan J. E., Jr., Tenover F. C. Testing for induction of clindamycin resistance in erythromycin-resistant isolates of Staphylococcus aureus // J Clin Microbiol. ‒ 2005. ‒ T. 43, № 4. ‒ C. 1716-21.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409. Andrade N. C., Laranjo M. Virulence Factors in Staphylococcus Associated with Small Ruminant Mastitis: Biofilm Production and Antimicrobial Resistance Genes //. ‒ 2021. ‒ T. 10, № 6.</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410. Lollai S. A., Ziccheddu M., Duprè I., Piras D. Characterization of resistance to tetracyclines and aminoglycosides of sheep mastitis pathogens: study of the effect of gene content on resistance // J Appl Microbiol. ‒ 2016. ‒ T. 121, № 4. ‒ C. 941-51.</w:t>
      </w:r>
    </w:p>
    <w:p w:rsidR="00FB61F2" w:rsidRPr="00FB61F2" w:rsidRDefault="00FB61F2" w:rsidP="00FB61F2">
      <w:pPr>
        <w:ind w:firstLine="709"/>
        <w:rPr>
          <w:rFonts w:cs="Times New Roman"/>
          <w:sz w:val="28"/>
          <w:szCs w:val="28"/>
          <w:lang w:val="en-US"/>
        </w:rPr>
      </w:pPr>
      <w:r w:rsidRPr="00FB61F2">
        <w:rPr>
          <w:rFonts w:cs="Times New Roman"/>
          <w:sz w:val="28"/>
          <w:szCs w:val="28"/>
          <w:lang w:val="en-US"/>
        </w:rPr>
        <w:t>411. Wood C., Sahl J., Maltinsky S., Coyne B., Russakoff B., Yagüe D. P., Bowers J., Pearson T. SaQuant: a real-time PCR assay for quantitative assessment of Staphylococcus aureus // BMC Microbiol. ‒ 2021. ‒ T. 21, № 1. ‒ C. 174.</w:t>
      </w:r>
    </w:p>
    <w:p w:rsidR="00FB61F2" w:rsidRPr="00FB61F2" w:rsidRDefault="00FB61F2" w:rsidP="00FB61F2">
      <w:pPr>
        <w:ind w:firstLine="709"/>
        <w:rPr>
          <w:rFonts w:cs="Times New Roman"/>
          <w:sz w:val="28"/>
          <w:szCs w:val="28"/>
        </w:rPr>
      </w:pPr>
      <w:r w:rsidRPr="00FB61F2">
        <w:rPr>
          <w:rFonts w:cs="Times New Roman"/>
          <w:sz w:val="28"/>
          <w:szCs w:val="28"/>
          <w:lang w:val="en-US"/>
        </w:rPr>
        <w:t xml:space="preserve">412. Braun P., Nguyen M. D., Walter M. C. Ultrasensitive Detection of Bacillus anthracis by Real-Time PCR Targeting a Polymorphism in Multi-Copy 16S rRNA Genes and Their Transcripts //. </w:t>
      </w:r>
      <w:r w:rsidRPr="00FB61F2">
        <w:rPr>
          <w:rFonts w:cs="Times New Roman"/>
          <w:sz w:val="28"/>
          <w:szCs w:val="28"/>
        </w:rPr>
        <w:t>‒ 2021. ‒ T. 22, № 22.</w:t>
      </w:r>
    </w:p>
    <w:p w:rsidR="00D73F4B" w:rsidRDefault="00D73F4B" w:rsidP="00F34F69">
      <w:pPr>
        <w:rPr>
          <w:rFonts w:cs="Times New Roman"/>
          <w:sz w:val="28"/>
          <w:szCs w:val="28"/>
        </w:rPr>
      </w:pPr>
    </w:p>
    <w:p w:rsidR="00D73F4B" w:rsidRDefault="00D73F4B" w:rsidP="00F34F69">
      <w:pPr>
        <w:rPr>
          <w:rFonts w:cs="Times New Roman"/>
          <w:sz w:val="28"/>
          <w:szCs w:val="28"/>
        </w:rPr>
      </w:pPr>
    </w:p>
    <w:p w:rsidR="00E1739C" w:rsidRDefault="00E1739C" w:rsidP="00F34F69">
      <w:pPr>
        <w:rPr>
          <w:rFonts w:cs="Times New Roman"/>
          <w:sz w:val="28"/>
          <w:szCs w:val="28"/>
        </w:rPr>
      </w:pPr>
    </w:p>
    <w:p w:rsidR="00303DED" w:rsidRPr="00900AB7" w:rsidRDefault="00303DED" w:rsidP="00303DED">
      <w:pPr>
        <w:jc w:val="center"/>
        <w:rPr>
          <w:b/>
          <w:sz w:val="28"/>
          <w:szCs w:val="28"/>
        </w:rPr>
      </w:pPr>
      <w:r w:rsidRPr="00900AB7">
        <w:rPr>
          <w:b/>
          <w:sz w:val="28"/>
          <w:szCs w:val="28"/>
        </w:rPr>
        <w:t>ПРИЛОЖЕНИЕ А</w:t>
      </w:r>
    </w:p>
    <w:p w:rsidR="00303DED" w:rsidRPr="00900AB7" w:rsidRDefault="00303DED" w:rsidP="00303DED">
      <w:pPr>
        <w:jc w:val="center"/>
        <w:rPr>
          <w:noProof/>
          <w:sz w:val="28"/>
          <w:szCs w:val="28"/>
          <w:lang w:eastAsia="ru-RU"/>
        </w:rPr>
      </w:pPr>
      <w:r w:rsidRPr="00900AB7">
        <w:rPr>
          <w:rFonts w:cs="Times New Roman"/>
          <w:b/>
          <w:sz w:val="28"/>
          <w:szCs w:val="28"/>
        </w:rPr>
        <w:t xml:space="preserve">Инструкция по изготовлению и контролю «Мультиплексная ПЦР в реальном времени для выявления </w:t>
      </w:r>
      <w:r w:rsidRPr="00900AB7">
        <w:rPr>
          <w:rFonts w:cs="Times New Roman"/>
          <w:b/>
          <w:i/>
          <w:sz w:val="28"/>
          <w:szCs w:val="28"/>
        </w:rPr>
        <w:t>Staphylococcus aureus</w:t>
      </w:r>
      <w:r w:rsidRPr="00900AB7">
        <w:rPr>
          <w:rFonts w:cs="Times New Roman"/>
          <w:b/>
          <w:sz w:val="28"/>
          <w:szCs w:val="28"/>
        </w:rPr>
        <w:t xml:space="preserve"> и </w:t>
      </w:r>
      <w:r w:rsidRPr="00900AB7">
        <w:rPr>
          <w:rFonts w:cs="Times New Roman"/>
          <w:b/>
          <w:i/>
          <w:sz w:val="28"/>
          <w:szCs w:val="28"/>
        </w:rPr>
        <w:t>Streptococcus agalactiae</w:t>
      </w:r>
      <w:r w:rsidRPr="00900AB7">
        <w:rPr>
          <w:rFonts w:cs="Times New Roman"/>
          <w:b/>
          <w:sz w:val="28"/>
          <w:szCs w:val="28"/>
        </w:rPr>
        <w:t xml:space="preserve"> в молочной продукции и определение локусов </w:t>
      </w:r>
      <w:r w:rsidRPr="00900AB7">
        <w:rPr>
          <w:rFonts w:cs="Times New Roman"/>
          <w:b/>
          <w:sz w:val="28"/>
          <w:szCs w:val="28"/>
        </w:rPr>
        <w:lastRenderedPageBreak/>
        <w:t>антибиотикорезистентности»</w:t>
      </w:r>
      <w:r w:rsidRPr="009024B6">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024B6">
        <w:rPr>
          <w:rFonts w:cs="Times New Roman"/>
          <w:b/>
          <w:noProof/>
          <w:sz w:val="28"/>
          <w:szCs w:val="28"/>
          <w:lang w:eastAsia="ru-RU"/>
        </w:rPr>
        <w:drawing>
          <wp:inline distT="0" distB="0" distL="0" distR="0" wp14:anchorId="21C5C124" wp14:editId="3A8F36D4">
            <wp:extent cx="5425440" cy="7627620"/>
            <wp:effectExtent l="0" t="0" r="3810" b="0"/>
            <wp:docPr id="82" name="Рисунок 82" descr="C:\Users\User\Моноблок\Байменов\2025 год\докторантура\материалы и методы\Приложения\А Инструкция по изготовлению.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Приложения\А Инструкция по изготовлению.tif"/>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425440" cy="7627620"/>
                    </a:xfrm>
                    <a:prstGeom prst="rect">
                      <a:avLst/>
                    </a:prstGeom>
                    <a:noFill/>
                    <a:ln>
                      <a:noFill/>
                    </a:ln>
                  </pic:spPr>
                </pic:pic>
              </a:graphicData>
            </a:graphic>
          </wp:inline>
        </w:drawing>
      </w:r>
      <w:r w:rsidRPr="00900AB7">
        <w:rPr>
          <w:noProof/>
          <w:sz w:val="28"/>
          <w:szCs w:val="28"/>
          <w:lang w:eastAsia="ru-RU"/>
        </w:rPr>
        <w:t xml:space="preserve"> </w:t>
      </w:r>
    </w:p>
    <w:p w:rsidR="00303DED" w:rsidRDefault="00303DED" w:rsidP="00303DED">
      <w:pPr>
        <w:jc w:val="center"/>
        <w:rPr>
          <w:b/>
          <w:sz w:val="28"/>
          <w:szCs w:val="28"/>
        </w:rPr>
      </w:pPr>
    </w:p>
    <w:p w:rsidR="00303DED" w:rsidRDefault="00303DED" w:rsidP="00303DED">
      <w:pPr>
        <w:jc w:val="center"/>
        <w:rPr>
          <w:b/>
          <w:sz w:val="28"/>
          <w:szCs w:val="28"/>
        </w:rPr>
      </w:pPr>
    </w:p>
    <w:p w:rsidR="00303DED" w:rsidRPr="00EB548A" w:rsidRDefault="00303DED" w:rsidP="00303DED">
      <w:pPr>
        <w:jc w:val="center"/>
        <w:rPr>
          <w:b/>
          <w:sz w:val="28"/>
          <w:szCs w:val="28"/>
        </w:rPr>
      </w:pPr>
      <w:r w:rsidRPr="00EB548A">
        <w:rPr>
          <w:b/>
          <w:sz w:val="28"/>
          <w:szCs w:val="28"/>
        </w:rPr>
        <w:t>ПРИЛОЖЕНИЕ Б</w:t>
      </w:r>
    </w:p>
    <w:p w:rsidR="00303DED" w:rsidRDefault="00303DED" w:rsidP="00303DED">
      <w:pPr>
        <w:jc w:val="center"/>
        <w:rPr>
          <w:rFonts w:cs="Times New Roman"/>
          <w:b/>
          <w:sz w:val="28"/>
          <w:szCs w:val="28"/>
        </w:rPr>
      </w:pPr>
      <w:r w:rsidRPr="00EB548A">
        <w:rPr>
          <w:b/>
          <w:sz w:val="28"/>
          <w:szCs w:val="28"/>
        </w:rPr>
        <w:t xml:space="preserve">Инструкция по применению набора </w:t>
      </w:r>
      <w:r w:rsidRPr="00EB548A">
        <w:rPr>
          <w:rFonts w:cs="Times New Roman"/>
          <w:b/>
          <w:sz w:val="28"/>
          <w:szCs w:val="28"/>
        </w:rPr>
        <w:t xml:space="preserve">«Мультиплексная ПЦР в реальном времени для выявления </w:t>
      </w:r>
      <w:r w:rsidRPr="00EB548A">
        <w:rPr>
          <w:rFonts w:cs="Times New Roman"/>
          <w:b/>
          <w:i/>
          <w:sz w:val="28"/>
          <w:szCs w:val="28"/>
        </w:rPr>
        <w:t>Staphylococcus aureus</w:t>
      </w:r>
      <w:r w:rsidRPr="00EB548A">
        <w:rPr>
          <w:rFonts w:cs="Times New Roman"/>
          <w:b/>
          <w:sz w:val="28"/>
          <w:szCs w:val="28"/>
        </w:rPr>
        <w:t xml:space="preserve"> и </w:t>
      </w:r>
      <w:r w:rsidRPr="00EB548A">
        <w:rPr>
          <w:rFonts w:cs="Times New Roman"/>
          <w:b/>
          <w:i/>
          <w:sz w:val="28"/>
          <w:szCs w:val="28"/>
        </w:rPr>
        <w:t>Streptococcus agalactiae</w:t>
      </w:r>
      <w:r w:rsidRPr="00EB548A">
        <w:rPr>
          <w:rFonts w:cs="Times New Roman"/>
          <w:b/>
          <w:sz w:val="28"/>
          <w:szCs w:val="28"/>
        </w:rPr>
        <w:t xml:space="preserve"> в молочной продукции и определение локусов антибиотикорезистентности»</w:t>
      </w:r>
    </w:p>
    <w:p w:rsidR="00303DED" w:rsidRDefault="00303DED" w:rsidP="00303DED">
      <w:pPr>
        <w:jc w:val="center"/>
        <w:rPr>
          <w:noProof/>
          <w:lang w:eastAsia="ru-RU"/>
        </w:rPr>
      </w:pPr>
      <w:r w:rsidRPr="009024B6">
        <w:rPr>
          <w:noProof/>
          <w:lang w:eastAsia="ru-RU"/>
        </w:rPr>
        <w:lastRenderedPageBreak/>
        <w:drawing>
          <wp:inline distT="0" distB="0" distL="0" distR="0" wp14:anchorId="23373810" wp14:editId="186E7783">
            <wp:extent cx="5455920" cy="7650480"/>
            <wp:effectExtent l="0" t="0" r="0" b="7620"/>
            <wp:docPr id="36" name="Рисунок 36" descr="C:\Users\User\Моноблок\Байменов\2025 год\докторантура\материалы и методы\Приложения\Б Инструкция по применению.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Моноблок\Байменов\2025 год\докторантура\материалы и методы\Приложения\Б Инструкция по применению.tif"/>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455920" cy="7650480"/>
                    </a:xfrm>
                    <a:prstGeom prst="rect">
                      <a:avLst/>
                    </a:prstGeom>
                    <a:noFill/>
                    <a:ln>
                      <a:noFill/>
                    </a:ln>
                  </pic:spPr>
                </pic:pic>
              </a:graphicData>
            </a:graphic>
          </wp:inline>
        </w:drawing>
      </w: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Pr="00900AB7" w:rsidRDefault="00303DED" w:rsidP="00303DED">
      <w:pPr>
        <w:jc w:val="center"/>
        <w:rPr>
          <w:b/>
          <w:sz w:val="28"/>
          <w:szCs w:val="28"/>
        </w:rPr>
      </w:pPr>
      <w:r w:rsidRPr="00900AB7">
        <w:rPr>
          <w:b/>
          <w:sz w:val="28"/>
          <w:szCs w:val="28"/>
        </w:rPr>
        <w:t xml:space="preserve">ПРИЛОЖЕНИЕ </w:t>
      </w:r>
      <w:r>
        <w:rPr>
          <w:b/>
          <w:sz w:val="28"/>
          <w:szCs w:val="28"/>
        </w:rPr>
        <w:t>В</w:t>
      </w:r>
    </w:p>
    <w:p w:rsidR="00303DED" w:rsidRPr="009024B6" w:rsidRDefault="00303DED" w:rsidP="00303DED">
      <w:pPr>
        <w:jc w:val="center"/>
        <w:rPr>
          <w:rFonts w:cs="Times New Roman"/>
          <w:b/>
          <w:sz w:val="28"/>
          <w:szCs w:val="28"/>
        </w:rPr>
      </w:pPr>
      <w:r w:rsidRPr="00B2008C">
        <w:rPr>
          <w:rFonts w:cs="Times New Roman"/>
          <w:b/>
          <w:sz w:val="28"/>
          <w:szCs w:val="28"/>
        </w:rPr>
        <w:lastRenderedPageBreak/>
        <w:t xml:space="preserve">СО 034-2023 Набор для выявления </w:t>
      </w:r>
      <w:r w:rsidRPr="00B2008C">
        <w:rPr>
          <w:rFonts w:cs="Times New Roman"/>
          <w:b/>
          <w:i/>
          <w:sz w:val="28"/>
          <w:szCs w:val="28"/>
        </w:rPr>
        <w:t>Staphylococcus aureus</w:t>
      </w:r>
      <w:r w:rsidRPr="00B2008C">
        <w:rPr>
          <w:rFonts w:cs="Times New Roman"/>
          <w:b/>
          <w:sz w:val="28"/>
          <w:szCs w:val="28"/>
        </w:rPr>
        <w:t xml:space="preserve"> и </w:t>
      </w:r>
      <w:r w:rsidRPr="00B2008C">
        <w:rPr>
          <w:rFonts w:cs="Times New Roman"/>
          <w:b/>
          <w:i/>
          <w:sz w:val="28"/>
          <w:szCs w:val="28"/>
        </w:rPr>
        <w:t>Streptococcus agalactiae</w:t>
      </w:r>
      <w:r w:rsidRPr="00B2008C">
        <w:rPr>
          <w:rFonts w:cs="Times New Roman"/>
          <w:b/>
          <w:sz w:val="28"/>
          <w:szCs w:val="28"/>
        </w:rPr>
        <w:t xml:space="preserve"> в молочной продукции</w:t>
      </w:r>
      <w:r w:rsidRPr="009024B6">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024B6">
        <w:rPr>
          <w:rFonts w:cs="Times New Roman"/>
          <w:b/>
          <w:noProof/>
          <w:sz w:val="28"/>
          <w:szCs w:val="28"/>
          <w:lang w:eastAsia="ru-RU"/>
        </w:rPr>
        <w:drawing>
          <wp:inline distT="0" distB="0" distL="0" distR="0" wp14:anchorId="60EB8AD2" wp14:editId="473976E6">
            <wp:extent cx="5356860" cy="7574280"/>
            <wp:effectExtent l="0" t="0" r="0" b="7620"/>
            <wp:docPr id="109" name="Рисунок 109" descr="C:\Users\User\Моноблок\Байменов\2025 год\докторантура\материалы и методы\Приложения\В стандарт организаци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Моноблок\Байменов\2025 год\докторантура\материалы и методы\Приложения\В стандарт организации.tif"/>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356860" cy="7574280"/>
                    </a:xfrm>
                    <a:prstGeom prst="rect">
                      <a:avLst/>
                    </a:prstGeom>
                    <a:noFill/>
                    <a:ln>
                      <a:noFill/>
                    </a:ln>
                  </pic:spPr>
                </pic:pic>
              </a:graphicData>
            </a:graphic>
          </wp:inline>
        </w:drawing>
      </w:r>
    </w:p>
    <w:p w:rsidR="00303DED" w:rsidRDefault="00303DED" w:rsidP="00303DED">
      <w:pPr>
        <w:jc w:val="center"/>
        <w:rPr>
          <w:b/>
          <w:sz w:val="28"/>
          <w:szCs w:val="28"/>
        </w:rPr>
      </w:pPr>
      <w:r w:rsidRPr="00633772">
        <w:rPr>
          <w:b/>
          <w:noProof/>
          <w:sz w:val="28"/>
          <w:szCs w:val="28"/>
          <w:lang w:eastAsia="ru-RU"/>
        </w:rPr>
        <w:lastRenderedPageBreak/>
        <w:drawing>
          <wp:inline distT="0" distB="0" distL="0" distR="0" wp14:anchorId="029342E1" wp14:editId="667965BD">
            <wp:extent cx="5356860" cy="7581900"/>
            <wp:effectExtent l="0" t="0" r="0" b="0"/>
            <wp:docPr id="110" name="Рисунок 110" descr="C:\Users\User\Моноблок\Байменов\2025 год\докторантура\материалы и методы\Приложения\В стандарт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Моноблок\Байменов\2025 год\докторантура\материалы и методы\Приложения\В стандарт 2.tif"/>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356860" cy="7581900"/>
                    </a:xfrm>
                    <a:prstGeom prst="rect">
                      <a:avLst/>
                    </a:prstGeom>
                    <a:noFill/>
                    <a:ln>
                      <a:noFill/>
                    </a:ln>
                  </pic:spPr>
                </pic:pic>
              </a:graphicData>
            </a:graphic>
          </wp:inline>
        </w:drawing>
      </w: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r w:rsidRPr="00900AB7">
        <w:rPr>
          <w:b/>
          <w:sz w:val="28"/>
          <w:szCs w:val="28"/>
        </w:rPr>
        <w:lastRenderedPageBreak/>
        <w:t xml:space="preserve">ПРИЛОЖЕНИЕ </w:t>
      </w:r>
      <w:r>
        <w:rPr>
          <w:b/>
          <w:sz w:val="28"/>
          <w:szCs w:val="28"/>
        </w:rPr>
        <w:t>Г</w:t>
      </w:r>
    </w:p>
    <w:p w:rsidR="00303DED" w:rsidRDefault="00303DED" w:rsidP="00303DED">
      <w:pPr>
        <w:jc w:val="center"/>
      </w:pPr>
      <w:r>
        <w:rPr>
          <w:b/>
          <w:sz w:val="28"/>
          <w:szCs w:val="28"/>
        </w:rPr>
        <w:t>П</w:t>
      </w:r>
      <w:r w:rsidRPr="00C05999">
        <w:rPr>
          <w:b/>
          <w:sz w:val="28"/>
          <w:szCs w:val="28"/>
        </w:rPr>
        <w:t xml:space="preserve">рактические рекомендации </w:t>
      </w:r>
      <w:r>
        <w:rPr>
          <w:b/>
          <w:sz w:val="28"/>
          <w:szCs w:val="28"/>
        </w:rPr>
        <w:t>«Л</w:t>
      </w:r>
      <w:r w:rsidRPr="00C05999">
        <w:rPr>
          <w:b/>
          <w:sz w:val="28"/>
          <w:szCs w:val="28"/>
        </w:rPr>
        <w:t>абораторная диагностика и идентификация возбудителей стафилококкозов, сальмонеллезов и эшерихиозов</w:t>
      </w:r>
      <w:r>
        <w:rPr>
          <w:b/>
          <w:sz w:val="28"/>
          <w:szCs w:val="28"/>
        </w:rPr>
        <w:t>»</w:t>
      </w:r>
      <w:r w:rsidRPr="00C05999">
        <w:t xml:space="preserve"> </w:t>
      </w:r>
    </w:p>
    <w:p w:rsidR="00303DED" w:rsidRDefault="00303DED" w:rsidP="00303DED">
      <w:pPr>
        <w:jc w:val="center"/>
      </w:pPr>
    </w:p>
    <w:p w:rsidR="00303DED" w:rsidRDefault="00303DED" w:rsidP="00303DED">
      <w:pPr>
        <w:jc w:val="center"/>
      </w:pPr>
      <w:r>
        <w:rPr>
          <w:noProof/>
          <w:lang w:eastAsia="ru-RU"/>
        </w:rPr>
        <w:drawing>
          <wp:inline distT="0" distB="0" distL="0" distR="0" wp14:anchorId="5A40DFC0" wp14:editId="05D49C4D">
            <wp:extent cx="6120056" cy="7992745"/>
            <wp:effectExtent l="0" t="0" r="0" b="8255"/>
            <wp:docPr id="123" name="Рисунок 123" descr="C:\Users\User\AppData\Local\Microsoft\Windows\INetCache\Content.Word\0254fb1c099aef16c7093906250323ef-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User\AppData\Local\Microsoft\Windows\INetCache\Content.Word\0254fb1c099aef16c7093906250323ef-0.tiff"/>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6120130" cy="7992841"/>
                    </a:xfrm>
                    <a:prstGeom prst="rect">
                      <a:avLst/>
                    </a:prstGeom>
                    <a:noFill/>
                    <a:ln>
                      <a:noFill/>
                    </a:ln>
                    <a:extLst>
                      <a:ext uri="{53640926-AAD7-44D8-BBD7-CCE9431645EC}">
                        <a14:shadowObscured xmlns:a14="http://schemas.microsoft.com/office/drawing/2010/main"/>
                      </a:ext>
                    </a:extLst>
                  </pic:spPr>
                </pic:pic>
              </a:graphicData>
            </a:graphic>
          </wp:inline>
        </w:drawing>
      </w:r>
      <w:r w:rsidRPr="001F14F0">
        <w:t xml:space="preserve"> </w:t>
      </w:r>
    </w:p>
    <w:p w:rsidR="00303DED" w:rsidRDefault="00303DED" w:rsidP="00303DED">
      <w:pPr>
        <w:jc w:val="center"/>
      </w:pPr>
      <w:r>
        <w:rPr>
          <w:noProof/>
          <w:lang w:eastAsia="ru-RU"/>
        </w:rPr>
        <w:lastRenderedPageBreak/>
        <w:drawing>
          <wp:inline distT="0" distB="0" distL="0" distR="0" wp14:anchorId="487CD764" wp14:editId="785FF19D">
            <wp:extent cx="6120130" cy="8655789"/>
            <wp:effectExtent l="0" t="0" r="0" b="0"/>
            <wp:docPr id="124" name="Рисунок 124" descr="C:\Users\User\AppData\Local\Microsoft\Windows\INetCache\Content.Word\0254fb1c099aef16c7093906250323ef-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User\AppData\Local\Microsoft\Windows\INetCache\Content.Word\0254fb1c099aef16c7093906250323ef-1.tiff"/>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6120130" cy="8655789"/>
                    </a:xfrm>
                    <a:prstGeom prst="rect">
                      <a:avLst/>
                    </a:prstGeom>
                    <a:noFill/>
                    <a:ln>
                      <a:noFill/>
                    </a:ln>
                  </pic:spPr>
                </pic:pic>
              </a:graphicData>
            </a:graphic>
          </wp:inline>
        </w:drawing>
      </w:r>
      <w:r w:rsidRPr="001F14F0">
        <w:t xml:space="preserve"> </w:t>
      </w:r>
    </w:p>
    <w:p w:rsidR="00303DED" w:rsidRDefault="00303DED" w:rsidP="00303DED">
      <w:pPr>
        <w:jc w:val="center"/>
      </w:pPr>
    </w:p>
    <w:p w:rsidR="00303DED" w:rsidRDefault="00303DED" w:rsidP="00303DED">
      <w:pPr>
        <w:jc w:val="center"/>
      </w:pPr>
    </w:p>
    <w:p w:rsidR="00303DED" w:rsidRDefault="00303DED" w:rsidP="00303DED">
      <w:pPr>
        <w:jc w:val="center"/>
        <w:rPr>
          <w:b/>
          <w:sz w:val="28"/>
          <w:szCs w:val="28"/>
        </w:rPr>
      </w:pPr>
      <w:r w:rsidRPr="00900AB7">
        <w:rPr>
          <w:b/>
          <w:sz w:val="28"/>
          <w:szCs w:val="28"/>
        </w:rPr>
        <w:lastRenderedPageBreak/>
        <w:t xml:space="preserve">ПРИЛОЖЕНИЕ </w:t>
      </w:r>
      <w:r>
        <w:rPr>
          <w:b/>
          <w:sz w:val="28"/>
          <w:szCs w:val="28"/>
        </w:rPr>
        <w:t>Д</w:t>
      </w:r>
    </w:p>
    <w:p w:rsidR="00303DED" w:rsidRDefault="00303DED" w:rsidP="00303DED">
      <w:pPr>
        <w:jc w:val="center"/>
      </w:pPr>
      <w:r w:rsidRPr="006D64A7">
        <w:rPr>
          <w:b/>
          <w:sz w:val="28"/>
          <w:szCs w:val="28"/>
          <w:lang w:val="kk-KZ"/>
        </w:rPr>
        <w:t>Учебное пособие</w:t>
      </w:r>
      <w:r>
        <w:rPr>
          <w:b/>
          <w:sz w:val="28"/>
          <w:szCs w:val="28"/>
          <w:lang w:val="kk-KZ"/>
        </w:rPr>
        <w:t xml:space="preserve"> «</w:t>
      </w:r>
      <w:r w:rsidRPr="006D64A7">
        <w:rPr>
          <w:b/>
          <w:sz w:val="28"/>
          <w:szCs w:val="28"/>
          <w:lang w:val="kk-KZ"/>
        </w:rPr>
        <w:t>Диагностика возбудителей энтеропатогенных зооантропонозных заболеваний</w:t>
      </w:r>
      <w:r>
        <w:rPr>
          <w:b/>
          <w:sz w:val="28"/>
          <w:szCs w:val="28"/>
          <w:lang w:val="kk-KZ"/>
        </w:rPr>
        <w:t>»</w:t>
      </w:r>
      <w:r w:rsidRPr="006D64A7">
        <w:t xml:space="preserve"> </w:t>
      </w:r>
      <w:r>
        <w:rPr>
          <w:noProof/>
          <w:lang w:eastAsia="ru-RU"/>
        </w:rPr>
        <w:drawing>
          <wp:inline distT="0" distB="0" distL="0" distR="0" wp14:anchorId="13C50F85" wp14:editId="09F121FC">
            <wp:extent cx="6120056" cy="8069580"/>
            <wp:effectExtent l="0" t="0" r="0" b="7620"/>
            <wp:docPr id="111" name="Рисунок 111" descr="C:\Users\User\AppData\Local\Microsoft\Windows\INetCache\Content.Word\0c8d7975d708b2471bcab785e2d4e339-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0c8d7975d708b2471bcab785e2d4e339-0.tiff"/>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6120130" cy="8069677"/>
                    </a:xfrm>
                    <a:prstGeom prst="rect">
                      <a:avLst/>
                    </a:prstGeom>
                    <a:noFill/>
                    <a:ln>
                      <a:noFill/>
                    </a:ln>
                    <a:extLst>
                      <a:ext uri="{53640926-AAD7-44D8-BBD7-CCE9431645EC}">
                        <a14:shadowObscured xmlns:a14="http://schemas.microsoft.com/office/drawing/2010/main"/>
                      </a:ext>
                    </a:extLst>
                  </pic:spPr>
                </pic:pic>
              </a:graphicData>
            </a:graphic>
          </wp:inline>
        </w:drawing>
      </w:r>
    </w:p>
    <w:p w:rsidR="00303DED" w:rsidRDefault="00303DED" w:rsidP="00303DED">
      <w:pPr>
        <w:jc w:val="center"/>
        <w:rPr>
          <w:b/>
          <w:sz w:val="28"/>
          <w:szCs w:val="28"/>
          <w:lang w:val="kk-KZ"/>
        </w:rPr>
      </w:pPr>
      <w:r>
        <w:rPr>
          <w:noProof/>
          <w:lang w:eastAsia="ru-RU"/>
        </w:rPr>
        <w:lastRenderedPageBreak/>
        <w:drawing>
          <wp:inline distT="0" distB="0" distL="0" distR="0" wp14:anchorId="02B16AA9" wp14:editId="6B558C04">
            <wp:extent cx="6120130" cy="8655789"/>
            <wp:effectExtent l="0" t="0" r="0" b="0"/>
            <wp:docPr id="112" name="Рисунок 112" descr="C:\Users\User\AppData\Local\Microsoft\Windows\INetCache\Content.Word\0c8d7975d708b2471bcab785e2d4e339-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0c8d7975d708b2471bcab785e2d4e339-1.tiff"/>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6120130" cy="8655789"/>
                    </a:xfrm>
                    <a:prstGeom prst="rect">
                      <a:avLst/>
                    </a:prstGeom>
                    <a:noFill/>
                    <a:ln>
                      <a:noFill/>
                    </a:ln>
                  </pic:spPr>
                </pic:pic>
              </a:graphicData>
            </a:graphic>
          </wp:inline>
        </w:drawing>
      </w:r>
    </w:p>
    <w:p w:rsidR="00303DED" w:rsidRDefault="00303DED" w:rsidP="00303DED">
      <w:pPr>
        <w:jc w:val="center"/>
        <w:rPr>
          <w:b/>
          <w:sz w:val="28"/>
          <w:szCs w:val="28"/>
          <w:lang w:val="kk-KZ"/>
        </w:rPr>
      </w:pPr>
    </w:p>
    <w:p w:rsidR="00303DED" w:rsidRDefault="00303DED" w:rsidP="00303DED">
      <w:pPr>
        <w:jc w:val="center"/>
        <w:rPr>
          <w:b/>
          <w:sz w:val="28"/>
          <w:szCs w:val="28"/>
          <w:lang w:val="kk-KZ"/>
        </w:rPr>
      </w:pPr>
    </w:p>
    <w:p w:rsidR="00303DED" w:rsidRPr="00303DED" w:rsidRDefault="00303DED" w:rsidP="00303DED">
      <w:pPr>
        <w:jc w:val="center"/>
        <w:rPr>
          <w:b/>
          <w:sz w:val="28"/>
          <w:szCs w:val="28"/>
          <w:lang w:val="kk-KZ"/>
        </w:rPr>
      </w:pPr>
      <w:r w:rsidRPr="00303DED">
        <w:rPr>
          <w:b/>
          <w:sz w:val="28"/>
          <w:szCs w:val="28"/>
          <w:lang w:val="kk-KZ"/>
        </w:rPr>
        <w:lastRenderedPageBreak/>
        <w:t>ПРИЛОЖЕНИЕ Е</w:t>
      </w:r>
    </w:p>
    <w:p w:rsidR="00303DED" w:rsidRPr="00303DED" w:rsidRDefault="00303DED" w:rsidP="00303DED">
      <w:pPr>
        <w:jc w:val="center"/>
        <w:rPr>
          <w:b/>
          <w:sz w:val="28"/>
          <w:szCs w:val="28"/>
          <w:lang w:val="kk-KZ"/>
        </w:rPr>
      </w:pPr>
      <w:r w:rsidRPr="00303DED">
        <w:rPr>
          <w:b/>
          <w:sz w:val="28"/>
          <w:szCs w:val="28"/>
          <w:lang w:val="kk-KZ"/>
        </w:rPr>
        <w:t>Методическое пособие «Патогендік микроорганизмдердің микробқа қарсы препараттарға сезімталдығын анықтау»</w:t>
      </w:r>
      <w:r w:rsidRPr="00AF3387">
        <w:rPr>
          <w:b/>
          <w:noProof/>
          <w:sz w:val="28"/>
          <w:szCs w:val="28"/>
          <w:lang w:eastAsia="ru-RU"/>
        </w:rPr>
        <w:drawing>
          <wp:inline distT="0" distB="0" distL="0" distR="0" wp14:anchorId="4BE95F41" wp14:editId="52F81D73">
            <wp:extent cx="5957332" cy="8425543"/>
            <wp:effectExtent l="0" t="0" r="5715" b="0"/>
            <wp:docPr id="113" name="Рисунок 113" descr="C:\Users\User\Моноблок\Байменов\2025 год\докторантура\материалы и методы\Учебные пособия\1 Чужебаева Г Әдістемелік ұсыныс 21.09.202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5 год\докторантура\материалы и методы\Учебные пособия\1 Чужебаева Г Әдістемелік ұсыныс 21.09.2023.tiff"/>
                    <pic:cNvPicPr>
                      <a:picLocks noChangeAspect="1" noChangeArrowheads="1" noCrop="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962185" cy="8432407"/>
                    </a:xfrm>
                    <a:prstGeom prst="rect">
                      <a:avLst/>
                    </a:prstGeom>
                    <a:noFill/>
                    <a:ln>
                      <a:noFill/>
                    </a:ln>
                  </pic:spPr>
                </pic:pic>
              </a:graphicData>
            </a:graphic>
          </wp:inline>
        </w:drawing>
      </w:r>
    </w:p>
    <w:p w:rsidR="00303DED" w:rsidRDefault="00303DED" w:rsidP="00303DED">
      <w:pPr>
        <w:jc w:val="center"/>
        <w:rPr>
          <w:b/>
          <w:sz w:val="28"/>
          <w:szCs w:val="28"/>
        </w:rPr>
      </w:pPr>
      <w:r w:rsidRPr="00AF3387">
        <w:rPr>
          <w:b/>
          <w:noProof/>
          <w:sz w:val="28"/>
          <w:szCs w:val="28"/>
          <w:lang w:eastAsia="ru-RU"/>
        </w:rPr>
        <w:lastRenderedPageBreak/>
        <w:drawing>
          <wp:inline distT="0" distB="0" distL="0" distR="0" wp14:anchorId="138EA0A4" wp14:editId="61B58194">
            <wp:extent cx="6096960" cy="8479972"/>
            <wp:effectExtent l="0" t="0" r="0" b="0"/>
            <wp:docPr id="114" name="Рисунок 114" descr="C:\Users\User\Моноблок\Байменов\2025 год\докторантура\материалы и методы\Учебные пособия\2 Чужебаева Г Әдістемелік ұсыныс 21.09.202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Моноблок\Байменов\2025 год\докторантура\материалы и методы\Учебные пособия\2 Чужебаева Г Әдістемелік ұсыныс 21.09.2023.tiff"/>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6128376" cy="8523667"/>
                    </a:xfrm>
                    <a:prstGeom prst="rect">
                      <a:avLst/>
                    </a:prstGeom>
                    <a:noFill/>
                    <a:ln>
                      <a:noFill/>
                    </a:ln>
                  </pic:spPr>
                </pic:pic>
              </a:graphicData>
            </a:graphic>
          </wp:inline>
        </w:drawing>
      </w: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r w:rsidRPr="00900AB7">
        <w:rPr>
          <w:b/>
          <w:sz w:val="28"/>
          <w:szCs w:val="28"/>
        </w:rPr>
        <w:lastRenderedPageBreak/>
        <w:t xml:space="preserve">ПРИЛОЖЕНИЕ </w:t>
      </w:r>
      <w:r>
        <w:rPr>
          <w:b/>
          <w:sz w:val="28"/>
          <w:szCs w:val="28"/>
        </w:rPr>
        <w:t>Ж</w:t>
      </w:r>
    </w:p>
    <w:p w:rsidR="00303DED" w:rsidRDefault="00303DED" w:rsidP="00303DED">
      <w:pPr>
        <w:jc w:val="center"/>
        <w:rPr>
          <w:b/>
          <w:sz w:val="28"/>
          <w:szCs w:val="28"/>
          <w:lang w:val="kk-KZ"/>
        </w:rPr>
      </w:pPr>
      <w:r w:rsidRPr="00FF7030">
        <w:rPr>
          <w:b/>
          <w:sz w:val="28"/>
          <w:szCs w:val="28"/>
          <w:lang w:val="kk-KZ"/>
        </w:rPr>
        <w:t>АКТ внедрения результатов диссертационной работы в учебный процесс</w:t>
      </w:r>
    </w:p>
    <w:p w:rsidR="00303DED" w:rsidRDefault="00303DED" w:rsidP="00303DED">
      <w:pPr>
        <w:jc w:val="center"/>
        <w:rPr>
          <w:b/>
          <w:sz w:val="28"/>
          <w:szCs w:val="28"/>
          <w:lang w:val="kk-KZ"/>
        </w:rPr>
      </w:pPr>
      <w:r>
        <w:rPr>
          <w:noProof/>
          <w:lang w:eastAsia="ru-RU"/>
        </w:rPr>
        <w:drawing>
          <wp:inline distT="0" distB="0" distL="0" distR="0" wp14:anchorId="0B38E7FB" wp14:editId="21283A2A">
            <wp:extent cx="6120075" cy="8213725"/>
            <wp:effectExtent l="0" t="0" r="0" b="0"/>
            <wp:docPr id="115" name="Рисунок 115" descr="C:\Users\User\AppData\Local\Microsoft\Windows\INetCache\Content.Word\Е Акт внедрения в УП_page-000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Е Акт внедрения в УП_page-0001.tiff"/>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6120130" cy="8213799"/>
                    </a:xfrm>
                    <a:prstGeom prst="rect">
                      <a:avLst/>
                    </a:prstGeom>
                    <a:noFill/>
                    <a:ln>
                      <a:noFill/>
                    </a:ln>
                    <a:extLst>
                      <a:ext uri="{53640926-AAD7-44D8-BBD7-CCE9431645EC}">
                        <a14:shadowObscured xmlns:a14="http://schemas.microsoft.com/office/drawing/2010/main"/>
                      </a:ext>
                    </a:extLst>
                  </pic:spPr>
                </pic:pic>
              </a:graphicData>
            </a:graphic>
          </wp:inline>
        </w:drawing>
      </w:r>
    </w:p>
    <w:p w:rsidR="00303DED" w:rsidRDefault="00303DED" w:rsidP="00303DED">
      <w:pPr>
        <w:jc w:val="center"/>
        <w:rPr>
          <w:b/>
          <w:sz w:val="28"/>
          <w:szCs w:val="28"/>
        </w:rPr>
      </w:pPr>
      <w:r>
        <w:rPr>
          <w:noProof/>
          <w:lang w:eastAsia="ru-RU"/>
        </w:rPr>
        <w:lastRenderedPageBreak/>
        <w:drawing>
          <wp:inline distT="0" distB="0" distL="0" distR="0" wp14:anchorId="1F4C16A8" wp14:editId="450DE3C1">
            <wp:extent cx="6120130" cy="8639461"/>
            <wp:effectExtent l="0" t="0" r="0" b="9525"/>
            <wp:docPr id="116" name="Рисунок 116" descr="C:\Users\User\AppData\Local\Microsoft\Windows\INetCache\Content.Word\Е Акт внедрения в УП_page-000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Е Акт внедрения в УП_page-0002.tiff"/>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6120130" cy="8639461"/>
                    </a:xfrm>
                    <a:prstGeom prst="rect">
                      <a:avLst/>
                    </a:prstGeom>
                    <a:noFill/>
                    <a:ln>
                      <a:noFill/>
                    </a:ln>
                  </pic:spPr>
                </pic:pic>
              </a:graphicData>
            </a:graphic>
          </wp:inline>
        </w:drawing>
      </w:r>
      <w:r w:rsidRPr="00FF7030">
        <w:rPr>
          <w:b/>
          <w:sz w:val="28"/>
          <w:szCs w:val="28"/>
        </w:rPr>
        <w:t xml:space="preserve"> </w:t>
      </w: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r w:rsidRPr="00900AB7">
        <w:rPr>
          <w:b/>
          <w:sz w:val="28"/>
          <w:szCs w:val="28"/>
        </w:rPr>
        <w:lastRenderedPageBreak/>
        <w:t xml:space="preserve">ПРИЛОЖЕНИЕ </w:t>
      </w:r>
      <w:r w:rsidR="000169E3">
        <w:rPr>
          <w:b/>
          <w:sz w:val="28"/>
          <w:szCs w:val="28"/>
        </w:rPr>
        <w:t>И</w:t>
      </w:r>
    </w:p>
    <w:p w:rsidR="00303DED" w:rsidRDefault="00303DED" w:rsidP="00303DED">
      <w:pPr>
        <w:jc w:val="center"/>
        <w:rPr>
          <w:b/>
          <w:sz w:val="28"/>
          <w:szCs w:val="28"/>
          <w:lang w:val="kk-KZ"/>
        </w:rPr>
      </w:pPr>
      <w:r w:rsidRPr="00FF7030">
        <w:rPr>
          <w:b/>
          <w:sz w:val="28"/>
          <w:szCs w:val="28"/>
          <w:lang w:val="kk-KZ"/>
        </w:rPr>
        <w:t xml:space="preserve">АКТ внедрения результатов диссертационной работы в </w:t>
      </w:r>
      <w:r>
        <w:rPr>
          <w:b/>
          <w:sz w:val="28"/>
          <w:szCs w:val="28"/>
          <w:lang w:val="kk-KZ"/>
        </w:rPr>
        <w:t>лабораторную практику</w:t>
      </w:r>
    </w:p>
    <w:p w:rsidR="00303DED" w:rsidRDefault="00303DED" w:rsidP="00303DED">
      <w:pPr>
        <w:jc w:val="center"/>
        <w:rPr>
          <w:b/>
          <w:sz w:val="28"/>
          <w:szCs w:val="28"/>
          <w:lang w:val="kk-KZ"/>
        </w:rPr>
      </w:pPr>
    </w:p>
    <w:p w:rsidR="00303DED" w:rsidRDefault="00303DED" w:rsidP="00303DED">
      <w:pPr>
        <w:jc w:val="center"/>
        <w:rPr>
          <w:b/>
          <w:sz w:val="28"/>
          <w:szCs w:val="28"/>
          <w:lang w:val="kk-KZ"/>
        </w:rPr>
      </w:pPr>
      <w:r w:rsidRPr="001401E7">
        <w:rPr>
          <w:b/>
          <w:noProof/>
          <w:sz w:val="28"/>
          <w:szCs w:val="28"/>
          <w:lang w:eastAsia="ru-RU"/>
        </w:rPr>
        <w:drawing>
          <wp:inline distT="0" distB="0" distL="0" distR="0" wp14:anchorId="40E729D9" wp14:editId="7F3D2F49">
            <wp:extent cx="6120056" cy="8244205"/>
            <wp:effectExtent l="0" t="0" r="0" b="4445"/>
            <wp:docPr id="117" name="Рисунок 117" descr="C:\Users\User\Моноблок\Байменов\2024 год\докторантура\материалы и методы\Приложения\Ж Акт внедрения в Уральск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Моноблок\Байменов\2024 год\докторантура\материалы и методы\Приложения\Ж Акт внедрения в Уральск (1).tiff"/>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6120130" cy="8244304"/>
                    </a:xfrm>
                    <a:prstGeom prst="rect">
                      <a:avLst/>
                    </a:prstGeom>
                    <a:noFill/>
                    <a:ln>
                      <a:noFill/>
                    </a:ln>
                    <a:extLst>
                      <a:ext uri="{53640926-AAD7-44D8-BBD7-CCE9431645EC}">
                        <a14:shadowObscured xmlns:a14="http://schemas.microsoft.com/office/drawing/2010/main"/>
                      </a:ext>
                    </a:extLst>
                  </pic:spPr>
                </pic:pic>
              </a:graphicData>
            </a:graphic>
          </wp:inline>
        </w:drawing>
      </w:r>
    </w:p>
    <w:p w:rsidR="00303DED" w:rsidRDefault="00303DED" w:rsidP="00303DED">
      <w:pPr>
        <w:jc w:val="center"/>
        <w:rPr>
          <w:b/>
          <w:sz w:val="28"/>
          <w:szCs w:val="28"/>
        </w:rPr>
      </w:pPr>
      <w:r w:rsidRPr="00900AB7">
        <w:rPr>
          <w:b/>
          <w:sz w:val="28"/>
          <w:szCs w:val="28"/>
        </w:rPr>
        <w:lastRenderedPageBreak/>
        <w:t xml:space="preserve">ПРИЛОЖЕНИЕ </w:t>
      </w:r>
      <w:r w:rsidR="000169E3">
        <w:rPr>
          <w:b/>
          <w:sz w:val="28"/>
          <w:szCs w:val="28"/>
        </w:rPr>
        <w:t>К</w:t>
      </w:r>
    </w:p>
    <w:p w:rsidR="00303DED" w:rsidRDefault="00303DED" w:rsidP="00303DED">
      <w:pPr>
        <w:jc w:val="center"/>
        <w:rPr>
          <w:b/>
          <w:sz w:val="28"/>
          <w:szCs w:val="28"/>
        </w:rPr>
      </w:pPr>
      <w:r w:rsidRPr="005B7C95">
        <w:rPr>
          <w:b/>
          <w:sz w:val="28"/>
          <w:szCs w:val="28"/>
        </w:rPr>
        <w:t>Приказ о создании рабочей группы проекта ПЦФ</w:t>
      </w:r>
      <w:r>
        <w:rPr>
          <w:b/>
          <w:sz w:val="28"/>
          <w:szCs w:val="28"/>
        </w:rPr>
        <w:t xml:space="preserve"> </w:t>
      </w:r>
      <w:r w:rsidRPr="005B7C95">
        <w:rPr>
          <w:b/>
          <w:sz w:val="28"/>
          <w:szCs w:val="28"/>
        </w:rPr>
        <w:t xml:space="preserve">«Разработка мультиплексной ПЦР в реальном времени для выявления </w:t>
      </w:r>
      <w:r w:rsidRPr="00AF3387">
        <w:rPr>
          <w:b/>
          <w:i/>
          <w:sz w:val="28"/>
          <w:szCs w:val="28"/>
        </w:rPr>
        <w:t>Staphylococcus aureus</w:t>
      </w:r>
      <w:r w:rsidRPr="00AF3387">
        <w:rPr>
          <w:b/>
          <w:sz w:val="28"/>
          <w:szCs w:val="28"/>
        </w:rPr>
        <w:t xml:space="preserve"> </w:t>
      </w:r>
      <w:r w:rsidRPr="005B7C95">
        <w:rPr>
          <w:b/>
          <w:sz w:val="28"/>
          <w:szCs w:val="28"/>
        </w:rPr>
        <w:t xml:space="preserve">и </w:t>
      </w:r>
      <w:r w:rsidRPr="005B7C95">
        <w:rPr>
          <w:b/>
          <w:i/>
          <w:sz w:val="28"/>
          <w:szCs w:val="28"/>
        </w:rPr>
        <w:t>Streptococcus agalactiae</w:t>
      </w:r>
      <w:r w:rsidRPr="005B7C95">
        <w:rPr>
          <w:b/>
          <w:sz w:val="28"/>
          <w:szCs w:val="28"/>
        </w:rPr>
        <w:t xml:space="preserve"> в молочной продукции и определение локусов антибиотикорезистентности»</w:t>
      </w:r>
    </w:p>
    <w:p w:rsidR="00303DED" w:rsidRDefault="00303DED" w:rsidP="00303DED">
      <w:pPr>
        <w:jc w:val="center"/>
        <w:rPr>
          <w:b/>
          <w:sz w:val="28"/>
          <w:szCs w:val="28"/>
          <w:lang w:val="kk-KZ"/>
        </w:rPr>
      </w:pPr>
      <w:r>
        <w:rPr>
          <w:noProof/>
          <w:lang w:eastAsia="ru-RU"/>
        </w:rPr>
        <w:drawing>
          <wp:inline distT="0" distB="0" distL="0" distR="0" wp14:anchorId="694C1255" wp14:editId="266828D0">
            <wp:extent cx="5924429" cy="8100060"/>
            <wp:effectExtent l="0" t="0" r="635" b="0"/>
            <wp:docPr id="118" name="Рисунок 118" descr="C:\Users\User\AppData\Local\Microsoft\Windows\INetCache\Content.Word\09a8996c78684411bd7b33737b127390NOv35lClQ9bpaKAw-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09a8996c78684411bd7b33737b127390NOv35lClQ9bpaKAw-1.tiff"/>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5925558" cy="8101604"/>
                    </a:xfrm>
                    <a:prstGeom prst="rect">
                      <a:avLst/>
                    </a:prstGeom>
                    <a:noFill/>
                    <a:ln>
                      <a:noFill/>
                    </a:ln>
                    <a:extLst>
                      <a:ext uri="{53640926-AAD7-44D8-BBD7-CCE9431645EC}">
                        <a14:shadowObscured xmlns:a14="http://schemas.microsoft.com/office/drawing/2010/main"/>
                      </a:ext>
                    </a:extLst>
                  </pic:spPr>
                </pic:pic>
              </a:graphicData>
            </a:graphic>
          </wp:inline>
        </w:drawing>
      </w:r>
    </w:p>
    <w:p w:rsidR="00303DED" w:rsidRDefault="00303DED" w:rsidP="00303DED">
      <w:pPr>
        <w:jc w:val="center"/>
        <w:rPr>
          <w:b/>
          <w:sz w:val="28"/>
          <w:szCs w:val="28"/>
        </w:rPr>
      </w:pPr>
      <w:r w:rsidRPr="00900AB7">
        <w:rPr>
          <w:b/>
          <w:sz w:val="28"/>
          <w:szCs w:val="28"/>
        </w:rPr>
        <w:lastRenderedPageBreak/>
        <w:t xml:space="preserve">ПРИЛОЖЕНИЕ </w:t>
      </w:r>
      <w:r w:rsidR="000169E3">
        <w:rPr>
          <w:b/>
          <w:sz w:val="28"/>
          <w:szCs w:val="28"/>
        </w:rPr>
        <w:t>Л</w:t>
      </w:r>
    </w:p>
    <w:p w:rsidR="00303DED" w:rsidRPr="004005B3" w:rsidRDefault="00303DED" w:rsidP="00303DED">
      <w:pPr>
        <w:jc w:val="center"/>
        <w:rPr>
          <w:b/>
          <w:sz w:val="28"/>
          <w:szCs w:val="28"/>
        </w:rPr>
      </w:pPr>
      <w:r w:rsidRPr="003F5AD2">
        <w:rPr>
          <w:b/>
          <w:sz w:val="28"/>
          <w:szCs w:val="28"/>
        </w:rPr>
        <w:t>Список научных и методических работ</w:t>
      </w:r>
      <w:r w:rsidRPr="003F5AD2">
        <w:t xml:space="preserve"> </w:t>
      </w:r>
      <w:r w:rsidRPr="00564483">
        <w:rPr>
          <w:noProof/>
          <w:lang w:eastAsia="ru-RU"/>
        </w:rPr>
        <w:drawing>
          <wp:inline distT="0" distB="0" distL="0" distR="0" wp14:anchorId="04F2768D" wp14:editId="64BAC188">
            <wp:extent cx="6120130" cy="4341073"/>
            <wp:effectExtent l="0" t="0" r="0" b="2540"/>
            <wp:docPr id="119" name="Рисунок 119" descr="C:\Users\User\AppData\Local\Temp\Rar$DRa18560.35345\И Список трудов к защите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Ra18560.35345\И Список трудов к защите_page-0001.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6120130" cy="4341073"/>
                    </a:xfrm>
                    <a:prstGeom prst="rect">
                      <a:avLst/>
                    </a:prstGeom>
                    <a:noFill/>
                    <a:ln>
                      <a:noFill/>
                    </a:ln>
                  </pic:spPr>
                </pic:pic>
              </a:graphicData>
            </a:graphic>
          </wp:inline>
        </w:drawing>
      </w:r>
      <w:r w:rsidRPr="00564483">
        <w:rPr>
          <w:b/>
          <w:noProof/>
          <w:sz w:val="28"/>
          <w:szCs w:val="28"/>
          <w:lang w:eastAsia="ru-RU"/>
        </w:rPr>
        <w:drawing>
          <wp:inline distT="0" distB="0" distL="0" distR="0" wp14:anchorId="6B9F7517" wp14:editId="5F5BE8C4">
            <wp:extent cx="6120130" cy="4449827"/>
            <wp:effectExtent l="0" t="0" r="0" b="8255"/>
            <wp:docPr id="120" name="Рисунок 120" descr="C:\Users\User\AppData\Local\Temp\Rar$DRa18560.36514\И Список трудов к защите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Ra18560.36514\И Список трудов к защите_page-0002.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6120130" cy="4449827"/>
                    </a:xfrm>
                    <a:prstGeom prst="rect">
                      <a:avLst/>
                    </a:prstGeom>
                    <a:noFill/>
                    <a:ln>
                      <a:noFill/>
                    </a:ln>
                  </pic:spPr>
                </pic:pic>
              </a:graphicData>
            </a:graphic>
          </wp:inline>
        </w:drawing>
      </w:r>
    </w:p>
    <w:p w:rsidR="00303DED" w:rsidRDefault="00303DED" w:rsidP="00303DED">
      <w:pPr>
        <w:jc w:val="center"/>
        <w:rPr>
          <w:b/>
          <w:sz w:val="28"/>
          <w:szCs w:val="28"/>
          <w:lang w:val="en-US"/>
        </w:rPr>
      </w:pPr>
      <w:r w:rsidRPr="00564483">
        <w:rPr>
          <w:b/>
          <w:noProof/>
          <w:sz w:val="28"/>
          <w:szCs w:val="28"/>
          <w:lang w:eastAsia="ru-RU"/>
        </w:rPr>
        <w:lastRenderedPageBreak/>
        <w:drawing>
          <wp:inline distT="0" distB="0" distL="0" distR="0" wp14:anchorId="63FD9951" wp14:editId="12EFAAC5">
            <wp:extent cx="6120130" cy="4339255"/>
            <wp:effectExtent l="0" t="0" r="0" b="4445"/>
            <wp:docPr id="121" name="Рисунок 121" descr="C:\Users\User\AppData\Local\Temp\Rar$DRa18560.37883\И Список трудов к защите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Ra18560.37883\И Список трудов к защите_page-0003.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6120130" cy="4339255"/>
                    </a:xfrm>
                    <a:prstGeom prst="rect">
                      <a:avLst/>
                    </a:prstGeom>
                    <a:noFill/>
                    <a:ln>
                      <a:noFill/>
                    </a:ln>
                  </pic:spPr>
                </pic:pic>
              </a:graphicData>
            </a:graphic>
          </wp:inline>
        </w:drawing>
      </w: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rPr>
      </w:pPr>
      <w:r w:rsidRPr="00900AB7">
        <w:rPr>
          <w:b/>
          <w:sz w:val="28"/>
          <w:szCs w:val="28"/>
        </w:rPr>
        <w:lastRenderedPageBreak/>
        <w:t xml:space="preserve">ПРИЛОЖЕНИЕ </w:t>
      </w:r>
      <w:r w:rsidR="000169E3">
        <w:rPr>
          <w:b/>
          <w:sz w:val="28"/>
          <w:szCs w:val="28"/>
        </w:rPr>
        <w:t>М</w:t>
      </w:r>
    </w:p>
    <w:p w:rsidR="00303DED" w:rsidRDefault="00303DED" w:rsidP="00303DED">
      <w:pPr>
        <w:jc w:val="center"/>
        <w:rPr>
          <w:b/>
          <w:sz w:val="28"/>
          <w:szCs w:val="28"/>
        </w:rPr>
      </w:pPr>
      <w:r>
        <w:rPr>
          <w:b/>
          <w:sz w:val="28"/>
          <w:szCs w:val="28"/>
        </w:rPr>
        <w:t>З</w:t>
      </w:r>
      <w:r w:rsidRPr="00324881">
        <w:rPr>
          <w:b/>
          <w:sz w:val="28"/>
          <w:szCs w:val="28"/>
        </w:rPr>
        <w:t>аключительн</w:t>
      </w:r>
      <w:r>
        <w:rPr>
          <w:b/>
          <w:sz w:val="28"/>
          <w:szCs w:val="28"/>
        </w:rPr>
        <w:t>ый отчёт</w:t>
      </w:r>
      <w:r w:rsidRPr="00324881">
        <w:rPr>
          <w:b/>
          <w:sz w:val="28"/>
          <w:szCs w:val="28"/>
        </w:rPr>
        <w:t xml:space="preserve"> в рамках научно-технической программы BR10764944 «Разработка методов аналитического контроля и проведения мониторинга безопасности пищевой продукции»</w:t>
      </w:r>
    </w:p>
    <w:p w:rsidR="00303DED" w:rsidRDefault="00303DED" w:rsidP="00303DED">
      <w:pPr>
        <w:jc w:val="center"/>
        <w:rPr>
          <w:b/>
          <w:sz w:val="28"/>
          <w:szCs w:val="28"/>
        </w:rPr>
      </w:pPr>
      <w:r>
        <w:rPr>
          <w:noProof/>
          <w:lang w:eastAsia="ru-RU"/>
        </w:rPr>
        <w:drawing>
          <wp:inline distT="0" distB="0" distL="0" distR="0" wp14:anchorId="0F770217" wp14:editId="6397DA82">
            <wp:extent cx="4597400" cy="6972300"/>
            <wp:effectExtent l="0" t="0" r="0" b="0"/>
            <wp:docPr id="122" name="Рисунок 122" descr="C:\Users\User\AppData\Local\Microsoft\Windows\INetCache\Content.Word\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1.tiff"/>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4597400" cy="6972300"/>
                    </a:xfrm>
                    <a:prstGeom prst="rect">
                      <a:avLst/>
                    </a:prstGeom>
                    <a:noFill/>
                    <a:ln>
                      <a:noFill/>
                    </a:ln>
                  </pic:spPr>
                </pic:pic>
              </a:graphicData>
            </a:graphic>
          </wp:inline>
        </w:drawing>
      </w:r>
    </w:p>
    <w:p w:rsidR="00303DED" w:rsidRDefault="00303DED" w:rsidP="00303DED">
      <w:pPr>
        <w:jc w:val="center"/>
        <w:rPr>
          <w:b/>
          <w:sz w:val="28"/>
          <w:szCs w:val="28"/>
        </w:rPr>
      </w:pPr>
      <w:r>
        <w:rPr>
          <w:noProof/>
          <w:lang w:eastAsia="ru-RU"/>
        </w:rPr>
        <w:lastRenderedPageBreak/>
        <w:drawing>
          <wp:inline distT="0" distB="0" distL="0" distR="0" wp14:anchorId="53A6A93B" wp14:editId="3BB72DE0">
            <wp:extent cx="4572000" cy="7010400"/>
            <wp:effectExtent l="0" t="0" r="0" b="0"/>
            <wp:docPr id="125" name="Рисунок 125" descr="C:\Users\User\AppData\Local\Microsoft\Windows\INetCache\Content.Word\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tiff"/>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4572000" cy="7010400"/>
                    </a:xfrm>
                    <a:prstGeom prst="rect">
                      <a:avLst/>
                    </a:prstGeom>
                    <a:noFill/>
                    <a:ln>
                      <a:noFill/>
                    </a:ln>
                  </pic:spPr>
                </pic:pic>
              </a:graphicData>
            </a:graphic>
          </wp:inline>
        </w:drawing>
      </w:r>
    </w:p>
    <w:p w:rsidR="00303DED" w:rsidRDefault="00303DED" w:rsidP="00303DED">
      <w:pPr>
        <w:jc w:val="center"/>
        <w:rPr>
          <w:b/>
          <w:sz w:val="28"/>
          <w:szCs w:val="28"/>
        </w:rPr>
      </w:pPr>
      <w:r>
        <w:rPr>
          <w:noProof/>
          <w:lang w:eastAsia="ru-RU"/>
        </w:rPr>
        <w:lastRenderedPageBreak/>
        <w:drawing>
          <wp:inline distT="0" distB="0" distL="0" distR="0" wp14:anchorId="7D67C45C" wp14:editId="10E50366">
            <wp:extent cx="4673600" cy="7073900"/>
            <wp:effectExtent l="0" t="0" r="0" b="0"/>
            <wp:docPr id="126" name="Рисунок 126" descr="C:\Users\User\AppData\Local\Microsoft\Windows\INetCache\Content.Word\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3.tiff"/>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4673600" cy="7073900"/>
                    </a:xfrm>
                    <a:prstGeom prst="rect">
                      <a:avLst/>
                    </a:prstGeom>
                    <a:noFill/>
                    <a:ln>
                      <a:noFill/>
                    </a:ln>
                  </pic:spPr>
                </pic:pic>
              </a:graphicData>
            </a:graphic>
          </wp:inline>
        </w:drawing>
      </w:r>
    </w:p>
    <w:p w:rsidR="00303DED" w:rsidRDefault="00303DED" w:rsidP="00303DED">
      <w:pPr>
        <w:jc w:val="center"/>
        <w:rPr>
          <w:b/>
          <w:sz w:val="28"/>
          <w:szCs w:val="28"/>
        </w:rPr>
      </w:pPr>
      <w:r>
        <w:rPr>
          <w:noProof/>
          <w:lang w:eastAsia="ru-RU"/>
        </w:rPr>
        <w:lastRenderedPageBreak/>
        <w:drawing>
          <wp:inline distT="0" distB="0" distL="0" distR="0" wp14:anchorId="3CC00AD7" wp14:editId="2E6CA915">
            <wp:extent cx="4559300" cy="7112000"/>
            <wp:effectExtent l="0" t="0" r="0" b="0"/>
            <wp:docPr id="127" name="Рисунок 127" descr="C:\Users\User\AppData\Local\Microsoft\Windows\INetCache\Content.Word\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4.tiff"/>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4559300" cy="7112000"/>
                    </a:xfrm>
                    <a:prstGeom prst="rect">
                      <a:avLst/>
                    </a:prstGeom>
                    <a:noFill/>
                    <a:ln>
                      <a:noFill/>
                    </a:ln>
                  </pic:spPr>
                </pic:pic>
              </a:graphicData>
            </a:graphic>
          </wp:inline>
        </w:drawing>
      </w:r>
    </w:p>
    <w:p w:rsidR="00303DED" w:rsidRDefault="00303DED" w:rsidP="00303DED">
      <w:pPr>
        <w:jc w:val="center"/>
        <w:rPr>
          <w:b/>
          <w:sz w:val="28"/>
          <w:szCs w:val="28"/>
        </w:rPr>
      </w:pPr>
      <w:r>
        <w:rPr>
          <w:noProof/>
          <w:lang w:eastAsia="ru-RU"/>
        </w:rPr>
        <w:lastRenderedPageBreak/>
        <w:drawing>
          <wp:inline distT="0" distB="0" distL="0" distR="0" wp14:anchorId="199F4F57" wp14:editId="0FB385BD">
            <wp:extent cx="4508500" cy="7061200"/>
            <wp:effectExtent l="0" t="0" r="6350" b="6350"/>
            <wp:docPr id="128" name="Рисунок 128" descr="C:\Users\User\AppData\Local\Microsoft\Windows\INetCache\Content.Word\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5.tiff"/>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4508500" cy="7061200"/>
                    </a:xfrm>
                    <a:prstGeom prst="rect">
                      <a:avLst/>
                    </a:prstGeom>
                    <a:noFill/>
                    <a:ln>
                      <a:noFill/>
                    </a:ln>
                  </pic:spPr>
                </pic:pic>
              </a:graphicData>
            </a:graphic>
          </wp:inline>
        </w:drawing>
      </w: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r w:rsidRPr="00900AB7">
        <w:rPr>
          <w:b/>
          <w:sz w:val="28"/>
          <w:szCs w:val="28"/>
        </w:rPr>
        <w:lastRenderedPageBreak/>
        <w:t>ПРИЛОЖЕНИЕ</w:t>
      </w:r>
      <w:r>
        <w:rPr>
          <w:b/>
          <w:sz w:val="28"/>
          <w:szCs w:val="28"/>
        </w:rPr>
        <w:t xml:space="preserve"> </w:t>
      </w:r>
      <w:r w:rsidR="000169E3">
        <w:rPr>
          <w:b/>
          <w:sz w:val="28"/>
          <w:szCs w:val="28"/>
        </w:rPr>
        <w:t>Н</w:t>
      </w:r>
    </w:p>
    <w:p w:rsidR="00303DED" w:rsidRDefault="00303DED" w:rsidP="00303DED">
      <w:pPr>
        <w:jc w:val="center"/>
        <w:rPr>
          <w:b/>
          <w:sz w:val="28"/>
          <w:szCs w:val="28"/>
        </w:rPr>
      </w:pPr>
      <w:r>
        <w:rPr>
          <w:b/>
          <w:sz w:val="28"/>
          <w:szCs w:val="28"/>
        </w:rPr>
        <w:t>М</w:t>
      </w:r>
      <w:r w:rsidRPr="009D1ABF">
        <w:rPr>
          <w:b/>
          <w:sz w:val="28"/>
          <w:szCs w:val="28"/>
        </w:rPr>
        <w:t>атриц</w:t>
      </w:r>
      <w:r>
        <w:rPr>
          <w:b/>
          <w:sz w:val="28"/>
          <w:szCs w:val="28"/>
        </w:rPr>
        <w:t>а</w:t>
      </w:r>
      <w:r w:rsidRPr="009D1ABF">
        <w:rPr>
          <w:b/>
          <w:sz w:val="28"/>
          <w:szCs w:val="28"/>
        </w:rPr>
        <w:t xml:space="preserve"> патристически</w:t>
      </w:r>
      <w:r>
        <w:rPr>
          <w:b/>
          <w:sz w:val="28"/>
          <w:szCs w:val="28"/>
        </w:rPr>
        <w:t xml:space="preserve">х </w:t>
      </w:r>
      <w:r w:rsidRPr="009D1ABF">
        <w:rPr>
          <w:b/>
          <w:sz w:val="28"/>
          <w:szCs w:val="28"/>
        </w:rPr>
        <w:t>расстояни</w:t>
      </w:r>
      <w:r>
        <w:rPr>
          <w:b/>
          <w:sz w:val="28"/>
          <w:szCs w:val="28"/>
        </w:rPr>
        <w:t>й</w:t>
      </w:r>
      <w:r w:rsidRPr="009D1ABF">
        <w:rPr>
          <w:b/>
          <w:sz w:val="28"/>
          <w:szCs w:val="28"/>
        </w:rPr>
        <w:t xml:space="preserve"> ме</w:t>
      </w:r>
      <w:r>
        <w:rPr>
          <w:b/>
          <w:sz w:val="28"/>
          <w:szCs w:val="28"/>
        </w:rPr>
        <w:t>жду парами последовательностей</w:t>
      </w:r>
    </w:p>
    <w:p w:rsidR="00303DED" w:rsidRDefault="00303DED" w:rsidP="00303DED">
      <w:pPr>
        <w:jc w:val="center"/>
        <w:rPr>
          <w:b/>
          <w:sz w:val="28"/>
          <w:szCs w:val="28"/>
        </w:rPr>
      </w:pPr>
    </w:p>
    <w:p w:rsidR="00303DED" w:rsidRDefault="00303DED" w:rsidP="00303DED">
      <w:pPr>
        <w:jc w:val="center"/>
        <w:rPr>
          <w:b/>
          <w:sz w:val="28"/>
          <w:szCs w:val="28"/>
        </w:rPr>
      </w:pPr>
      <w:r>
        <w:rPr>
          <w:noProof/>
          <w:lang w:eastAsia="ru-RU"/>
        </w:rPr>
        <w:drawing>
          <wp:inline distT="0" distB="0" distL="0" distR="0" wp14:anchorId="751E61EC" wp14:editId="299F98C4">
            <wp:extent cx="6120130" cy="4413878"/>
            <wp:effectExtent l="0" t="0" r="0" b="6350"/>
            <wp:docPr id="129" name="Рисунок 129" descr="C:\Users\User\AppData\Local\Microsoft\Windows\INetCache\Content.Word\Р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Р1.tiff"/>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6120130" cy="4413878"/>
                    </a:xfrm>
                    <a:prstGeom prst="rect">
                      <a:avLst/>
                    </a:prstGeom>
                    <a:noFill/>
                    <a:ln>
                      <a:noFill/>
                    </a:ln>
                  </pic:spPr>
                </pic:pic>
              </a:graphicData>
            </a:graphic>
          </wp:inline>
        </w:drawing>
      </w:r>
    </w:p>
    <w:p w:rsidR="00303DED" w:rsidRDefault="00303DED" w:rsidP="00303DED">
      <w:pPr>
        <w:jc w:val="center"/>
        <w:rPr>
          <w:b/>
          <w:sz w:val="28"/>
          <w:szCs w:val="28"/>
        </w:rPr>
      </w:pPr>
      <w:r>
        <w:rPr>
          <w:noProof/>
          <w:lang w:eastAsia="ru-RU"/>
        </w:rPr>
        <w:drawing>
          <wp:inline distT="0" distB="0" distL="0" distR="0" wp14:anchorId="6AB45EC2" wp14:editId="24A4243A">
            <wp:extent cx="6120130" cy="3704906"/>
            <wp:effectExtent l="0" t="0" r="0" b="0"/>
            <wp:docPr id="130" name="Рисунок 130" descr="C:\Users\User\AppData\Local\Microsoft\Windows\INetCache\Content.Word\Р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Р2.tiff"/>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120130" cy="3704906"/>
                    </a:xfrm>
                    <a:prstGeom prst="rect">
                      <a:avLst/>
                    </a:prstGeom>
                    <a:noFill/>
                    <a:ln>
                      <a:noFill/>
                    </a:ln>
                  </pic:spPr>
                </pic:pic>
              </a:graphicData>
            </a:graphic>
          </wp:inline>
        </w:drawing>
      </w:r>
    </w:p>
    <w:p w:rsidR="00303DED" w:rsidRDefault="00303DED" w:rsidP="00303DED">
      <w:pPr>
        <w:jc w:val="center"/>
        <w:rPr>
          <w:b/>
          <w:sz w:val="28"/>
          <w:szCs w:val="28"/>
        </w:rPr>
      </w:pPr>
      <w:r>
        <w:rPr>
          <w:noProof/>
          <w:lang w:eastAsia="ru-RU"/>
        </w:rPr>
        <w:lastRenderedPageBreak/>
        <w:drawing>
          <wp:inline distT="0" distB="0" distL="0" distR="0" wp14:anchorId="480E8030" wp14:editId="6F589756">
            <wp:extent cx="6120130" cy="3683325"/>
            <wp:effectExtent l="0" t="0" r="0" b="0"/>
            <wp:docPr id="131" name="Рисунок 131" descr="C:\Users\User\AppData\Local\Microsoft\Windows\INetCache\Content.Word\Р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Р3.tiff"/>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6120130" cy="3683325"/>
                    </a:xfrm>
                    <a:prstGeom prst="rect">
                      <a:avLst/>
                    </a:prstGeom>
                    <a:noFill/>
                    <a:ln>
                      <a:noFill/>
                    </a:ln>
                  </pic:spPr>
                </pic:pic>
              </a:graphicData>
            </a:graphic>
          </wp:inline>
        </w:drawing>
      </w:r>
    </w:p>
    <w:p w:rsidR="00303DED" w:rsidRDefault="00303DED" w:rsidP="00303DED">
      <w:pPr>
        <w:jc w:val="center"/>
        <w:rPr>
          <w:b/>
          <w:sz w:val="28"/>
          <w:szCs w:val="28"/>
        </w:rPr>
      </w:pPr>
      <w:r>
        <w:rPr>
          <w:noProof/>
          <w:lang w:eastAsia="ru-RU"/>
        </w:rPr>
        <w:drawing>
          <wp:inline distT="0" distB="0" distL="0" distR="0" wp14:anchorId="34B2BFA5" wp14:editId="486EEB17">
            <wp:extent cx="6120130" cy="2995682"/>
            <wp:effectExtent l="0" t="0" r="0" b="0"/>
            <wp:docPr id="132" name="Рисунок 132" descr="C:\Users\User\AppData\Local\Microsoft\Windows\INetCache\Content.Word\Р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Р4.tiff"/>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6120130" cy="2995682"/>
                    </a:xfrm>
                    <a:prstGeom prst="rect">
                      <a:avLst/>
                    </a:prstGeom>
                    <a:noFill/>
                    <a:ln>
                      <a:noFill/>
                    </a:ln>
                  </pic:spPr>
                </pic:pic>
              </a:graphicData>
            </a:graphic>
          </wp:inline>
        </w:drawing>
      </w: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r w:rsidRPr="00900AB7">
        <w:rPr>
          <w:b/>
          <w:sz w:val="28"/>
          <w:szCs w:val="28"/>
        </w:rPr>
        <w:lastRenderedPageBreak/>
        <w:t>ПРИЛОЖЕНИЕ</w:t>
      </w:r>
      <w:r>
        <w:rPr>
          <w:b/>
          <w:sz w:val="28"/>
          <w:szCs w:val="28"/>
        </w:rPr>
        <w:t xml:space="preserve"> </w:t>
      </w:r>
      <w:r w:rsidR="000169E3">
        <w:rPr>
          <w:b/>
          <w:sz w:val="28"/>
          <w:szCs w:val="28"/>
        </w:rPr>
        <w:t>П</w:t>
      </w:r>
    </w:p>
    <w:p w:rsidR="00303DED" w:rsidRDefault="00303DED" w:rsidP="00303DED">
      <w:pPr>
        <w:jc w:val="center"/>
        <w:rPr>
          <w:b/>
          <w:sz w:val="28"/>
          <w:szCs w:val="28"/>
        </w:rPr>
      </w:pPr>
      <w:r w:rsidRPr="00160855">
        <w:rPr>
          <w:b/>
          <w:sz w:val="28"/>
          <w:szCs w:val="28"/>
        </w:rPr>
        <w:t>Праймеры и зонды</w:t>
      </w:r>
      <w:r>
        <w:rPr>
          <w:b/>
          <w:sz w:val="28"/>
          <w:szCs w:val="28"/>
        </w:rPr>
        <w:t>,</w:t>
      </w:r>
      <w:r w:rsidRPr="00160855">
        <w:rPr>
          <w:b/>
          <w:sz w:val="28"/>
          <w:szCs w:val="28"/>
        </w:rPr>
        <w:t xml:space="preserve"> подобранные к целевым последовательностям генов с помощью инструмента «Primer-BLAST» NCBI</w:t>
      </w:r>
    </w:p>
    <w:p w:rsidR="00303DED" w:rsidRDefault="00303DED" w:rsidP="00303DED">
      <w:pPr>
        <w:jc w:val="center"/>
      </w:pPr>
      <w:r>
        <w:rPr>
          <w:noProof/>
          <w:lang w:eastAsia="ru-RU"/>
        </w:rPr>
        <w:drawing>
          <wp:inline distT="0" distB="0" distL="0" distR="0" wp14:anchorId="623DBC80" wp14:editId="757570F5">
            <wp:extent cx="6120130" cy="4185761"/>
            <wp:effectExtent l="0" t="0" r="0" b="5715"/>
            <wp:docPr id="133" name="Рисунок 133" descr="C:\Users\User\AppData\Local\Microsoft\Windows\INetCache\Content.Word\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1.tiff"/>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6120130" cy="4185761"/>
                    </a:xfrm>
                    <a:prstGeom prst="rect">
                      <a:avLst/>
                    </a:prstGeom>
                    <a:noFill/>
                    <a:ln>
                      <a:noFill/>
                    </a:ln>
                  </pic:spPr>
                </pic:pic>
              </a:graphicData>
            </a:graphic>
          </wp:inline>
        </w:drawing>
      </w:r>
      <w:r w:rsidRPr="00AF7A16">
        <w:t xml:space="preserve"> </w:t>
      </w:r>
      <w:r>
        <w:rPr>
          <w:noProof/>
          <w:lang w:eastAsia="ru-RU"/>
        </w:rPr>
        <w:drawing>
          <wp:inline distT="0" distB="0" distL="0" distR="0" wp14:anchorId="357B6DE0" wp14:editId="5B33026A">
            <wp:extent cx="6120130" cy="4275486"/>
            <wp:effectExtent l="0" t="0" r="0" b="0"/>
            <wp:docPr id="134" name="Рисунок 134" descr="C:\Users\User\AppData\Local\Microsoft\Windows\INetCache\Content.Word\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tiff"/>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6120130" cy="4275486"/>
                    </a:xfrm>
                    <a:prstGeom prst="rect">
                      <a:avLst/>
                    </a:prstGeom>
                    <a:noFill/>
                    <a:ln>
                      <a:noFill/>
                    </a:ln>
                  </pic:spPr>
                </pic:pic>
              </a:graphicData>
            </a:graphic>
          </wp:inline>
        </w:drawing>
      </w:r>
      <w:r w:rsidRPr="00AF7A16">
        <w:t xml:space="preserve"> </w:t>
      </w:r>
      <w:r>
        <w:rPr>
          <w:noProof/>
          <w:lang w:eastAsia="ru-RU"/>
        </w:rPr>
        <w:lastRenderedPageBreak/>
        <w:drawing>
          <wp:inline distT="0" distB="0" distL="0" distR="0" wp14:anchorId="4EF086C1" wp14:editId="7C6E89AE">
            <wp:extent cx="6120130" cy="4291687"/>
            <wp:effectExtent l="0" t="0" r="0" b="0"/>
            <wp:docPr id="135" name="Рисунок 135" descr="C:\Users\User\AppData\Local\Microsoft\Windows\INetCache\Content.Word\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3.tiff"/>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6120130" cy="4291687"/>
                    </a:xfrm>
                    <a:prstGeom prst="rect">
                      <a:avLst/>
                    </a:prstGeom>
                    <a:noFill/>
                    <a:ln>
                      <a:noFill/>
                    </a:ln>
                  </pic:spPr>
                </pic:pic>
              </a:graphicData>
            </a:graphic>
          </wp:inline>
        </w:drawing>
      </w:r>
      <w:r w:rsidRPr="00AF7A16">
        <w:t xml:space="preserve"> </w:t>
      </w:r>
      <w:r>
        <w:rPr>
          <w:noProof/>
          <w:lang w:eastAsia="ru-RU"/>
        </w:rPr>
        <w:drawing>
          <wp:inline distT="0" distB="0" distL="0" distR="0" wp14:anchorId="37A4C3CF" wp14:editId="46F8AFBF">
            <wp:extent cx="6120130" cy="4356061"/>
            <wp:effectExtent l="0" t="0" r="0" b="6985"/>
            <wp:docPr id="136" name="Рисунок 136" descr="C:\Users\User\AppData\Local\Microsoft\Windows\INetCache\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4.pn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6120130" cy="4356061"/>
                    </a:xfrm>
                    <a:prstGeom prst="rect">
                      <a:avLst/>
                    </a:prstGeom>
                    <a:noFill/>
                    <a:ln>
                      <a:noFill/>
                    </a:ln>
                  </pic:spPr>
                </pic:pic>
              </a:graphicData>
            </a:graphic>
          </wp:inline>
        </w:drawing>
      </w:r>
    </w:p>
    <w:p w:rsidR="00303DED" w:rsidRDefault="00303DED" w:rsidP="00303DED">
      <w:pPr>
        <w:jc w:val="center"/>
      </w:pPr>
    </w:p>
    <w:p w:rsidR="00303DED" w:rsidRDefault="00303DED" w:rsidP="00303DED">
      <w:pPr>
        <w:jc w:val="center"/>
      </w:pPr>
    </w:p>
    <w:p w:rsidR="00303DED" w:rsidRDefault="00303DED" w:rsidP="00303DED">
      <w:pPr>
        <w:jc w:val="center"/>
        <w:rPr>
          <w:b/>
          <w:sz w:val="28"/>
          <w:szCs w:val="28"/>
        </w:rPr>
      </w:pPr>
      <w:r w:rsidRPr="00900AB7">
        <w:rPr>
          <w:b/>
          <w:sz w:val="28"/>
          <w:szCs w:val="28"/>
        </w:rPr>
        <w:lastRenderedPageBreak/>
        <w:t>ПРИЛОЖЕНИЕ</w:t>
      </w:r>
      <w:r>
        <w:rPr>
          <w:b/>
          <w:sz w:val="28"/>
          <w:szCs w:val="28"/>
        </w:rPr>
        <w:t xml:space="preserve"> </w:t>
      </w:r>
      <w:r w:rsidR="000169E3">
        <w:rPr>
          <w:b/>
          <w:sz w:val="28"/>
          <w:szCs w:val="28"/>
        </w:rPr>
        <w:t>Р</w:t>
      </w:r>
    </w:p>
    <w:p w:rsidR="00303DED" w:rsidRDefault="00303DED" w:rsidP="00303DED">
      <w:pPr>
        <w:jc w:val="center"/>
        <w:rPr>
          <w:b/>
          <w:sz w:val="28"/>
          <w:szCs w:val="28"/>
        </w:rPr>
      </w:pPr>
      <w:r w:rsidRPr="00CC11E2">
        <w:rPr>
          <w:b/>
          <w:sz w:val="28"/>
          <w:szCs w:val="28"/>
        </w:rPr>
        <w:t>Результаты оценки вероятности образования димеров (дуплексов) между праймерами или зондами в реакции ПЦР</w:t>
      </w:r>
    </w:p>
    <w:p w:rsidR="00303DED" w:rsidRDefault="00303DED" w:rsidP="00303DED">
      <w:pPr>
        <w:jc w:val="center"/>
        <w:rPr>
          <w:b/>
          <w:sz w:val="28"/>
          <w:szCs w:val="28"/>
        </w:rPr>
      </w:pPr>
    </w:p>
    <w:p w:rsidR="00303DED" w:rsidRDefault="00303DED" w:rsidP="00303DED">
      <w:pPr>
        <w:pStyle w:val="a4"/>
        <w:rPr>
          <w:rFonts w:cs="Times New Roman"/>
          <w:i/>
          <w:sz w:val="28"/>
          <w:szCs w:val="28"/>
        </w:rPr>
      </w:pPr>
      <w:r w:rsidRPr="00BC2103">
        <w:rPr>
          <w:rFonts w:cs="Times New Roman"/>
          <w:sz w:val="28"/>
          <w:szCs w:val="28"/>
        </w:rPr>
        <w:t xml:space="preserve">Таблица </w:t>
      </w:r>
      <w:r w:rsidR="001A43AE">
        <w:rPr>
          <w:rFonts w:cs="Times New Roman"/>
          <w:sz w:val="28"/>
          <w:szCs w:val="28"/>
        </w:rPr>
        <w:t>Р</w:t>
      </w:r>
      <w:r>
        <w:rPr>
          <w:rFonts w:cs="Times New Roman"/>
          <w:sz w:val="28"/>
          <w:szCs w:val="28"/>
        </w:rPr>
        <w:t>1</w:t>
      </w:r>
      <w:r w:rsidRPr="00BC2103">
        <w:rPr>
          <w:rFonts w:cs="Times New Roman"/>
          <w:sz w:val="28"/>
          <w:szCs w:val="28"/>
        </w:rPr>
        <w:t xml:space="preserve"> – Результаты гомо-димерного анализа праймеров и зонд</w:t>
      </w:r>
      <w:r>
        <w:rPr>
          <w:rFonts w:cs="Times New Roman"/>
          <w:sz w:val="28"/>
          <w:szCs w:val="28"/>
        </w:rPr>
        <w:t xml:space="preserve">ов для идентификации </w:t>
      </w:r>
      <w:r w:rsidR="007A7888" w:rsidRPr="007A7888">
        <w:rPr>
          <w:rFonts w:cs="Times New Roman"/>
          <w:i/>
          <w:sz w:val="28"/>
          <w:szCs w:val="28"/>
        </w:rPr>
        <w:t>S. aureus</w:t>
      </w:r>
    </w:p>
    <w:p w:rsidR="00303DED" w:rsidRDefault="00303DED" w:rsidP="00303DED">
      <w:pPr>
        <w:jc w:val="center"/>
        <w:rPr>
          <w:b/>
          <w:sz w:val="28"/>
          <w:szCs w:val="28"/>
        </w:rPr>
      </w:pPr>
      <w:r w:rsidRPr="00367C42">
        <w:rPr>
          <w:b/>
          <w:noProof/>
          <w:sz w:val="28"/>
          <w:szCs w:val="28"/>
          <w:lang w:eastAsia="ru-RU"/>
        </w:rPr>
        <w:drawing>
          <wp:inline distT="0" distB="0" distL="0" distR="0" wp14:anchorId="4D7AFA2B" wp14:editId="01DC1DEA">
            <wp:extent cx="6120130" cy="5044352"/>
            <wp:effectExtent l="0" t="0" r="0" b="4445"/>
            <wp:docPr id="137" name="Рисунок 137" descr="C:\Users\User\Downloads\Снимок экрана 2025-03-04 13360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нимок экрана 2025-03-04 133601.tiff"/>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6120130" cy="5044352"/>
                    </a:xfrm>
                    <a:prstGeom prst="rect">
                      <a:avLst/>
                    </a:prstGeom>
                    <a:noFill/>
                    <a:ln>
                      <a:noFill/>
                    </a:ln>
                  </pic:spPr>
                </pic:pic>
              </a:graphicData>
            </a:graphic>
          </wp:inline>
        </w:drawing>
      </w: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pStyle w:val="a4"/>
        <w:rPr>
          <w:rFonts w:cs="Times New Roman"/>
          <w:i/>
          <w:sz w:val="28"/>
          <w:szCs w:val="28"/>
        </w:rPr>
      </w:pPr>
      <w:r w:rsidRPr="00BC2103">
        <w:rPr>
          <w:rFonts w:cs="Times New Roman"/>
          <w:sz w:val="28"/>
          <w:szCs w:val="28"/>
        </w:rPr>
        <w:lastRenderedPageBreak/>
        <w:t xml:space="preserve">Таблица </w:t>
      </w:r>
      <w:r w:rsidR="001A43AE">
        <w:rPr>
          <w:rFonts w:cs="Times New Roman"/>
          <w:sz w:val="28"/>
          <w:szCs w:val="28"/>
        </w:rPr>
        <w:t>Р</w:t>
      </w:r>
      <w:r>
        <w:rPr>
          <w:rFonts w:cs="Times New Roman"/>
          <w:sz w:val="28"/>
          <w:szCs w:val="28"/>
        </w:rPr>
        <w:t>2</w:t>
      </w:r>
      <w:r w:rsidRPr="00BC2103">
        <w:rPr>
          <w:rFonts w:cs="Times New Roman"/>
          <w:sz w:val="28"/>
          <w:szCs w:val="28"/>
        </w:rPr>
        <w:t xml:space="preserve"> – Результаты </w:t>
      </w:r>
      <w:r>
        <w:rPr>
          <w:rFonts w:cs="Times New Roman"/>
          <w:sz w:val="28"/>
          <w:szCs w:val="28"/>
        </w:rPr>
        <w:t>гетеро</w:t>
      </w:r>
      <w:r w:rsidRPr="00BC2103">
        <w:rPr>
          <w:rFonts w:cs="Times New Roman"/>
          <w:sz w:val="28"/>
          <w:szCs w:val="28"/>
        </w:rPr>
        <w:t>-димерного анализа праймеров и зонд</w:t>
      </w:r>
      <w:r>
        <w:rPr>
          <w:rFonts w:cs="Times New Roman"/>
          <w:sz w:val="28"/>
          <w:szCs w:val="28"/>
        </w:rPr>
        <w:t xml:space="preserve">ов для идентификации </w:t>
      </w:r>
      <w:r w:rsidR="007A7888" w:rsidRPr="007A7888">
        <w:rPr>
          <w:rFonts w:cs="Times New Roman"/>
          <w:i/>
          <w:sz w:val="28"/>
          <w:szCs w:val="28"/>
        </w:rPr>
        <w:t>S. aureus</w:t>
      </w:r>
    </w:p>
    <w:p w:rsidR="00303DED" w:rsidRDefault="00303DED" w:rsidP="00303DED">
      <w:pPr>
        <w:pStyle w:val="a4"/>
        <w:jc w:val="center"/>
        <w:rPr>
          <w:rFonts w:cs="Times New Roman"/>
          <w:sz w:val="28"/>
          <w:szCs w:val="28"/>
        </w:rPr>
      </w:pPr>
      <w:r w:rsidRPr="00641ABB">
        <w:rPr>
          <w:rFonts w:cs="Times New Roman"/>
          <w:noProof/>
          <w:sz w:val="28"/>
          <w:szCs w:val="28"/>
          <w:lang w:eastAsia="ru-RU"/>
        </w:rPr>
        <w:drawing>
          <wp:inline distT="0" distB="0" distL="0" distR="0" wp14:anchorId="747448C3" wp14:editId="2C1847DF">
            <wp:extent cx="6096000" cy="7941501"/>
            <wp:effectExtent l="0" t="0" r="0" b="2540"/>
            <wp:docPr id="138" name="Рисунок 138" descr="C:\Users\User\Моноблок\Байменов\2025 год\докторантура\материалы и методы\Приложения\Н приложение\Н2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Моноблок\Байменов\2025 год\докторантура\материалы и методы\Приложения\Н приложение\Н21.tiff"/>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6107775" cy="7956841"/>
                    </a:xfrm>
                    <a:prstGeom prst="rect">
                      <a:avLst/>
                    </a:prstGeom>
                    <a:noFill/>
                    <a:ln>
                      <a:noFill/>
                    </a:ln>
                  </pic:spPr>
                </pic:pic>
              </a:graphicData>
            </a:graphic>
          </wp:inline>
        </w:drawing>
      </w:r>
    </w:p>
    <w:p w:rsidR="00303DED" w:rsidRDefault="00303DED" w:rsidP="00303DED">
      <w:pPr>
        <w:pStyle w:val="a4"/>
        <w:jc w:val="center"/>
        <w:rPr>
          <w:rFonts w:cs="Times New Roman"/>
          <w:sz w:val="28"/>
          <w:szCs w:val="28"/>
        </w:rPr>
      </w:pPr>
      <w:r w:rsidRPr="00641ABB">
        <w:rPr>
          <w:rFonts w:cs="Times New Roman"/>
          <w:noProof/>
          <w:sz w:val="28"/>
          <w:szCs w:val="28"/>
          <w:lang w:eastAsia="ru-RU"/>
        </w:rPr>
        <w:lastRenderedPageBreak/>
        <w:drawing>
          <wp:inline distT="0" distB="0" distL="0" distR="0" wp14:anchorId="3A89F720" wp14:editId="59DA5A8B">
            <wp:extent cx="5989320" cy="8020563"/>
            <wp:effectExtent l="0" t="0" r="0" b="0"/>
            <wp:docPr id="139" name="Рисунок 139" descr="C:\Users\User\Моноблок\Байменов\2025 год\докторантура\материалы и методы\Приложения\Н приложение\Н2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Моноблок\Байменов\2025 год\докторантура\материалы и методы\Приложения\Н приложение\Н22.tiff"/>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6006210" cy="8043181"/>
                    </a:xfrm>
                    <a:prstGeom prst="rect">
                      <a:avLst/>
                    </a:prstGeom>
                    <a:noFill/>
                    <a:ln>
                      <a:noFill/>
                    </a:ln>
                  </pic:spPr>
                </pic:pic>
              </a:graphicData>
            </a:graphic>
          </wp:inline>
        </w:drawing>
      </w:r>
    </w:p>
    <w:p w:rsidR="00303DED" w:rsidRDefault="00303DED" w:rsidP="00303DED">
      <w:pPr>
        <w:pStyle w:val="a4"/>
        <w:jc w:val="center"/>
        <w:rPr>
          <w:rFonts w:cs="Times New Roman"/>
          <w:sz w:val="28"/>
          <w:szCs w:val="28"/>
        </w:rPr>
      </w:pPr>
      <w:r w:rsidRPr="00641ABB">
        <w:rPr>
          <w:rFonts w:cs="Times New Roman"/>
          <w:noProof/>
          <w:sz w:val="28"/>
          <w:szCs w:val="28"/>
          <w:lang w:eastAsia="ru-RU"/>
        </w:rPr>
        <w:lastRenderedPageBreak/>
        <w:drawing>
          <wp:inline distT="0" distB="0" distL="0" distR="0" wp14:anchorId="28D0711F" wp14:editId="5F9077F2">
            <wp:extent cx="5943600" cy="8120396"/>
            <wp:effectExtent l="0" t="0" r="0" b="0"/>
            <wp:docPr id="140" name="Рисунок 140" descr="C:\Users\User\Моноблок\Байменов\2025 год\докторантура\материалы и методы\Приложения\Н приложение\Н2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Моноблок\Байменов\2025 год\докторантура\материалы и методы\Приложения\Н приложение\Н23.tiff"/>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5955954" cy="8137274"/>
                    </a:xfrm>
                    <a:prstGeom prst="rect">
                      <a:avLst/>
                    </a:prstGeom>
                    <a:noFill/>
                    <a:ln>
                      <a:noFill/>
                    </a:ln>
                  </pic:spPr>
                </pic:pic>
              </a:graphicData>
            </a:graphic>
          </wp:inline>
        </w:drawing>
      </w:r>
    </w:p>
    <w:p w:rsidR="00303DED" w:rsidRDefault="00303DED" w:rsidP="00303DED">
      <w:pPr>
        <w:pStyle w:val="a4"/>
        <w:jc w:val="center"/>
        <w:rPr>
          <w:rFonts w:cs="Times New Roman"/>
          <w:sz w:val="28"/>
          <w:szCs w:val="28"/>
        </w:rPr>
      </w:pPr>
      <w:r w:rsidRPr="00641ABB">
        <w:rPr>
          <w:rFonts w:cs="Times New Roman"/>
          <w:noProof/>
          <w:sz w:val="28"/>
          <w:szCs w:val="28"/>
          <w:lang w:eastAsia="ru-RU"/>
        </w:rPr>
        <w:lastRenderedPageBreak/>
        <w:drawing>
          <wp:inline distT="0" distB="0" distL="0" distR="0" wp14:anchorId="445655E8" wp14:editId="3F2A7AB3">
            <wp:extent cx="5973932" cy="6789420"/>
            <wp:effectExtent l="0" t="0" r="8255" b="0"/>
            <wp:docPr id="141" name="Рисунок 141" descr="C:\Users\User\Моноблок\Байменов\2025 год\докторантура\материалы и методы\Приложения\Н приложение\Н2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Моноблок\Байменов\2025 год\докторантура\материалы и методы\Приложения\Н приложение\Н25.tiff"/>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6005120" cy="6824865"/>
                    </a:xfrm>
                    <a:prstGeom prst="rect">
                      <a:avLst/>
                    </a:prstGeom>
                    <a:noFill/>
                    <a:ln>
                      <a:noFill/>
                    </a:ln>
                  </pic:spPr>
                </pic:pic>
              </a:graphicData>
            </a:graphic>
          </wp:inline>
        </w:drawing>
      </w:r>
    </w:p>
    <w:p w:rsidR="00303DED" w:rsidRDefault="00303DED" w:rsidP="00303DED">
      <w:pPr>
        <w:pStyle w:val="a4"/>
        <w:jc w:val="center"/>
        <w:rPr>
          <w:rFonts w:cs="Times New Roman"/>
          <w:sz w:val="28"/>
          <w:szCs w:val="28"/>
        </w:rPr>
      </w:pPr>
      <w:r w:rsidRPr="00641ABB">
        <w:rPr>
          <w:rFonts w:cs="Times New Roman"/>
          <w:noProof/>
          <w:sz w:val="28"/>
          <w:szCs w:val="28"/>
          <w:lang w:eastAsia="ru-RU"/>
        </w:rPr>
        <w:lastRenderedPageBreak/>
        <w:drawing>
          <wp:inline distT="0" distB="0" distL="0" distR="0" wp14:anchorId="5BB20190" wp14:editId="56F2D7AA">
            <wp:extent cx="6126066" cy="8366123"/>
            <wp:effectExtent l="0" t="0" r="8255" b="0"/>
            <wp:docPr id="142" name="Рисунок 142" descr="C:\Users\User\Моноблок\Байменов\2025 год\докторантура\материалы и методы\Приложения\Н приложение\Н2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Моноблок\Байменов\2025 год\докторантура\материалы и методы\Приложения\Н приложение\Н24.tiff"/>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6161364" cy="8414329"/>
                    </a:xfrm>
                    <a:prstGeom prst="rect">
                      <a:avLst/>
                    </a:prstGeom>
                    <a:noFill/>
                    <a:ln>
                      <a:noFill/>
                    </a:ln>
                  </pic:spPr>
                </pic:pic>
              </a:graphicData>
            </a:graphic>
          </wp:inline>
        </w:drawing>
      </w:r>
    </w:p>
    <w:p w:rsidR="00303DED" w:rsidRPr="00367C42" w:rsidRDefault="00303DED" w:rsidP="00303DED">
      <w:pPr>
        <w:pStyle w:val="a4"/>
        <w:jc w:val="center"/>
        <w:rPr>
          <w:rFonts w:cs="Times New Roman"/>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r w:rsidRPr="00900AB7">
        <w:rPr>
          <w:b/>
          <w:sz w:val="28"/>
          <w:szCs w:val="28"/>
        </w:rPr>
        <w:lastRenderedPageBreak/>
        <w:t>ПРИЛОЖЕНИЕ</w:t>
      </w:r>
      <w:r>
        <w:rPr>
          <w:b/>
          <w:sz w:val="28"/>
          <w:szCs w:val="28"/>
        </w:rPr>
        <w:t xml:space="preserve"> </w:t>
      </w:r>
      <w:r w:rsidR="000169E3">
        <w:rPr>
          <w:b/>
          <w:sz w:val="28"/>
          <w:szCs w:val="28"/>
        </w:rPr>
        <w:t>С</w:t>
      </w:r>
    </w:p>
    <w:p w:rsidR="00303DED" w:rsidRDefault="00303DED" w:rsidP="00303DED">
      <w:pPr>
        <w:jc w:val="center"/>
        <w:rPr>
          <w:b/>
          <w:sz w:val="28"/>
          <w:szCs w:val="28"/>
        </w:rPr>
      </w:pPr>
      <w:r w:rsidRPr="00D024C6">
        <w:rPr>
          <w:b/>
          <w:sz w:val="28"/>
          <w:szCs w:val="28"/>
        </w:rPr>
        <w:t>Праймеры и флуоресцентно меченые зонды</w:t>
      </w:r>
    </w:p>
    <w:p w:rsidR="00303DED" w:rsidRDefault="00303DED" w:rsidP="00303DED">
      <w:pPr>
        <w:jc w:val="center"/>
        <w:rPr>
          <w:b/>
          <w:sz w:val="28"/>
          <w:szCs w:val="28"/>
        </w:rPr>
      </w:pPr>
    </w:p>
    <w:p w:rsidR="00303DED" w:rsidRDefault="00303DED" w:rsidP="00303DED">
      <w:pPr>
        <w:jc w:val="center"/>
        <w:rPr>
          <w:b/>
          <w:sz w:val="28"/>
          <w:szCs w:val="28"/>
        </w:rPr>
      </w:pPr>
      <w:r w:rsidRPr="00D024C6">
        <w:rPr>
          <w:b/>
          <w:noProof/>
          <w:sz w:val="28"/>
          <w:szCs w:val="28"/>
          <w:lang w:eastAsia="ru-RU"/>
        </w:rPr>
        <w:drawing>
          <wp:inline distT="0" distB="0" distL="0" distR="0" wp14:anchorId="3D48733E" wp14:editId="1F79ED3D">
            <wp:extent cx="5978922" cy="7581900"/>
            <wp:effectExtent l="0" t="0" r="3175" b="0"/>
            <wp:docPr id="26" name="Рисунок 26" descr="C:\Users\User\Моноблок\Байменов\2025 год\докторантура\материалы и методы\Приложения\О приложение\О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Моноблок\Байменов\2025 год\докторантура\материалы и методы\Приложения\О приложение\О1.tiff"/>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5999753" cy="7608316"/>
                    </a:xfrm>
                    <a:prstGeom prst="rect">
                      <a:avLst/>
                    </a:prstGeom>
                    <a:noFill/>
                    <a:ln>
                      <a:noFill/>
                    </a:ln>
                  </pic:spPr>
                </pic:pic>
              </a:graphicData>
            </a:graphic>
          </wp:inline>
        </w:drawing>
      </w:r>
    </w:p>
    <w:p w:rsidR="00303DED" w:rsidRDefault="00303DED" w:rsidP="00303DED">
      <w:pPr>
        <w:jc w:val="center"/>
        <w:rPr>
          <w:b/>
          <w:sz w:val="28"/>
          <w:szCs w:val="28"/>
        </w:rPr>
      </w:pPr>
      <w:r w:rsidRPr="00D024C6">
        <w:rPr>
          <w:b/>
          <w:noProof/>
          <w:sz w:val="28"/>
          <w:szCs w:val="28"/>
          <w:lang w:eastAsia="ru-RU"/>
        </w:rPr>
        <w:lastRenderedPageBreak/>
        <w:drawing>
          <wp:inline distT="0" distB="0" distL="0" distR="0" wp14:anchorId="238EFD3A" wp14:editId="3F955929">
            <wp:extent cx="6009359" cy="6537960"/>
            <wp:effectExtent l="0" t="0" r="0" b="0"/>
            <wp:docPr id="143" name="Рисунок 143" descr="C:\Users\User\Моноблок\Байменов\2025 год\докторантура\материалы и методы\Приложения\О приложение\О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Моноблок\Байменов\2025 год\докторантура\материалы и методы\Приложения\О приложение\О2.tiff"/>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6013813" cy="6542806"/>
                    </a:xfrm>
                    <a:prstGeom prst="rect">
                      <a:avLst/>
                    </a:prstGeom>
                    <a:noFill/>
                    <a:ln>
                      <a:noFill/>
                    </a:ln>
                  </pic:spPr>
                </pic:pic>
              </a:graphicData>
            </a:graphic>
          </wp:inline>
        </w:drawing>
      </w: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p>
    <w:p w:rsidR="00303DED" w:rsidRDefault="00303DED" w:rsidP="00303DED">
      <w:pPr>
        <w:jc w:val="center"/>
        <w:rPr>
          <w:b/>
          <w:sz w:val="28"/>
          <w:szCs w:val="28"/>
        </w:rPr>
      </w:pPr>
      <w:r w:rsidRPr="00900AB7">
        <w:rPr>
          <w:b/>
          <w:sz w:val="28"/>
          <w:szCs w:val="28"/>
        </w:rPr>
        <w:lastRenderedPageBreak/>
        <w:t>ПРИЛОЖЕНИЕ</w:t>
      </w:r>
      <w:r>
        <w:rPr>
          <w:b/>
          <w:sz w:val="28"/>
          <w:szCs w:val="28"/>
        </w:rPr>
        <w:t xml:space="preserve"> </w:t>
      </w:r>
      <w:r w:rsidR="000169E3">
        <w:rPr>
          <w:b/>
          <w:sz w:val="28"/>
          <w:szCs w:val="28"/>
        </w:rPr>
        <w:t>Т</w:t>
      </w:r>
    </w:p>
    <w:p w:rsidR="00303DED" w:rsidRDefault="00303DED" w:rsidP="00303DED">
      <w:pPr>
        <w:jc w:val="center"/>
        <w:rPr>
          <w:b/>
          <w:sz w:val="28"/>
          <w:szCs w:val="28"/>
          <w:lang w:val="en-US"/>
        </w:rPr>
      </w:pPr>
      <w:r w:rsidRPr="00674683">
        <w:rPr>
          <w:b/>
          <w:sz w:val="28"/>
          <w:szCs w:val="28"/>
        </w:rPr>
        <w:t>Информация об эффективности ПЦР на основе кривых накопления. Программное</w:t>
      </w:r>
      <w:r w:rsidRPr="00674683">
        <w:rPr>
          <w:b/>
          <w:sz w:val="28"/>
          <w:szCs w:val="28"/>
          <w:lang w:val="en-US"/>
        </w:rPr>
        <w:t xml:space="preserve"> </w:t>
      </w:r>
      <w:r w:rsidRPr="00674683">
        <w:rPr>
          <w:b/>
          <w:sz w:val="28"/>
          <w:szCs w:val="28"/>
        </w:rPr>
        <w:t>обеспечение</w:t>
      </w:r>
      <w:r w:rsidRPr="00674683">
        <w:rPr>
          <w:b/>
          <w:sz w:val="28"/>
          <w:szCs w:val="28"/>
          <w:lang w:val="en-US"/>
        </w:rPr>
        <w:t xml:space="preserve"> Applied Biosystems QuantStudio 5</w:t>
      </w:r>
    </w:p>
    <w:p w:rsidR="00303DED" w:rsidRDefault="00303DED" w:rsidP="00303DED">
      <w:pPr>
        <w:jc w:val="center"/>
        <w:rPr>
          <w:b/>
          <w:sz w:val="28"/>
          <w:szCs w:val="28"/>
          <w:lang w:val="en-US"/>
        </w:rPr>
      </w:pPr>
    </w:p>
    <w:p w:rsidR="00303DED" w:rsidRDefault="002D0D34" w:rsidP="00303DED">
      <w:pPr>
        <w:jc w:val="center"/>
        <w:rPr>
          <w:b/>
          <w:sz w:val="28"/>
          <w:szCs w:val="28"/>
          <w:lang w:val="en-US"/>
        </w:rPr>
      </w:pPr>
      <w:r w:rsidRPr="002D0D34">
        <w:rPr>
          <w:b/>
          <w:noProof/>
          <w:sz w:val="28"/>
          <w:szCs w:val="28"/>
          <w:lang w:eastAsia="ru-RU"/>
        </w:rPr>
        <w:drawing>
          <wp:inline distT="0" distB="0" distL="0" distR="0" wp14:anchorId="5F8A517C" wp14:editId="5864E8D9">
            <wp:extent cx="6057719" cy="7490460"/>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00394" cy="7543229"/>
                    </a:xfrm>
                    <a:prstGeom prst="rect">
                      <a:avLst/>
                    </a:prstGeom>
                  </pic:spPr>
                </pic:pic>
              </a:graphicData>
            </a:graphic>
          </wp:inline>
        </w:drawing>
      </w: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lang w:val="en-US"/>
        </w:rPr>
      </w:pPr>
    </w:p>
    <w:p w:rsidR="00303DED" w:rsidRDefault="00303DED" w:rsidP="00303DED">
      <w:pPr>
        <w:jc w:val="center"/>
        <w:rPr>
          <w:b/>
          <w:sz w:val="28"/>
          <w:szCs w:val="28"/>
        </w:rPr>
      </w:pPr>
      <w:r w:rsidRPr="00900AB7">
        <w:rPr>
          <w:b/>
          <w:sz w:val="28"/>
          <w:szCs w:val="28"/>
        </w:rPr>
        <w:lastRenderedPageBreak/>
        <w:t>ПРИЛОЖЕНИЕ</w:t>
      </w:r>
      <w:r>
        <w:rPr>
          <w:b/>
          <w:sz w:val="28"/>
          <w:szCs w:val="28"/>
        </w:rPr>
        <w:t xml:space="preserve"> </w:t>
      </w:r>
      <w:r w:rsidR="000169E3">
        <w:rPr>
          <w:b/>
          <w:sz w:val="28"/>
          <w:szCs w:val="28"/>
        </w:rPr>
        <w:t>У</w:t>
      </w:r>
    </w:p>
    <w:p w:rsidR="00303DED" w:rsidRPr="009D1ABF" w:rsidRDefault="00303DED" w:rsidP="00303DED">
      <w:pPr>
        <w:jc w:val="center"/>
        <w:rPr>
          <w:b/>
          <w:sz w:val="28"/>
          <w:szCs w:val="28"/>
        </w:rPr>
      </w:pPr>
      <w:r w:rsidRPr="006D1516">
        <w:rPr>
          <w:b/>
          <w:sz w:val="28"/>
          <w:szCs w:val="28"/>
        </w:rPr>
        <w:t>Акты комиссионных испытаний</w:t>
      </w:r>
      <w:r w:rsidRPr="00677A8C">
        <w:rPr>
          <w:b/>
          <w:noProof/>
          <w:sz w:val="28"/>
          <w:szCs w:val="28"/>
          <w:lang w:eastAsia="ru-RU"/>
        </w:rPr>
        <w:drawing>
          <wp:inline distT="0" distB="0" distL="0" distR="0" wp14:anchorId="3245AEC4" wp14:editId="364E5831">
            <wp:extent cx="6120130" cy="8623263"/>
            <wp:effectExtent l="0" t="0" r="0" b="6985"/>
            <wp:docPr id="145" name="Рисунок 145" descr="C:\Users\User\Downloads\Untitled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Untitled - 0001.tif"/>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6120130" cy="8623263"/>
                    </a:xfrm>
                    <a:prstGeom prst="rect">
                      <a:avLst/>
                    </a:prstGeom>
                    <a:noFill/>
                    <a:ln>
                      <a:noFill/>
                    </a:ln>
                  </pic:spPr>
                </pic:pic>
              </a:graphicData>
            </a:graphic>
          </wp:inline>
        </w:drawing>
      </w:r>
      <w:r w:rsidRPr="00677A8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77A8C">
        <w:rPr>
          <w:b/>
          <w:noProof/>
          <w:sz w:val="28"/>
          <w:szCs w:val="28"/>
          <w:lang w:eastAsia="ru-RU"/>
        </w:rPr>
        <w:lastRenderedPageBreak/>
        <w:drawing>
          <wp:inline distT="0" distB="0" distL="0" distR="0" wp14:anchorId="769A121C" wp14:editId="0FB5B2DD">
            <wp:extent cx="6120130" cy="8590083"/>
            <wp:effectExtent l="0" t="0" r="0" b="1905"/>
            <wp:docPr id="65" name="Рисунок 65" descr="C:\Users\User\Downloads\Untitled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Untitled - 0002.tif"/>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6120130" cy="8590083"/>
                    </a:xfrm>
                    <a:prstGeom prst="rect">
                      <a:avLst/>
                    </a:prstGeom>
                    <a:noFill/>
                    <a:ln>
                      <a:noFill/>
                    </a:ln>
                  </pic:spPr>
                </pic:pic>
              </a:graphicData>
            </a:graphic>
          </wp:inline>
        </w:drawing>
      </w:r>
      <w:r w:rsidRPr="00677A8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77A8C">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489B70F9" wp14:editId="0E49CC23">
            <wp:extent cx="6120130" cy="8641993"/>
            <wp:effectExtent l="0" t="0" r="0" b="6985"/>
            <wp:docPr id="66" name="Рисунок 66" descr="C:\Users\User\Downloads\Untitled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Untitled - 0003.tif"/>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6120130" cy="8641993"/>
                    </a:xfrm>
                    <a:prstGeom prst="rect">
                      <a:avLst/>
                    </a:prstGeom>
                    <a:noFill/>
                    <a:ln>
                      <a:noFill/>
                    </a:ln>
                  </pic:spPr>
                </pic:pic>
              </a:graphicData>
            </a:graphic>
          </wp:inline>
        </w:drawing>
      </w:r>
      <w:r w:rsidRPr="00677A8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77A8C">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40291FB9" wp14:editId="04B2E137">
            <wp:extent cx="6120130" cy="9439422"/>
            <wp:effectExtent l="0" t="0" r="0" b="9525"/>
            <wp:docPr id="146" name="Рисунок 146" descr="C:\Users\User\Downloads\Untitled - 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Untitled - 0004.tif"/>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6120130" cy="9439422"/>
                    </a:xfrm>
                    <a:prstGeom prst="rect">
                      <a:avLst/>
                    </a:prstGeom>
                    <a:noFill/>
                    <a:ln>
                      <a:noFill/>
                    </a:ln>
                  </pic:spPr>
                </pic:pic>
              </a:graphicData>
            </a:graphic>
          </wp:inline>
        </w:drawing>
      </w:r>
      <w:r w:rsidRPr="00677A8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77A8C">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5D76A8C3" wp14:editId="2C351A02">
            <wp:extent cx="6120130" cy="8628279"/>
            <wp:effectExtent l="0" t="0" r="0" b="1905"/>
            <wp:docPr id="147" name="Рисунок 147" descr="C:\Users\User\Downloads\Untitled - 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Untitled - 0005.tif"/>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6120130" cy="8628279"/>
                    </a:xfrm>
                    <a:prstGeom prst="rect">
                      <a:avLst/>
                    </a:prstGeom>
                    <a:noFill/>
                    <a:ln>
                      <a:noFill/>
                    </a:ln>
                  </pic:spPr>
                </pic:pic>
              </a:graphicData>
            </a:graphic>
          </wp:inline>
        </w:drawing>
      </w:r>
      <w:r w:rsidRPr="00677A8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77A8C">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0C33780D" wp14:editId="2D913C7A">
            <wp:extent cx="6120130" cy="8601099"/>
            <wp:effectExtent l="0" t="0" r="0" b="9525"/>
            <wp:docPr id="69" name="Рисунок 69" descr="C:\Users\User\Downloads\Untitled - 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Untitled - 0006.tif"/>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6120130" cy="8601099"/>
                    </a:xfrm>
                    <a:prstGeom prst="rect">
                      <a:avLst/>
                    </a:prstGeom>
                    <a:noFill/>
                    <a:ln>
                      <a:noFill/>
                    </a:ln>
                  </pic:spPr>
                </pic:pic>
              </a:graphicData>
            </a:graphic>
          </wp:inline>
        </w:drawing>
      </w:r>
      <w:r w:rsidRPr="00677A8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77A8C">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37C9DF2D" wp14:editId="5683866E">
            <wp:extent cx="6120130" cy="8633316"/>
            <wp:effectExtent l="0" t="0" r="0" b="0"/>
            <wp:docPr id="71" name="Рисунок 71" descr="C:\Users\User\Downloads\Untitled - 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Untitled - 0007.tif"/>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6120130" cy="8633316"/>
                    </a:xfrm>
                    <a:prstGeom prst="rect">
                      <a:avLst/>
                    </a:prstGeom>
                    <a:noFill/>
                    <a:ln>
                      <a:noFill/>
                    </a:ln>
                  </pic:spPr>
                </pic:pic>
              </a:graphicData>
            </a:graphic>
          </wp:inline>
        </w:drawing>
      </w:r>
      <w:r w:rsidRPr="00677A8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77A8C">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0EC915F0" wp14:editId="535B41D9">
            <wp:extent cx="6120130" cy="8590083"/>
            <wp:effectExtent l="0" t="0" r="0" b="1905"/>
            <wp:docPr id="72" name="Рисунок 72" descr="C:\Users\User\Downloads\Untitled - 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Untitled - 0008.tif"/>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6120130" cy="8590083"/>
                    </a:xfrm>
                    <a:prstGeom prst="rect">
                      <a:avLst/>
                    </a:prstGeom>
                    <a:noFill/>
                    <a:ln>
                      <a:noFill/>
                    </a:ln>
                  </pic:spPr>
                </pic:pic>
              </a:graphicData>
            </a:graphic>
          </wp:inline>
        </w:drawing>
      </w:r>
      <w:r w:rsidRPr="00677A8C">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77A8C">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6EF9FB5E" wp14:editId="072D47AD">
            <wp:extent cx="6120130" cy="8655789"/>
            <wp:effectExtent l="0" t="0" r="0" b="0"/>
            <wp:docPr id="73" name="Рисунок 73" descr="C:\Users\User\Downloads\Untitled - 0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Untitled - 0009.tif"/>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6120130" cy="8655789"/>
                    </a:xfrm>
                    <a:prstGeom prst="rect">
                      <a:avLst/>
                    </a:prstGeom>
                    <a:noFill/>
                    <a:ln>
                      <a:noFill/>
                    </a:ln>
                  </pic:spPr>
                </pic:pic>
              </a:graphicData>
            </a:graphic>
          </wp:inline>
        </w:drawing>
      </w:r>
      <w:r w:rsidRPr="00706F1E">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6F1E">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6F237B81" wp14:editId="3F4604E4">
            <wp:extent cx="6120130" cy="8655789"/>
            <wp:effectExtent l="0" t="0" r="0" b="0"/>
            <wp:docPr id="148" name="Рисунок 148" descr="C:\Users\User\Downloads\Untitled - 0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Untitled - 0010.tif"/>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6120130" cy="8655789"/>
                    </a:xfrm>
                    <a:prstGeom prst="rect">
                      <a:avLst/>
                    </a:prstGeom>
                    <a:noFill/>
                    <a:ln>
                      <a:noFill/>
                    </a:ln>
                  </pic:spPr>
                </pic:pic>
              </a:graphicData>
            </a:graphic>
          </wp:inline>
        </w:drawing>
      </w:r>
      <w:r w:rsidRPr="00706F1E">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6F1E">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7C367092" wp14:editId="4F8997C2">
            <wp:extent cx="6120130" cy="8641993"/>
            <wp:effectExtent l="0" t="0" r="0" b="6985"/>
            <wp:docPr id="149" name="Рисунок 149" descr="C:\Users\User\Downloads\Untitled - 0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Untitled - 0011.tif"/>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6120130" cy="8641993"/>
                    </a:xfrm>
                    <a:prstGeom prst="rect">
                      <a:avLst/>
                    </a:prstGeom>
                    <a:noFill/>
                    <a:ln>
                      <a:noFill/>
                    </a:ln>
                  </pic:spPr>
                </pic:pic>
              </a:graphicData>
            </a:graphic>
          </wp:inline>
        </w:drawing>
      </w:r>
      <w:r w:rsidRPr="00706F1E">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6F1E">
        <w:rPr>
          <w:rFonts w:eastAsia="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6C8FDE17" wp14:editId="664818C8">
            <wp:extent cx="6120130" cy="8617143"/>
            <wp:effectExtent l="0" t="0" r="0" b="0"/>
            <wp:docPr id="150" name="Рисунок 150" descr="C:\Users\User\Downloads\Untitled - 0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Untitled - 0012.tif"/>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6120130" cy="8617143"/>
                    </a:xfrm>
                    <a:prstGeom prst="rect">
                      <a:avLst/>
                    </a:prstGeom>
                    <a:noFill/>
                    <a:ln>
                      <a:noFill/>
                    </a:ln>
                  </pic:spPr>
                </pic:pic>
              </a:graphicData>
            </a:graphic>
          </wp:inline>
        </w:drawing>
      </w:r>
    </w:p>
    <w:p w:rsidR="00D73F4B" w:rsidRDefault="00D73F4B" w:rsidP="00D73F4B">
      <w:pPr>
        <w:jc w:val="center"/>
        <w:rPr>
          <w:b/>
          <w:sz w:val="28"/>
          <w:szCs w:val="28"/>
        </w:rPr>
      </w:pPr>
    </w:p>
    <w:p w:rsidR="009649EE" w:rsidRDefault="009649EE" w:rsidP="00D73F4B">
      <w:pPr>
        <w:jc w:val="center"/>
        <w:rPr>
          <w:b/>
          <w:sz w:val="28"/>
          <w:szCs w:val="28"/>
        </w:rPr>
      </w:pPr>
    </w:p>
    <w:p w:rsidR="001C4327" w:rsidRDefault="001C4327" w:rsidP="001C4327">
      <w:pPr>
        <w:jc w:val="center"/>
        <w:rPr>
          <w:b/>
          <w:sz w:val="28"/>
          <w:szCs w:val="28"/>
        </w:rPr>
      </w:pPr>
      <w:r w:rsidRPr="00900AB7">
        <w:rPr>
          <w:b/>
          <w:sz w:val="28"/>
          <w:szCs w:val="28"/>
        </w:rPr>
        <w:lastRenderedPageBreak/>
        <w:t>ПРИЛОЖЕНИЕ</w:t>
      </w:r>
      <w:r>
        <w:rPr>
          <w:b/>
          <w:sz w:val="28"/>
          <w:szCs w:val="28"/>
        </w:rPr>
        <w:t xml:space="preserve"> Ф</w:t>
      </w:r>
    </w:p>
    <w:p w:rsidR="001C4327" w:rsidRDefault="001C4327" w:rsidP="00D73F4B">
      <w:pPr>
        <w:jc w:val="center"/>
        <w:rPr>
          <w:b/>
          <w:sz w:val="28"/>
          <w:szCs w:val="28"/>
        </w:rPr>
      </w:pPr>
      <w:r>
        <w:rPr>
          <w:b/>
          <w:sz w:val="28"/>
          <w:szCs w:val="28"/>
        </w:rPr>
        <w:t>Д</w:t>
      </w:r>
      <w:r w:rsidRPr="001C4327">
        <w:rPr>
          <w:b/>
          <w:sz w:val="28"/>
          <w:szCs w:val="28"/>
        </w:rPr>
        <w:t>анные устойчивости к АБП в разрезе выявления генов резистентности</w:t>
      </w:r>
    </w:p>
    <w:p w:rsidR="001C4327" w:rsidRDefault="001C4327" w:rsidP="00D73F4B">
      <w:pPr>
        <w:jc w:val="center"/>
        <w:rPr>
          <w:b/>
          <w:sz w:val="28"/>
          <w:szCs w:val="28"/>
        </w:rPr>
      </w:pPr>
    </w:p>
    <w:p w:rsidR="009649EE" w:rsidRPr="009D1ABF" w:rsidRDefault="000169E3" w:rsidP="00D73F4B">
      <w:pPr>
        <w:jc w:val="center"/>
        <w:rPr>
          <w:b/>
          <w:sz w:val="28"/>
          <w:szCs w:val="28"/>
        </w:rPr>
      </w:pPr>
      <w:r w:rsidRPr="000169E3">
        <w:rPr>
          <w:b/>
          <w:noProof/>
          <w:sz w:val="28"/>
          <w:szCs w:val="28"/>
          <w:lang w:eastAsia="ru-RU"/>
        </w:rPr>
        <w:drawing>
          <wp:inline distT="0" distB="0" distL="0" distR="0" wp14:anchorId="76EB9761" wp14:editId="471B6590">
            <wp:extent cx="7947440" cy="6053660"/>
            <wp:effectExtent l="0" t="5715"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rot="16200000">
                      <a:off x="0" y="0"/>
                      <a:ext cx="8069014" cy="6146265"/>
                    </a:xfrm>
                    <a:prstGeom prst="rect">
                      <a:avLst/>
                    </a:prstGeom>
                  </pic:spPr>
                </pic:pic>
              </a:graphicData>
            </a:graphic>
          </wp:inline>
        </w:drawing>
      </w:r>
      <w:bookmarkEnd w:id="0"/>
    </w:p>
    <w:sectPr w:rsidR="009649EE" w:rsidRPr="009D1ABF" w:rsidSect="00856E47">
      <w:footerReference w:type="default" r:id="rId11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7EF1" w:rsidRDefault="00147EF1" w:rsidP="00B066D6">
      <w:pPr>
        <w:spacing w:after="0"/>
      </w:pPr>
      <w:r>
        <w:separator/>
      </w:r>
    </w:p>
  </w:endnote>
  <w:endnote w:type="continuationSeparator" w:id="0">
    <w:p w:rsidR="00147EF1" w:rsidRDefault="00147EF1" w:rsidP="00B066D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8"/>
      </w:rPr>
      <w:id w:val="-496042468"/>
      <w:docPartObj>
        <w:docPartGallery w:val="Page Numbers (Bottom of Page)"/>
        <w:docPartUnique/>
      </w:docPartObj>
    </w:sdtPr>
    <w:sdtEndPr/>
    <w:sdtContent>
      <w:p w:rsidR="007E1CC3" w:rsidRPr="00B066D6" w:rsidRDefault="007E1CC3" w:rsidP="00B066D6">
        <w:pPr>
          <w:pStyle w:val="a8"/>
          <w:jc w:val="center"/>
          <w:rPr>
            <w:sz w:val="28"/>
          </w:rPr>
        </w:pPr>
        <w:r w:rsidRPr="00B066D6">
          <w:rPr>
            <w:sz w:val="28"/>
          </w:rPr>
          <w:fldChar w:fldCharType="begin"/>
        </w:r>
        <w:r w:rsidRPr="00B066D6">
          <w:rPr>
            <w:sz w:val="28"/>
          </w:rPr>
          <w:instrText>PAGE   \* MERGEFORMAT</w:instrText>
        </w:r>
        <w:r w:rsidRPr="00B066D6">
          <w:rPr>
            <w:sz w:val="28"/>
          </w:rPr>
          <w:fldChar w:fldCharType="separate"/>
        </w:r>
        <w:r w:rsidR="00B62038">
          <w:rPr>
            <w:noProof/>
            <w:sz w:val="28"/>
          </w:rPr>
          <w:t>187</w:t>
        </w:r>
        <w:r w:rsidRPr="00B066D6">
          <w:rPr>
            <w:sz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7EF1" w:rsidRDefault="00147EF1" w:rsidP="00B066D6">
      <w:pPr>
        <w:spacing w:after="0"/>
      </w:pPr>
      <w:r>
        <w:separator/>
      </w:r>
    </w:p>
  </w:footnote>
  <w:footnote w:type="continuationSeparator" w:id="0">
    <w:p w:rsidR="00147EF1" w:rsidRDefault="00147EF1" w:rsidP="00B066D6">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56A8"/>
    <w:rsid w:val="00000048"/>
    <w:rsid w:val="00015F5F"/>
    <w:rsid w:val="000169E3"/>
    <w:rsid w:val="00020499"/>
    <w:rsid w:val="00052C04"/>
    <w:rsid w:val="00052C49"/>
    <w:rsid w:val="00053C28"/>
    <w:rsid w:val="00057D24"/>
    <w:rsid w:val="00060504"/>
    <w:rsid w:val="000A7BF3"/>
    <w:rsid w:val="000B3302"/>
    <w:rsid w:val="000C0D92"/>
    <w:rsid w:val="000D6CCE"/>
    <w:rsid w:val="001035A1"/>
    <w:rsid w:val="00120E35"/>
    <w:rsid w:val="00121CC7"/>
    <w:rsid w:val="00132C71"/>
    <w:rsid w:val="00132E4D"/>
    <w:rsid w:val="00147EF1"/>
    <w:rsid w:val="0016347F"/>
    <w:rsid w:val="001667AB"/>
    <w:rsid w:val="00181A8A"/>
    <w:rsid w:val="00193E25"/>
    <w:rsid w:val="00196CE8"/>
    <w:rsid w:val="001A0F23"/>
    <w:rsid w:val="001A1949"/>
    <w:rsid w:val="001A43AE"/>
    <w:rsid w:val="001C14C2"/>
    <w:rsid w:val="001C1E30"/>
    <w:rsid w:val="001C37BD"/>
    <w:rsid w:val="001C4327"/>
    <w:rsid w:val="001C6FD1"/>
    <w:rsid w:val="001E5600"/>
    <w:rsid w:val="001E740C"/>
    <w:rsid w:val="001F2EB0"/>
    <w:rsid w:val="001F4D44"/>
    <w:rsid w:val="0020570E"/>
    <w:rsid w:val="00205716"/>
    <w:rsid w:val="00223A25"/>
    <w:rsid w:val="00227632"/>
    <w:rsid w:val="00285025"/>
    <w:rsid w:val="00291301"/>
    <w:rsid w:val="002A0320"/>
    <w:rsid w:val="002B0F4A"/>
    <w:rsid w:val="002C3D3F"/>
    <w:rsid w:val="002D0D34"/>
    <w:rsid w:val="002E0964"/>
    <w:rsid w:val="002E1512"/>
    <w:rsid w:val="002F108C"/>
    <w:rsid w:val="00302589"/>
    <w:rsid w:val="00303DED"/>
    <w:rsid w:val="003071C0"/>
    <w:rsid w:val="003243B1"/>
    <w:rsid w:val="003275DB"/>
    <w:rsid w:val="00345D2F"/>
    <w:rsid w:val="00381A60"/>
    <w:rsid w:val="003B0552"/>
    <w:rsid w:val="003D540B"/>
    <w:rsid w:val="003E4066"/>
    <w:rsid w:val="003E7FDD"/>
    <w:rsid w:val="003F4E77"/>
    <w:rsid w:val="00405C81"/>
    <w:rsid w:val="004078AD"/>
    <w:rsid w:val="00421119"/>
    <w:rsid w:val="00430E62"/>
    <w:rsid w:val="004527DB"/>
    <w:rsid w:val="00453C72"/>
    <w:rsid w:val="00462E6F"/>
    <w:rsid w:val="00465DA3"/>
    <w:rsid w:val="0047032D"/>
    <w:rsid w:val="00473FBA"/>
    <w:rsid w:val="00475A05"/>
    <w:rsid w:val="00492AD7"/>
    <w:rsid w:val="004A7609"/>
    <w:rsid w:val="004B222C"/>
    <w:rsid w:val="004E5E70"/>
    <w:rsid w:val="005221BC"/>
    <w:rsid w:val="00541107"/>
    <w:rsid w:val="00571E73"/>
    <w:rsid w:val="00577945"/>
    <w:rsid w:val="005B240B"/>
    <w:rsid w:val="005B329C"/>
    <w:rsid w:val="005C70CA"/>
    <w:rsid w:val="005D00C0"/>
    <w:rsid w:val="005D26B1"/>
    <w:rsid w:val="00604E3C"/>
    <w:rsid w:val="00607E03"/>
    <w:rsid w:val="00615CC7"/>
    <w:rsid w:val="00615F1A"/>
    <w:rsid w:val="00616EA8"/>
    <w:rsid w:val="00630E9F"/>
    <w:rsid w:val="0066288F"/>
    <w:rsid w:val="00687441"/>
    <w:rsid w:val="006B7F0F"/>
    <w:rsid w:val="006C04A8"/>
    <w:rsid w:val="006C1235"/>
    <w:rsid w:val="006E0A82"/>
    <w:rsid w:val="006E670C"/>
    <w:rsid w:val="006E7767"/>
    <w:rsid w:val="006F2F87"/>
    <w:rsid w:val="007556A8"/>
    <w:rsid w:val="007602C2"/>
    <w:rsid w:val="0077064C"/>
    <w:rsid w:val="00790841"/>
    <w:rsid w:val="007A01ED"/>
    <w:rsid w:val="007A7888"/>
    <w:rsid w:val="007A7F44"/>
    <w:rsid w:val="007B53BD"/>
    <w:rsid w:val="007C01B1"/>
    <w:rsid w:val="007D5D2F"/>
    <w:rsid w:val="007E1CC3"/>
    <w:rsid w:val="007E567F"/>
    <w:rsid w:val="007E61AF"/>
    <w:rsid w:val="0081703F"/>
    <w:rsid w:val="0082480D"/>
    <w:rsid w:val="0082715F"/>
    <w:rsid w:val="00847C1E"/>
    <w:rsid w:val="00856E47"/>
    <w:rsid w:val="00860457"/>
    <w:rsid w:val="00890257"/>
    <w:rsid w:val="008A71C8"/>
    <w:rsid w:val="008B2D50"/>
    <w:rsid w:val="008B7855"/>
    <w:rsid w:val="008C1E42"/>
    <w:rsid w:val="00911578"/>
    <w:rsid w:val="00932B96"/>
    <w:rsid w:val="00943133"/>
    <w:rsid w:val="00961C73"/>
    <w:rsid w:val="009649EE"/>
    <w:rsid w:val="00974168"/>
    <w:rsid w:val="00990DEE"/>
    <w:rsid w:val="009923D0"/>
    <w:rsid w:val="009B02A7"/>
    <w:rsid w:val="009B3C57"/>
    <w:rsid w:val="009B6DE6"/>
    <w:rsid w:val="009C6F4B"/>
    <w:rsid w:val="009D21FD"/>
    <w:rsid w:val="009F1B2C"/>
    <w:rsid w:val="009F2EA5"/>
    <w:rsid w:val="00A04E0E"/>
    <w:rsid w:val="00A106E4"/>
    <w:rsid w:val="00A1566F"/>
    <w:rsid w:val="00A37F5F"/>
    <w:rsid w:val="00A52E54"/>
    <w:rsid w:val="00A700B9"/>
    <w:rsid w:val="00AA57F6"/>
    <w:rsid w:val="00AE0408"/>
    <w:rsid w:val="00B066D6"/>
    <w:rsid w:val="00B2354F"/>
    <w:rsid w:val="00B32589"/>
    <w:rsid w:val="00B363C2"/>
    <w:rsid w:val="00B62038"/>
    <w:rsid w:val="00B73626"/>
    <w:rsid w:val="00B832C8"/>
    <w:rsid w:val="00B842CE"/>
    <w:rsid w:val="00BA01CD"/>
    <w:rsid w:val="00BA623E"/>
    <w:rsid w:val="00BC40C4"/>
    <w:rsid w:val="00BD7EF1"/>
    <w:rsid w:val="00C01F28"/>
    <w:rsid w:val="00C14167"/>
    <w:rsid w:val="00C20FFF"/>
    <w:rsid w:val="00C32812"/>
    <w:rsid w:val="00C54FDC"/>
    <w:rsid w:val="00C619F6"/>
    <w:rsid w:val="00C620AD"/>
    <w:rsid w:val="00C63658"/>
    <w:rsid w:val="00C82CB9"/>
    <w:rsid w:val="00C845FF"/>
    <w:rsid w:val="00CA3CAF"/>
    <w:rsid w:val="00CA6F1A"/>
    <w:rsid w:val="00CE7A79"/>
    <w:rsid w:val="00D131E6"/>
    <w:rsid w:val="00D36B9A"/>
    <w:rsid w:val="00D44D44"/>
    <w:rsid w:val="00D54272"/>
    <w:rsid w:val="00D70A55"/>
    <w:rsid w:val="00D73F4B"/>
    <w:rsid w:val="00D80965"/>
    <w:rsid w:val="00D97B9E"/>
    <w:rsid w:val="00DA0D9D"/>
    <w:rsid w:val="00DF745F"/>
    <w:rsid w:val="00E104A1"/>
    <w:rsid w:val="00E1739C"/>
    <w:rsid w:val="00E20E33"/>
    <w:rsid w:val="00E32BCF"/>
    <w:rsid w:val="00E4028D"/>
    <w:rsid w:val="00E4566C"/>
    <w:rsid w:val="00E4789D"/>
    <w:rsid w:val="00E678B3"/>
    <w:rsid w:val="00E70287"/>
    <w:rsid w:val="00E9323D"/>
    <w:rsid w:val="00E97531"/>
    <w:rsid w:val="00EA5734"/>
    <w:rsid w:val="00ED6F89"/>
    <w:rsid w:val="00ED7CD4"/>
    <w:rsid w:val="00EF2CF7"/>
    <w:rsid w:val="00F00269"/>
    <w:rsid w:val="00F0107A"/>
    <w:rsid w:val="00F34F69"/>
    <w:rsid w:val="00F44C9A"/>
    <w:rsid w:val="00F50403"/>
    <w:rsid w:val="00F74AAB"/>
    <w:rsid w:val="00F864F3"/>
    <w:rsid w:val="00FB54EC"/>
    <w:rsid w:val="00FB61F2"/>
    <w:rsid w:val="00FE15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745F"/>
    <w:pPr>
      <w:spacing w:after="40" w:line="240" w:lineRule="auto"/>
      <w:jc w:val="both"/>
    </w:pPr>
    <w:rPr>
      <w:rFonts w:ascii="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qFormat/>
    <w:rsid w:val="005411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aliases w:val="Article"/>
    <w:link w:val="a5"/>
    <w:uiPriority w:val="1"/>
    <w:qFormat/>
    <w:rsid w:val="00541107"/>
    <w:pPr>
      <w:spacing w:after="0" w:line="240" w:lineRule="auto"/>
      <w:jc w:val="both"/>
    </w:pPr>
    <w:rPr>
      <w:rFonts w:ascii="Times New Roman" w:hAnsi="Times New Roman"/>
      <w:sz w:val="24"/>
    </w:rPr>
  </w:style>
  <w:style w:type="character" w:customStyle="1" w:styleId="a5">
    <w:name w:val="Без интервала Знак"/>
    <w:aliases w:val="Article Знак"/>
    <w:link w:val="a4"/>
    <w:uiPriority w:val="1"/>
    <w:qFormat/>
    <w:rsid w:val="00F00269"/>
    <w:rPr>
      <w:rFonts w:ascii="Times New Roman" w:hAnsi="Times New Roman"/>
      <w:sz w:val="24"/>
    </w:rPr>
  </w:style>
  <w:style w:type="paragraph" w:customStyle="1" w:styleId="1">
    <w:name w:val="Стиль1"/>
    <w:basedOn w:val="a"/>
    <w:link w:val="10"/>
    <w:qFormat/>
    <w:rsid w:val="00F44C9A"/>
    <w:pPr>
      <w:spacing w:after="0"/>
    </w:pPr>
    <w:rPr>
      <w:sz w:val="28"/>
    </w:rPr>
  </w:style>
  <w:style w:type="character" w:customStyle="1" w:styleId="10">
    <w:name w:val="Стиль1 Знак"/>
    <w:basedOn w:val="a0"/>
    <w:link w:val="1"/>
    <w:rsid w:val="00F44C9A"/>
    <w:rPr>
      <w:rFonts w:ascii="Times New Roman" w:hAnsi="Times New Roman"/>
      <w:sz w:val="28"/>
    </w:rPr>
  </w:style>
  <w:style w:type="table" w:customStyle="1" w:styleId="11">
    <w:name w:val="Сетка таблицы1"/>
    <w:basedOn w:val="a1"/>
    <w:next w:val="a3"/>
    <w:uiPriority w:val="59"/>
    <w:qFormat/>
    <w:rsid w:val="00193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B066D6"/>
    <w:pPr>
      <w:tabs>
        <w:tab w:val="center" w:pos="4677"/>
        <w:tab w:val="right" w:pos="9355"/>
      </w:tabs>
      <w:spacing w:after="0"/>
    </w:pPr>
  </w:style>
  <w:style w:type="character" w:customStyle="1" w:styleId="a7">
    <w:name w:val="Верхний колонтитул Знак"/>
    <w:basedOn w:val="a0"/>
    <w:link w:val="a6"/>
    <w:uiPriority w:val="99"/>
    <w:rsid w:val="00B066D6"/>
    <w:rPr>
      <w:rFonts w:ascii="Times New Roman" w:hAnsi="Times New Roman"/>
      <w:sz w:val="24"/>
    </w:rPr>
  </w:style>
  <w:style w:type="paragraph" w:styleId="a8">
    <w:name w:val="footer"/>
    <w:basedOn w:val="a"/>
    <w:link w:val="a9"/>
    <w:uiPriority w:val="99"/>
    <w:unhideWhenUsed/>
    <w:rsid w:val="00B066D6"/>
    <w:pPr>
      <w:tabs>
        <w:tab w:val="center" w:pos="4677"/>
        <w:tab w:val="right" w:pos="9355"/>
      </w:tabs>
      <w:spacing w:after="0"/>
    </w:pPr>
  </w:style>
  <w:style w:type="character" w:customStyle="1" w:styleId="a9">
    <w:name w:val="Нижний колонтитул Знак"/>
    <w:basedOn w:val="a0"/>
    <w:link w:val="a8"/>
    <w:uiPriority w:val="99"/>
    <w:rsid w:val="00B066D6"/>
    <w:rPr>
      <w:rFonts w:ascii="Times New Roman" w:hAnsi="Times New Roman"/>
      <w:sz w:val="24"/>
    </w:rPr>
  </w:style>
  <w:style w:type="paragraph" w:styleId="aa">
    <w:name w:val="Balloon Text"/>
    <w:basedOn w:val="a"/>
    <w:link w:val="ab"/>
    <w:uiPriority w:val="99"/>
    <w:semiHidden/>
    <w:unhideWhenUsed/>
    <w:rsid w:val="000B3302"/>
    <w:pPr>
      <w:spacing w:after="0"/>
    </w:pPr>
    <w:rPr>
      <w:rFonts w:ascii="Segoe UI" w:hAnsi="Segoe UI" w:cs="Segoe UI"/>
      <w:sz w:val="18"/>
      <w:szCs w:val="18"/>
    </w:rPr>
  </w:style>
  <w:style w:type="character" w:customStyle="1" w:styleId="ab">
    <w:name w:val="Текст выноски Знак"/>
    <w:basedOn w:val="a0"/>
    <w:link w:val="aa"/>
    <w:uiPriority w:val="99"/>
    <w:semiHidden/>
    <w:rsid w:val="000B3302"/>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745F"/>
    <w:pPr>
      <w:spacing w:after="40" w:line="240" w:lineRule="auto"/>
      <w:jc w:val="both"/>
    </w:pPr>
    <w:rPr>
      <w:rFonts w:ascii="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qFormat/>
    <w:rsid w:val="005411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aliases w:val="Article"/>
    <w:link w:val="a5"/>
    <w:uiPriority w:val="1"/>
    <w:qFormat/>
    <w:rsid w:val="00541107"/>
    <w:pPr>
      <w:spacing w:after="0" w:line="240" w:lineRule="auto"/>
      <w:jc w:val="both"/>
    </w:pPr>
    <w:rPr>
      <w:rFonts w:ascii="Times New Roman" w:hAnsi="Times New Roman"/>
      <w:sz w:val="24"/>
    </w:rPr>
  </w:style>
  <w:style w:type="character" w:customStyle="1" w:styleId="a5">
    <w:name w:val="Без интервала Знак"/>
    <w:aliases w:val="Article Знак"/>
    <w:link w:val="a4"/>
    <w:uiPriority w:val="1"/>
    <w:qFormat/>
    <w:rsid w:val="00F00269"/>
    <w:rPr>
      <w:rFonts w:ascii="Times New Roman" w:hAnsi="Times New Roman"/>
      <w:sz w:val="24"/>
    </w:rPr>
  </w:style>
  <w:style w:type="paragraph" w:customStyle="1" w:styleId="1">
    <w:name w:val="Стиль1"/>
    <w:basedOn w:val="a"/>
    <w:link w:val="10"/>
    <w:qFormat/>
    <w:rsid w:val="00F44C9A"/>
    <w:pPr>
      <w:spacing w:after="0"/>
    </w:pPr>
    <w:rPr>
      <w:sz w:val="28"/>
    </w:rPr>
  </w:style>
  <w:style w:type="character" w:customStyle="1" w:styleId="10">
    <w:name w:val="Стиль1 Знак"/>
    <w:basedOn w:val="a0"/>
    <w:link w:val="1"/>
    <w:rsid w:val="00F44C9A"/>
    <w:rPr>
      <w:rFonts w:ascii="Times New Roman" w:hAnsi="Times New Roman"/>
      <w:sz w:val="28"/>
    </w:rPr>
  </w:style>
  <w:style w:type="table" w:customStyle="1" w:styleId="11">
    <w:name w:val="Сетка таблицы1"/>
    <w:basedOn w:val="a1"/>
    <w:next w:val="a3"/>
    <w:uiPriority w:val="59"/>
    <w:qFormat/>
    <w:rsid w:val="00193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B066D6"/>
    <w:pPr>
      <w:tabs>
        <w:tab w:val="center" w:pos="4677"/>
        <w:tab w:val="right" w:pos="9355"/>
      </w:tabs>
      <w:spacing w:after="0"/>
    </w:pPr>
  </w:style>
  <w:style w:type="character" w:customStyle="1" w:styleId="a7">
    <w:name w:val="Верхний колонтитул Знак"/>
    <w:basedOn w:val="a0"/>
    <w:link w:val="a6"/>
    <w:uiPriority w:val="99"/>
    <w:rsid w:val="00B066D6"/>
    <w:rPr>
      <w:rFonts w:ascii="Times New Roman" w:hAnsi="Times New Roman"/>
      <w:sz w:val="24"/>
    </w:rPr>
  </w:style>
  <w:style w:type="paragraph" w:styleId="a8">
    <w:name w:val="footer"/>
    <w:basedOn w:val="a"/>
    <w:link w:val="a9"/>
    <w:uiPriority w:val="99"/>
    <w:unhideWhenUsed/>
    <w:rsid w:val="00B066D6"/>
    <w:pPr>
      <w:tabs>
        <w:tab w:val="center" w:pos="4677"/>
        <w:tab w:val="right" w:pos="9355"/>
      </w:tabs>
      <w:spacing w:after="0"/>
    </w:pPr>
  </w:style>
  <w:style w:type="character" w:customStyle="1" w:styleId="a9">
    <w:name w:val="Нижний колонтитул Знак"/>
    <w:basedOn w:val="a0"/>
    <w:link w:val="a8"/>
    <w:uiPriority w:val="99"/>
    <w:rsid w:val="00B066D6"/>
    <w:rPr>
      <w:rFonts w:ascii="Times New Roman" w:hAnsi="Times New Roman"/>
      <w:sz w:val="24"/>
    </w:rPr>
  </w:style>
  <w:style w:type="paragraph" w:styleId="aa">
    <w:name w:val="Balloon Text"/>
    <w:basedOn w:val="a"/>
    <w:link w:val="ab"/>
    <w:uiPriority w:val="99"/>
    <w:semiHidden/>
    <w:unhideWhenUsed/>
    <w:rsid w:val="000B3302"/>
    <w:pPr>
      <w:spacing w:after="0"/>
    </w:pPr>
    <w:rPr>
      <w:rFonts w:ascii="Segoe UI" w:hAnsi="Segoe UI" w:cs="Segoe UI"/>
      <w:sz w:val="18"/>
      <w:szCs w:val="18"/>
    </w:rPr>
  </w:style>
  <w:style w:type="character" w:customStyle="1" w:styleId="ab">
    <w:name w:val="Текст выноски Знак"/>
    <w:basedOn w:val="a0"/>
    <w:link w:val="aa"/>
    <w:uiPriority w:val="99"/>
    <w:semiHidden/>
    <w:rsid w:val="000B330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14617">
      <w:bodyDiv w:val="1"/>
      <w:marLeft w:val="0"/>
      <w:marRight w:val="0"/>
      <w:marTop w:val="0"/>
      <w:marBottom w:val="0"/>
      <w:divBdr>
        <w:top w:val="none" w:sz="0" w:space="0" w:color="auto"/>
        <w:left w:val="none" w:sz="0" w:space="0" w:color="auto"/>
        <w:bottom w:val="none" w:sz="0" w:space="0" w:color="auto"/>
        <w:right w:val="none" w:sz="0" w:space="0" w:color="auto"/>
      </w:divBdr>
    </w:div>
    <w:div w:id="523439742">
      <w:bodyDiv w:val="1"/>
      <w:marLeft w:val="0"/>
      <w:marRight w:val="0"/>
      <w:marTop w:val="0"/>
      <w:marBottom w:val="0"/>
      <w:divBdr>
        <w:top w:val="none" w:sz="0" w:space="0" w:color="auto"/>
        <w:left w:val="none" w:sz="0" w:space="0" w:color="auto"/>
        <w:bottom w:val="none" w:sz="0" w:space="0" w:color="auto"/>
        <w:right w:val="none" w:sz="0" w:space="0" w:color="auto"/>
      </w:divBdr>
    </w:div>
    <w:div w:id="745495258">
      <w:bodyDiv w:val="1"/>
      <w:marLeft w:val="0"/>
      <w:marRight w:val="0"/>
      <w:marTop w:val="0"/>
      <w:marBottom w:val="0"/>
      <w:divBdr>
        <w:top w:val="none" w:sz="0" w:space="0" w:color="auto"/>
        <w:left w:val="none" w:sz="0" w:space="0" w:color="auto"/>
        <w:bottom w:val="none" w:sz="0" w:space="0" w:color="auto"/>
        <w:right w:val="none" w:sz="0" w:space="0" w:color="auto"/>
      </w:divBdr>
    </w:div>
    <w:div w:id="1091925828">
      <w:bodyDiv w:val="1"/>
      <w:marLeft w:val="0"/>
      <w:marRight w:val="0"/>
      <w:marTop w:val="0"/>
      <w:marBottom w:val="0"/>
      <w:divBdr>
        <w:top w:val="none" w:sz="0" w:space="0" w:color="auto"/>
        <w:left w:val="none" w:sz="0" w:space="0" w:color="auto"/>
        <w:bottom w:val="none" w:sz="0" w:space="0" w:color="auto"/>
        <w:right w:val="none" w:sz="0" w:space="0" w:color="auto"/>
      </w:divBdr>
    </w:div>
    <w:div w:id="1418091374">
      <w:bodyDiv w:val="1"/>
      <w:marLeft w:val="0"/>
      <w:marRight w:val="0"/>
      <w:marTop w:val="0"/>
      <w:marBottom w:val="0"/>
      <w:divBdr>
        <w:top w:val="none" w:sz="0" w:space="0" w:color="auto"/>
        <w:left w:val="none" w:sz="0" w:space="0" w:color="auto"/>
        <w:bottom w:val="none" w:sz="0" w:space="0" w:color="auto"/>
        <w:right w:val="none" w:sz="0" w:space="0" w:color="auto"/>
      </w:divBdr>
    </w:div>
    <w:div w:id="1507673150">
      <w:bodyDiv w:val="1"/>
      <w:marLeft w:val="0"/>
      <w:marRight w:val="0"/>
      <w:marTop w:val="0"/>
      <w:marBottom w:val="0"/>
      <w:divBdr>
        <w:top w:val="none" w:sz="0" w:space="0" w:color="auto"/>
        <w:left w:val="none" w:sz="0" w:space="0" w:color="auto"/>
        <w:bottom w:val="none" w:sz="0" w:space="0" w:color="auto"/>
        <w:right w:val="none" w:sz="0" w:space="0" w:color="auto"/>
      </w:divBdr>
    </w:div>
    <w:div w:id="2057044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tiff"/><Relationship Id="rId117" Type="http://schemas.openxmlformats.org/officeDocument/2006/relationships/image" Target="media/image111.png"/><Relationship Id="rId21" Type="http://schemas.openxmlformats.org/officeDocument/2006/relationships/image" Target="media/image15.tiff"/><Relationship Id="rId42" Type="http://schemas.openxmlformats.org/officeDocument/2006/relationships/image" Target="media/image36.tiff"/><Relationship Id="rId47" Type="http://schemas.openxmlformats.org/officeDocument/2006/relationships/image" Target="media/image41.tiff"/><Relationship Id="rId63" Type="http://schemas.openxmlformats.org/officeDocument/2006/relationships/image" Target="media/image57.png"/><Relationship Id="rId68" Type="http://schemas.openxmlformats.org/officeDocument/2006/relationships/image" Target="media/image62.tiff"/><Relationship Id="rId84" Type="http://schemas.openxmlformats.org/officeDocument/2006/relationships/image" Target="media/image78.tiff"/><Relationship Id="rId89" Type="http://schemas.openxmlformats.org/officeDocument/2006/relationships/image" Target="media/image83.tiff"/><Relationship Id="rId112" Type="http://schemas.openxmlformats.org/officeDocument/2006/relationships/image" Target="media/image106.tiff"/><Relationship Id="rId16" Type="http://schemas.openxmlformats.org/officeDocument/2006/relationships/image" Target="media/image10.tiff"/><Relationship Id="rId107" Type="http://schemas.openxmlformats.org/officeDocument/2006/relationships/image" Target="media/image101.tiff"/><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png"/><Relationship Id="rId37" Type="http://schemas.openxmlformats.org/officeDocument/2006/relationships/image" Target="media/image31.tiff"/><Relationship Id="rId40" Type="http://schemas.openxmlformats.org/officeDocument/2006/relationships/image" Target="media/image34.tiff"/><Relationship Id="rId45" Type="http://schemas.openxmlformats.org/officeDocument/2006/relationships/image" Target="media/image39.tiff"/><Relationship Id="rId53" Type="http://schemas.openxmlformats.org/officeDocument/2006/relationships/image" Target="media/image47.tiff"/><Relationship Id="rId58" Type="http://schemas.openxmlformats.org/officeDocument/2006/relationships/image" Target="media/image52.tiff"/><Relationship Id="rId66" Type="http://schemas.openxmlformats.org/officeDocument/2006/relationships/image" Target="media/image60.tiff"/><Relationship Id="rId74" Type="http://schemas.openxmlformats.org/officeDocument/2006/relationships/image" Target="media/image68.tiff"/><Relationship Id="rId79" Type="http://schemas.openxmlformats.org/officeDocument/2006/relationships/image" Target="media/image73.tiff"/><Relationship Id="rId87" Type="http://schemas.openxmlformats.org/officeDocument/2006/relationships/image" Target="media/image81.tiff"/><Relationship Id="rId102" Type="http://schemas.openxmlformats.org/officeDocument/2006/relationships/image" Target="media/image96.tiff"/><Relationship Id="rId110" Type="http://schemas.openxmlformats.org/officeDocument/2006/relationships/image" Target="media/image104.tiff"/><Relationship Id="rId115" Type="http://schemas.openxmlformats.org/officeDocument/2006/relationships/image" Target="media/image109.tiff"/><Relationship Id="rId5" Type="http://schemas.openxmlformats.org/officeDocument/2006/relationships/footnotes" Target="footnotes.xml"/><Relationship Id="rId61" Type="http://schemas.openxmlformats.org/officeDocument/2006/relationships/image" Target="media/image55.tiff"/><Relationship Id="rId82" Type="http://schemas.openxmlformats.org/officeDocument/2006/relationships/image" Target="media/image76.jpeg"/><Relationship Id="rId90" Type="http://schemas.openxmlformats.org/officeDocument/2006/relationships/image" Target="media/image84.tiff"/><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png"/><Relationship Id="rId35" Type="http://schemas.openxmlformats.org/officeDocument/2006/relationships/image" Target="media/image29.tiff"/><Relationship Id="rId43" Type="http://schemas.openxmlformats.org/officeDocument/2006/relationships/image" Target="media/image37.tiff"/><Relationship Id="rId48" Type="http://schemas.openxmlformats.org/officeDocument/2006/relationships/image" Target="media/image42.tiff"/><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tiff"/><Relationship Id="rId77" Type="http://schemas.openxmlformats.org/officeDocument/2006/relationships/image" Target="media/image71.tiff"/><Relationship Id="rId100" Type="http://schemas.openxmlformats.org/officeDocument/2006/relationships/image" Target="media/image94.tiff"/><Relationship Id="rId105" Type="http://schemas.openxmlformats.org/officeDocument/2006/relationships/image" Target="media/image99.tiff"/><Relationship Id="rId113" Type="http://schemas.openxmlformats.org/officeDocument/2006/relationships/image" Target="media/image107.tiff"/><Relationship Id="rId118" Type="http://schemas.openxmlformats.org/officeDocument/2006/relationships/footer" Target="footer1.xml"/><Relationship Id="rId8" Type="http://schemas.openxmlformats.org/officeDocument/2006/relationships/image" Target="media/image2.tiff"/><Relationship Id="rId51" Type="http://schemas.openxmlformats.org/officeDocument/2006/relationships/image" Target="media/image45.tiff"/><Relationship Id="rId72" Type="http://schemas.openxmlformats.org/officeDocument/2006/relationships/image" Target="media/image66.tiff"/><Relationship Id="rId80" Type="http://schemas.openxmlformats.org/officeDocument/2006/relationships/image" Target="media/image74.jpeg"/><Relationship Id="rId85" Type="http://schemas.openxmlformats.org/officeDocument/2006/relationships/image" Target="media/image79.tiff"/><Relationship Id="rId93" Type="http://schemas.openxmlformats.org/officeDocument/2006/relationships/image" Target="media/image87.tiff"/><Relationship Id="rId98" Type="http://schemas.openxmlformats.org/officeDocument/2006/relationships/image" Target="media/image92.tiff"/><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png"/><Relationship Id="rId25" Type="http://schemas.openxmlformats.org/officeDocument/2006/relationships/image" Target="media/image19.tiff"/><Relationship Id="rId33" Type="http://schemas.openxmlformats.org/officeDocument/2006/relationships/image" Target="media/image27.png"/><Relationship Id="rId38" Type="http://schemas.openxmlformats.org/officeDocument/2006/relationships/image" Target="media/image32.tiff"/><Relationship Id="rId46" Type="http://schemas.openxmlformats.org/officeDocument/2006/relationships/image" Target="media/image40.tiff"/><Relationship Id="rId59" Type="http://schemas.openxmlformats.org/officeDocument/2006/relationships/image" Target="media/image53.tiff"/><Relationship Id="rId67" Type="http://schemas.openxmlformats.org/officeDocument/2006/relationships/image" Target="media/image61.tiff"/><Relationship Id="rId103" Type="http://schemas.openxmlformats.org/officeDocument/2006/relationships/image" Target="media/image97.tiff"/><Relationship Id="rId108" Type="http://schemas.openxmlformats.org/officeDocument/2006/relationships/image" Target="media/image102.tiff"/><Relationship Id="rId116" Type="http://schemas.openxmlformats.org/officeDocument/2006/relationships/image" Target="media/image110.tiff"/><Relationship Id="rId20" Type="http://schemas.openxmlformats.org/officeDocument/2006/relationships/image" Target="media/image14.png"/><Relationship Id="rId41" Type="http://schemas.openxmlformats.org/officeDocument/2006/relationships/image" Target="media/image35.tiff"/><Relationship Id="rId54" Type="http://schemas.openxmlformats.org/officeDocument/2006/relationships/image" Target="media/image48.tiff"/><Relationship Id="rId62" Type="http://schemas.openxmlformats.org/officeDocument/2006/relationships/image" Target="media/image56.tiff"/><Relationship Id="rId70" Type="http://schemas.openxmlformats.org/officeDocument/2006/relationships/image" Target="media/image64.tiff"/><Relationship Id="rId75" Type="http://schemas.openxmlformats.org/officeDocument/2006/relationships/image" Target="media/image69.tiff"/><Relationship Id="rId83" Type="http://schemas.openxmlformats.org/officeDocument/2006/relationships/image" Target="media/image77.tiff"/><Relationship Id="rId88" Type="http://schemas.openxmlformats.org/officeDocument/2006/relationships/image" Target="media/image82.tiff"/><Relationship Id="rId91" Type="http://schemas.openxmlformats.org/officeDocument/2006/relationships/image" Target="media/image85.tiff"/><Relationship Id="rId96" Type="http://schemas.openxmlformats.org/officeDocument/2006/relationships/image" Target="media/image90.tiff"/><Relationship Id="rId111" Type="http://schemas.openxmlformats.org/officeDocument/2006/relationships/image" Target="media/image105.tiff"/><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tiff"/><Relationship Id="rId49" Type="http://schemas.openxmlformats.org/officeDocument/2006/relationships/image" Target="media/image43.tiff"/><Relationship Id="rId57" Type="http://schemas.openxmlformats.org/officeDocument/2006/relationships/image" Target="media/image51.tiff"/><Relationship Id="rId106" Type="http://schemas.openxmlformats.org/officeDocument/2006/relationships/image" Target="media/image100.tiff"/><Relationship Id="rId114" Type="http://schemas.openxmlformats.org/officeDocument/2006/relationships/image" Target="media/image108.tiff"/><Relationship Id="rId119" Type="http://schemas.openxmlformats.org/officeDocument/2006/relationships/fontTable" Target="fontTable.xml"/><Relationship Id="rId10" Type="http://schemas.openxmlformats.org/officeDocument/2006/relationships/image" Target="media/image4.tiff"/><Relationship Id="rId31" Type="http://schemas.openxmlformats.org/officeDocument/2006/relationships/image" Target="media/image25.png"/><Relationship Id="rId44" Type="http://schemas.openxmlformats.org/officeDocument/2006/relationships/image" Target="media/image38.tiff"/><Relationship Id="rId52" Type="http://schemas.openxmlformats.org/officeDocument/2006/relationships/image" Target="media/image46.tiff"/><Relationship Id="rId60" Type="http://schemas.openxmlformats.org/officeDocument/2006/relationships/image" Target="media/image54.tiff"/><Relationship Id="rId65" Type="http://schemas.openxmlformats.org/officeDocument/2006/relationships/image" Target="media/image59.png"/><Relationship Id="rId73" Type="http://schemas.openxmlformats.org/officeDocument/2006/relationships/image" Target="media/image67.tiff"/><Relationship Id="rId78" Type="http://schemas.openxmlformats.org/officeDocument/2006/relationships/image" Target="media/image72.tiff"/><Relationship Id="rId81" Type="http://schemas.openxmlformats.org/officeDocument/2006/relationships/image" Target="media/image75.jpeg"/><Relationship Id="rId86" Type="http://schemas.openxmlformats.org/officeDocument/2006/relationships/image" Target="media/image80.tiff"/><Relationship Id="rId94" Type="http://schemas.openxmlformats.org/officeDocument/2006/relationships/image" Target="media/image88.tiff"/><Relationship Id="rId99" Type="http://schemas.openxmlformats.org/officeDocument/2006/relationships/image" Target="media/image93.tiff"/><Relationship Id="rId101" Type="http://schemas.openxmlformats.org/officeDocument/2006/relationships/image" Target="media/image95.tiff"/><Relationship Id="rId4" Type="http://schemas.openxmlformats.org/officeDocument/2006/relationships/webSettings" Target="webSettings.xml"/><Relationship Id="rId9" Type="http://schemas.openxmlformats.org/officeDocument/2006/relationships/image" Target="media/image3.tiff"/><Relationship Id="rId13" Type="http://schemas.openxmlformats.org/officeDocument/2006/relationships/image" Target="media/image7.tiff"/><Relationship Id="rId18" Type="http://schemas.openxmlformats.org/officeDocument/2006/relationships/image" Target="media/image12.png"/><Relationship Id="rId39" Type="http://schemas.openxmlformats.org/officeDocument/2006/relationships/image" Target="media/image33.tiff"/><Relationship Id="rId109" Type="http://schemas.openxmlformats.org/officeDocument/2006/relationships/image" Target="media/image103.tiff"/><Relationship Id="rId34" Type="http://schemas.openxmlformats.org/officeDocument/2006/relationships/image" Target="media/image28.tiff"/><Relationship Id="rId50" Type="http://schemas.openxmlformats.org/officeDocument/2006/relationships/image" Target="media/image44.png"/><Relationship Id="rId55" Type="http://schemas.openxmlformats.org/officeDocument/2006/relationships/image" Target="media/image49.tiff"/><Relationship Id="rId76" Type="http://schemas.openxmlformats.org/officeDocument/2006/relationships/image" Target="media/image70.tiff"/><Relationship Id="rId97" Type="http://schemas.openxmlformats.org/officeDocument/2006/relationships/image" Target="media/image91.tiff"/><Relationship Id="rId104" Type="http://schemas.openxmlformats.org/officeDocument/2006/relationships/image" Target="media/image98.png"/><Relationship Id="rId120" Type="http://schemas.openxmlformats.org/officeDocument/2006/relationships/theme" Target="theme/theme1.xml"/><Relationship Id="rId7" Type="http://schemas.openxmlformats.org/officeDocument/2006/relationships/image" Target="media/image1.tiff"/><Relationship Id="rId71" Type="http://schemas.openxmlformats.org/officeDocument/2006/relationships/image" Target="media/image65.tiff"/><Relationship Id="rId92" Type="http://schemas.openxmlformats.org/officeDocument/2006/relationships/image" Target="media/image86.tiff"/><Relationship Id="rId2" Type="http://schemas.microsoft.com/office/2007/relationships/stylesWithEffects" Target="stylesWithEffects.xml"/><Relationship Id="rId29" Type="http://schemas.openxmlformats.org/officeDocument/2006/relationships/image" Target="media/image23.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188</Pages>
  <Words>46291</Words>
  <Characters>263861</Characters>
  <Application>Microsoft Office Word</Application>
  <DocSecurity>0</DocSecurity>
  <Lines>2198</Lines>
  <Paragraphs>619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309533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Алексей Говоров</cp:lastModifiedBy>
  <cp:revision>2</cp:revision>
  <cp:lastPrinted>2025-04-28T06:55:00Z</cp:lastPrinted>
  <dcterms:created xsi:type="dcterms:W3CDTF">2025-07-01T10:24:00Z</dcterms:created>
  <dcterms:modified xsi:type="dcterms:W3CDTF">2025-07-01T10:24:00Z</dcterms:modified>
</cp:coreProperties>
</file>