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НАО «Жетысуский университет имени Ильяса Жансугурова»</w:t>
      </w:r>
    </w:p>
    <w:p w:rsidR="007106E9" w:rsidRPr="00382DF1" w:rsidRDefault="007106E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 xml:space="preserve">УДК </w:t>
      </w:r>
      <w:r w:rsidR="001615F6" w:rsidRPr="001615F6">
        <w:rPr>
          <w:rFonts w:ascii="Times New Roman" w:hAnsi="Times New Roman" w:cs="Times New Roman"/>
          <w:sz w:val="28"/>
          <w:szCs w:val="28"/>
        </w:rPr>
        <w:t>372.851</w:t>
      </w:r>
      <w:r w:rsidRPr="001615F6">
        <w:rPr>
          <w:rFonts w:ascii="Times New Roman" w:hAnsi="Times New Roman" w:cs="Times New Roman"/>
          <w:sz w:val="28"/>
          <w:szCs w:val="28"/>
        </w:rPr>
        <w:t xml:space="preserve">                                                                          </w:t>
      </w:r>
      <w:r w:rsidRPr="00382DF1">
        <w:rPr>
          <w:rFonts w:ascii="Times New Roman" w:hAnsi="Times New Roman" w:cs="Times New Roman"/>
          <w:sz w:val="28"/>
          <w:szCs w:val="28"/>
        </w:rPr>
        <w:t>На правах рукописи</w:t>
      </w:r>
    </w:p>
    <w:p w:rsidR="007106E9" w:rsidRPr="00382DF1" w:rsidRDefault="007106E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b/>
          <w:sz w:val="28"/>
          <w:szCs w:val="28"/>
        </w:rPr>
      </w:pPr>
    </w:p>
    <w:p w:rsidR="007106E9" w:rsidRPr="00382DF1" w:rsidRDefault="007106E9" w:rsidP="007106E9">
      <w:pPr>
        <w:spacing w:after="0" w:line="240" w:lineRule="auto"/>
        <w:jc w:val="center"/>
        <w:rPr>
          <w:rFonts w:ascii="Times New Roman" w:hAnsi="Times New Roman" w:cs="Times New Roman"/>
          <w:b/>
          <w:sz w:val="28"/>
          <w:szCs w:val="28"/>
        </w:rPr>
      </w:pPr>
      <w:r w:rsidRPr="00382DF1">
        <w:rPr>
          <w:rFonts w:ascii="Times New Roman" w:hAnsi="Times New Roman" w:cs="Times New Roman"/>
          <w:b/>
          <w:sz w:val="28"/>
          <w:szCs w:val="28"/>
        </w:rPr>
        <w:t>АХМЕТОВ ЖАЛГАС УНДРУСУЛЫ</w:t>
      </w:r>
    </w:p>
    <w:p w:rsidR="00655659" w:rsidRPr="00382DF1" w:rsidRDefault="00655659" w:rsidP="007106E9">
      <w:pPr>
        <w:spacing w:after="0" w:line="240" w:lineRule="auto"/>
        <w:jc w:val="center"/>
        <w:rPr>
          <w:rFonts w:ascii="Times New Roman" w:hAnsi="Times New Roman" w:cs="Times New Roman"/>
          <w:b/>
          <w:color w:val="000000" w:themeColor="text1"/>
          <w:sz w:val="28"/>
          <w:szCs w:val="28"/>
          <w:lang w:val="kk-KZ"/>
        </w:rPr>
      </w:pPr>
    </w:p>
    <w:p w:rsidR="00655659" w:rsidRPr="00382DF1" w:rsidRDefault="00655659" w:rsidP="007106E9">
      <w:pPr>
        <w:spacing w:after="0" w:line="240" w:lineRule="auto"/>
        <w:jc w:val="center"/>
        <w:rPr>
          <w:rFonts w:ascii="Times New Roman" w:hAnsi="Times New Roman" w:cs="Times New Roman"/>
          <w:b/>
          <w:color w:val="000000" w:themeColor="text1"/>
          <w:sz w:val="28"/>
          <w:szCs w:val="28"/>
          <w:lang w:val="kk-KZ"/>
        </w:rPr>
      </w:pPr>
    </w:p>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b/>
          <w:color w:val="000000" w:themeColor="text1"/>
          <w:sz w:val="28"/>
          <w:szCs w:val="28"/>
          <w:lang w:val="kk-KZ"/>
        </w:rPr>
        <w:t>Методология формирования профессиональной направленности студентов через систему стохастико-игровых упражнений</w:t>
      </w:r>
    </w:p>
    <w:p w:rsidR="007106E9" w:rsidRPr="00382DF1" w:rsidRDefault="007106E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6D010900 – Математика</w:t>
      </w:r>
    </w:p>
    <w:p w:rsidR="007106E9" w:rsidRPr="00382DF1" w:rsidRDefault="007106E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Диссертация</w:t>
      </w:r>
    </w:p>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на соискание степени доктора философии (PhD)</w:t>
      </w: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7106E9" w:rsidRPr="00382DF1" w:rsidRDefault="007106E9" w:rsidP="00C53AF0">
      <w:pPr>
        <w:spacing w:after="0" w:line="240" w:lineRule="auto"/>
        <w:ind w:left="5103"/>
        <w:rPr>
          <w:rFonts w:ascii="Times New Roman" w:hAnsi="Times New Roman" w:cs="Times New Roman"/>
          <w:sz w:val="28"/>
          <w:szCs w:val="28"/>
        </w:rPr>
      </w:pPr>
      <w:r w:rsidRPr="00382DF1">
        <w:rPr>
          <w:rFonts w:ascii="Times New Roman" w:hAnsi="Times New Roman" w:cs="Times New Roman"/>
          <w:sz w:val="28"/>
          <w:szCs w:val="28"/>
        </w:rPr>
        <w:t>Отечественный научный консультант</w:t>
      </w:r>
    </w:p>
    <w:p w:rsidR="007106E9" w:rsidRPr="00382DF1" w:rsidRDefault="007106E9" w:rsidP="00C53AF0">
      <w:pPr>
        <w:spacing w:after="0" w:line="240" w:lineRule="auto"/>
        <w:ind w:left="5103"/>
        <w:rPr>
          <w:rFonts w:ascii="Times New Roman" w:hAnsi="Times New Roman" w:cs="Times New Roman"/>
          <w:sz w:val="28"/>
          <w:szCs w:val="28"/>
        </w:rPr>
      </w:pPr>
      <w:r w:rsidRPr="00382DF1">
        <w:rPr>
          <w:rFonts w:ascii="Times New Roman" w:hAnsi="Times New Roman" w:cs="Times New Roman"/>
          <w:sz w:val="28"/>
          <w:szCs w:val="28"/>
        </w:rPr>
        <w:t>доктор педагогических наук,</w:t>
      </w:r>
    </w:p>
    <w:p w:rsidR="007106E9" w:rsidRPr="00382DF1" w:rsidRDefault="007106E9" w:rsidP="00C53AF0">
      <w:pPr>
        <w:spacing w:after="0" w:line="240" w:lineRule="auto"/>
        <w:ind w:left="5103"/>
        <w:rPr>
          <w:rFonts w:ascii="Times New Roman" w:hAnsi="Times New Roman" w:cs="Times New Roman"/>
          <w:sz w:val="28"/>
          <w:szCs w:val="28"/>
        </w:rPr>
      </w:pPr>
      <w:r w:rsidRPr="00382DF1">
        <w:rPr>
          <w:rFonts w:ascii="Times New Roman" w:hAnsi="Times New Roman" w:cs="Times New Roman"/>
          <w:sz w:val="28"/>
          <w:szCs w:val="28"/>
        </w:rPr>
        <w:t>профессор С.М.Сеитова</w:t>
      </w:r>
    </w:p>
    <w:p w:rsidR="00655659" w:rsidRPr="00382DF1" w:rsidRDefault="00655659" w:rsidP="00C53AF0">
      <w:pPr>
        <w:spacing w:after="0" w:line="240" w:lineRule="auto"/>
        <w:ind w:left="5103"/>
        <w:rPr>
          <w:rFonts w:ascii="Times New Roman" w:hAnsi="Times New Roman" w:cs="Times New Roman"/>
          <w:sz w:val="28"/>
          <w:szCs w:val="28"/>
        </w:rPr>
      </w:pPr>
    </w:p>
    <w:p w:rsidR="00655659" w:rsidRPr="00382DF1" w:rsidRDefault="00655659" w:rsidP="00C53AF0">
      <w:pPr>
        <w:spacing w:after="0" w:line="240" w:lineRule="auto"/>
        <w:ind w:left="5103"/>
        <w:rPr>
          <w:rFonts w:ascii="Times New Roman" w:hAnsi="Times New Roman" w:cs="Times New Roman"/>
          <w:sz w:val="28"/>
          <w:szCs w:val="28"/>
        </w:rPr>
      </w:pPr>
    </w:p>
    <w:p w:rsidR="007106E9" w:rsidRPr="00382DF1" w:rsidRDefault="007106E9" w:rsidP="00C53AF0">
      <w:pPr>
        <w:spacing w:after="0" w:line="240" w:lineRule="auto"/>
        <w:ind w:left="5103"/>
        <w:rPr>
          <w:rFonts w:ascii="Times New Roman" w:hAnsi="Times New Roman" w:cs="Times New Roman"/>
          <w:sz w:val="28"/>
          <w:szCs w:val="28"/>
        </w:rPr>
      </w:pPr>
      <w:r w:rsidRPr="00382DF1">
        <w:rPr>
          <w:rFonts w:ascii="Times New Roman" w:hAnsi="Times New Roman" w:cs="Times New Roman"/>
          <w:sz w:val="28"/>
          <w:szCs w:val="28"/>
        </w:rPr>
        <w:t>Зарубежный научный консультант</w:t>
      </w:r>
    </w:p>
    <w:p w:rsidR="007106E9" w:rsidRPr="00382DF1" w:rsidRDefault="007106E9" w:rsidP="00C53AF0">
      <w:pPr>
        <w:spacing w:after="0" w:line="240" w:lineRule="auto"/>
        <w:ind w:left="5103"/>
        <w:rPr>
          <w:rFonts w:ascii="Times New Roman" w:hAnsi="Times New Roman" w:cs="Times New Roman"/>
          <w:sz w:val="28"/>
          <w:szCs w:val="28"/>
        </w:rPr>
      </w:pPr>
      <w:r w:rsidRPr="00382DF1">
        <w:rPr>
          <w:rFonts w:ascii="Times New Roman" w:hAnsi="Times New Roman" w:cs="Times New Roman"/>
          <w:sz w:val="28"/>
          <w:szCs w:val="28"/>
        </w:rPr>
        <w:t xml:space="preserve">доктор </w:t>
      </w:r>
      <w:r w:rsidR="00655659" w:rsidRPr="00382DF1">
        <w:rPr>
          <w:rFonts w:ascii="Times New Roman" w:hAnsi="Times New Roman" w:cs="Times New Roman"/>
          <w:sz w:val="28"/>
          <w:szCs w:val="28"/>
        </w:rPr>
        <w:t>педагогических</w:t>
      </w:r>
      <w:r w:rsidRPr="00382DF1">
        <w:rPr>
          <w:rFonts w:ascii="Times New Roman" w:hAnsi="Times New Roman" w:cs="Times New Roman"/>
          <w:sz w:val="28"/>
          <w:szCs w:val="28"/>
        </w:rPr>
        <w:t xml:space="preserve"> наук,</w:t>
      </w:r>
    </w:p>
    <w:p w:rsidR="007106E9" w:rsidRPr="00382DF1" w:rsidRDefault="007106E9" w:rsidP="00C53AF0">
      <w:pPr>
        <w:spacing w:after="0" w:line="240" w:lineRule="auto"/>
        <w:ind w:left="5103"/>
        <w:rPr>
          <w:rFonts w:ascii="Times New Roman" w:hAnsi="Times New Roman" w:cs="Times New Roman"/>
          <w:sz w:val="28"/>
          <w:szCs w:val="28"/>
        </w:rPr>
      </w:pPr>
      <w:r w:rsidRPr="00382DF1">
        <w:rPr>
          <w:rFonts w:ascii="Times New Roman" w:hAnsi="Times New Roman" w:cs="Times New Roman"/>
          <w:sz w:val="28"/>
          <w:szCs w:val="28"/>
        </w:rPr>
        <w:t xml:space="preserve">профессор </w:t>
      </w:r>
      <w:r w:rsidR="00655659" w:rsidRPr="00382DF1">
        <w:rPr>
          <w:rFonts w:ascii="Times New Roman" w:hAnsi="Times New Roman" w:cs="Times New Roman"/>
          <w:sz w:val="28"/>
          <w:szCs w:val="28"/>
        </w:rPr>
        <w:t>М.Тажиев</w:t>
      </w: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655659" w:rsidRPr="00382DF1" w:rsidRDefault="00655659" w:rsidP="007106E9">
      <w:pPr>
        <w:spacing w:after="0" w:line="240" w:lineRule="auto"/>
        <w:jc w:val="center"/>
        <w:rPr>
          <w:rFonts w:ascii="Times New Roman" w:hAnsi="Times New Roman" w:cs="Times New Roman"/>
          <w:sz w:val="28"/>
          <w:szCs w:val="28"/>
        </w:rPr>
      </w:pPr>
    </w:p>
    <w:p w:rsidR="007106E9" w:rsidRPr="00382DF1" w:rsidRDefault="007106E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Республика Казахстан</w:t>
      </w:r>
    </w:p>
    <w:p w:rsidR="00725F22" w:rsidRPr="00382DF1" w:rsidRDefault="00655659" w:rsidP="007106E9">
      <w:pPr>
        <w:spacing w:after="0" w:line="240" w:lineRule="auto"/>
        <w:jc w:val="center"/>
        <w:rPr>
          <w:rFonts w:ascii="Times New Roman" w:hAnsi="Times New Roman" w:cs="Times New Roman"/>
          <w:sz w:val="28"/>
          <w:szCs w:val="28"/>
        </w:rPr>
      </w:pPr>
      <w:r w:rsidRPr="00382DF1">
        <w:rPr>
          <w:rFonts w:ascii="Times New Roman" w:hAnsi="Times New Roman" w:cs="Times New Roman"/>
          <w:sz w:val="28"/>
          <w:szCs w:val="28"/>
        </w:rPr>
        <w:t>Талдыкорган, 2025</w:t>
      </w:r>
    </w:p>
    <w:p w:rsidR="00C53AF0" w:rsidRPr="00382DF1" w:rsidRDefault="00C53AF0" w:rsidP="007106E9">
      <w:pPr>
        <w:spacing w:after="0" w:line="240" w:lineRule="auto"/>
        <w:jc w:val="center"/>
        <w:rPr>
          <w:rFonts w:ascii="Times New Roman" w:hAnsi="Times New Roman" w:cs="Times New Roman"/>
          <w:b/>
          <w:sz w:val="28"/>
          <w:szCs w:val="28"/>
        </w:rPr>
      </w:pPr>
      <w:r w:rsidRPr="00382DF1">
        <w:rPr>
          <w:rFonts w:ascii="Times New Roman" w:hAnsi="Times New Roman" w:cs="Times New Roman"/>
          <w:b/>
          <w:sz w:val="28"/>
          <w:szCs w:val="28"/>
        </w:rPr>
        <w:lastRenderedPageBreak/>
        <w:t>СОДЕРЖАНИЕ</w:t>
      </w:r>
    </w:p>
    <w:p w:rsidR="00C53AF0" w:rsidRPr="00382DF1" w:rsidRDefault="00C53AF0" w:rsidP="007106E9">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067"/>
        <w:gridCol w:w="561"/>
      </w:tblGrid>
      <w:tr w:rsidR="00C53AF0" w:rsidRPr="00382DF1" w:rsidTr="00035C9E">
        <w:tc>
          <w:tcPr>
            <w:tcW w:w="9067" w:type="dxa"/>
          </w:tcPr>
          <w:p w:rsidR="00C53AF0" w:rsidRPr="00382DF1" w:rsidRDefault="00C53AF0" w:rsidP="00C53AF0">
            <w:pPr>
              <w:rPr>
                <w:rFonts w:ascii="Times New Roman" w:hAnsi="Times New Roman" w:cs="Times New Roman"/>
                <w:b/>
                <w:sz w:val="28"/>
                <w:szCs w:val="28"/>
              </w:rPr>
            </w:pPr>
            <w:r w:rsidRPr="00382DF1">
              <w:rPr>
                <w:rFonts w:ascii="Times New Roman" w:hAnsi="Times New Roman" w:cs="Times New Roman"/>
                <w:b/>
                <w:sz w:val="28"/>
                <w:szCs w:val="28"/>
              </w:rPr>
              <w:t>НОРМАТИВНЫЕ ССЫЛКИ</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C53AF0" w:rsidP="00C53AF0">
            <w:pPr>
              <w:rPr>
                <w:rFonts w:ascii="Times New Roman" w:hAnsi="Times New Roman" w:cs="Times New Roman"/>
                <w:b/>
                <w:sz w:val="28"/>
                <w:szCs w:val="28"/>
              </w:rPr>
            </w:pPr>
            <w:r w:rsidRPr="00382DF1">
              <w:rPr>
                <w:rFonts w:ascii="Times New Roman" w:hAnsi="Times New Roman" w:cs="Times New Roman"/>
                <w:b/>
                <w:sz w:val="28"/>
                <w:szCs w:val="28"/>
              </w:rPr>
              <w:t>ОПРЕДЕЛЕНИЯ</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C53AF0" w:rsidP="00C53AF0">
            <w:pPr>
              <w:rPr>
                <w:rFonts w:ascii="Times New Roman" w:hAnsi="Times New Roman" w:cs="Times New Roman"/>
                <w:b/>
                <w:sz w:val="28"/>
                <w:szCs w:val="28"/>
              </w:rPr>
            </w:pPr>
            <w:r w:rsidRPr="00382DF1">
              <w:rPr>
                <w:rFonts w:ascii="Times New Roman" w:hAnsi="Times New Roman" w:cs="Times New Roman"/>
                <w:b/>
                <w:sz w:val="28"/>
                <w:szCs w:val="28"/>
              </w:rPr>
              <w:t>ОБОЗНАЧЕНИЯ И СОКРАЩЕНИЯ</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C53AF0" w:rsidP="00C53AF0">
            <w:pPr>
              <w:rPr>
                <w:rFonts w:ascii="Times New Roman" w:hAnsi="Times New Roman" w:cs="Times New Roman"/>
                <w:b/>
                <w:sz w:val="28"/>
                <w:szCs w:val="28"/>
              </w:rPr>
            </w:pPr>
            <w:r w:rsidRPr="00382DF1">
              <w:rPr>
                <w:rFonts w:ascii="Times New Roman" w:hAnsi="Times New Roman" w:cs="Times New Roman"/>
                <w:b/>
                <w:sz w:val="28"/>
                <w:szCs w:val="28"/>
              </w:rPr>
              <w:t>ВВЕДЕНИЕ</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530AB1" w:rsidP="00530AB1">
            <w:pPr>
              <w:pStyle w:val="2"/>
              <w:spacing w:before="0" w:beforeAutospacing="0" w:after="0" w:afterAutospacing="0"/>
              <w:jc w:val="both"/>
              <w:outlineLvl w:val="1"/>
              <w:rPr>
                <w:sz w:val="28"/>
                <w:szCs w:val="28"/>
              </w:rPr>
            </w:pPr>
            <w:r w:rsidRPr="00382DF1">
              <w:rPr>
                <w:color w:val="000000" w:themeColor="text1"/>
                <w:sz w:val="28"/>
                <w:szCs w:val="28"/>
              </w:rPr>
              <w:t xml:space="preserve">1. </w:t>
            </w:r>
            <w:r w:rsidRPr="00382DF1">
              <w:rPr>
                <w:sz w:val="28"/>
                <w:szCs w:val="28"/>
              </w:rPr>
              <w:t>ТЕОРЕТИЧЕСКИЕ ОСНОВЫ ПРОФЕССИОНАЛЬНОЙ НАПРАВЛЕННОСТИ СТУДЕНТОВ</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530AB1" w:rsidP="00530AB1">
            <w:pPr>
              <w:jc w:val="both"/>
              <w:rPr>
                <w:rFonts w:ascii="Times New Roman" w:hAnsi="Times New Roman" w:cs="Times New Roman"/>
                <w:sz w:val="28"/>
                <w:szCs w:val="28"/>
              </w:rPr>
            </w:pPr>
            <w:r w:rsidRPr="00382DF1">
              <w:rPr>
                <w:rFonts w:ascii="Times New Roman" w:hAnsi="Times New Roman" w:cs="Times New Roman"/>
                <w:sz w:val="28"/>
                <w:szCs w:val="28"/>
              </w:rPr>
              <w:t>1.1. Понятие профессиональной направленности: структура, компоненты и критерии.</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530AB1" w:rsidP="00C53AF0">
            <w:pPr>
              <w:rPr>
                <w:rFonts w:ascii="Times New Roman" w:hAnsi="Times New Roman" w:cs="Times New Roman"/>
                <w:b/>
                <w:sz w:val="28"/>
                <w:szCs w:val="28"/>
              </w:rPr>
            </w:pPr>
            <w:r w:rsidRPr="00382DF1">
              <w:rPr>
                <w:rFonts w:ascii="Times New Roman" w:hAnsi="Times New Roman" w:cs="Times New Roman"/>
                <w:sz w:val="28"/>
                <w:szCs w:val="28"/>
              </w:rPr>
              <w:t>1.2. Психолого-педагогические условия формирования профессиональной направленности в образовательной среде.</w:t>
            </w:r>
          </w:p>
        </w:tc>
        <w:tc>
          <w:tcPr>
            <w:tcW w:w="561" w:type="dxa"/>
          </w:tcPr>
          <w:p w:rsidR="00C53AF0" w:rsidRPr="00382DF1" w:rsidRDefault="00C53AF0" w:rsidP="00C53AF0">
            <w:pPr>
              <w:rPr>
                <w:rFonts w:ascii="Times New Roman" w:hAnsi="Times New Roman" w:cs="Times New Roman"/>
                <w:b/>
                <w:sz w:val="28"/>
                <w:szCs w:val="28"/>
              </w:rPr>
            </w:pPr>
          </w:p>
        </w:tc>
      </w:tr>
      <w:tr w:rsidR="00C53AF0" w:rsidRPr="00382DF1" w:rsidTr="00035C9E">
        <w:tc>
          <w:tcPr>
            <w:tcW w:w="9067" w:type="dxa"/>
          </w:tcPr>
          <w:p w:rsidR="00C53AF0" w:rsidRPr="00382DF1" w:rsidRDefault="00530AB1" w:rsidP="00530AB1">
            <w:pPr>
              <w:jc w:val="both"/>
              <w:rPr>
                <w:rFonts w:ascii="Times New Roman" w:hAnsi="Times New Roman" w:cs="Times New Roman"/>
                <w:sz w:val="28"/>
                <w:szCs w:val="28"/>
              </w:rPr>
            </w:pPr>
            <w:r w:rsidRPr="00382DF1">
              <w:rPr>
                <w:rFonts w:ascii="Times New Roman" w:hAnsi="Times New Roman" w:cs="Times New Roman"/>
                <w:sz w:val="28"/>
                <w:szCs w:val="28"/>
              </w:rPr>
              <w:t>1.3. Роль задач по стохастике и теории игр в педагогике.</w:t>
            </w:r>
          </w:p>
        </w:tc>
        <w:tc>
          <w:tcPr>
            <w:tcW w:w="561" w:type="dxa"/>
          </w:tcPr>
          <w:p w:rsidR="00C53AF0" w:rsidRPr="00382DF1" w:rsidRDefault="00C53AF0"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30AB1">
            <w:pPr>
              <w:jc w:val="both"/>
              <w:rPr>
                <w:rFonts w:ascii="Times New Roman" w:hAnsi="Times New Roman" w:cs="Times New Roman"/>
                <w:sz w:val="28"/>
                <w:szCs w:val="28"/>
              </w:rPr>
            </w:pPr>
            <w:r w:rsidRPr="00382DF1">
              <w:rPr>
                <w:rFonts w:ascii="Times New Roman" w:hAnsi="Times New Roman" w:cs="Times New Roman"/>
                <w:sz w:val="28"/>
                <w:szCs w:val="28"/>
              </w:rPr>
              <w:t>Выводы по первому разделу</w:t>
            </w:r>
          </w:p>
        </w:tc>
        <w:tc>
          <w:tcPr>
            <w:tcW w:w="561" w:type="dxa"/>
          </w:tcPr>
          <w:p w:rsidR="005F69F6" w:rsidRPr="00382DF1" w:rsidRDefault="005F69F6" w:rsidP="00C53AF0">
            <w:pPr>
              <w:rPr>
                <w:rFonts w:ascii="Times New Roman" w:hAnsi="Times New Roman" w:cs="Times New Roman"/>
                <w:b/>
                <w:sz w:val="28"/>
                <w:szCs w:val="28"/>
              </w:rPr>
            </w:pPr>
          </w:p>
        </w:tc>
      </w:tr>
      <w:tr w:rsidR="00530AB1" w:rsidRPr="00382DF1" w:rsidTr="00035C9E">
        <w:tc>
          <w:tcPr>
            <w:tcW w:w="9067" w:type="dxa"/>
          </w:tcPr>
          <w:p w:rsidR="00530AB1" w:rsidRPr="00382DF1" w:rsidRDefault="00530AB1" w:rsidP="00530AB1">
            <w:pPr>
              <w:jc w:val="both"/>
              <w:rPr>
                <w:rFonts w:ascii="Times New Roman" w:hAnsi="Times New Roman" w:cs="Times New Roman"/>
                <w:sz w:val="28"/>
                <w:szCs w:val="28"/>
              </w:rPr>
            </w:pPr>
            <w:r w:rsidRPr="00382DF1">
              <w:rPr>
                <w:rFonts w:ascii="Times New Roman" w:hAnsi="Times New Roman" w:cs="Times New Roman"/>
                <w:b/>
                <w:color w:val="000000" w:themeColor="text1"/>
                <w:sz w:val="28"/>
                <w:szCs w:val="28"/>
              </w:rPr>
              <w:t xml:space="preserve">2. МЕТОДИЧЕСКИЕ АСПЕКТЫ </w:t>
            </w:r>
            <w:r w:rsidRPr="00382DF1">
              <w:rPr>
                <w:rFonts w:ascii="Times New Roman" w:hAnsi="Times New Roman" w:cs="Times New Roman"/>
                <w:b/>
                <w:sz w:val="28"/>
                <w:szCs w:val="28"/>
              </w:rPr>
              <w:t>РАЗРАБОТКИ СИСТЕМЫ СТОХАСТИКО-ИГРОВЫХ УПРАЖНЕНИЙ ДЛЯ ФОРМИРОВАНИЯ ПРОФЕССИОНАЛЬНОЙ НАПРАВЛЕННОСТИ</w:t>
            </w:r>
          </w:p>
        </w:tc>
        <w:tc>
          <w:tcPr>
            <w:tcW w:w="561" w:type="dxa"/>
          </w:tcPr>
          <w:p w:rsidR="00530AB1" w:rsidRPr="00382DF1" w:rsidRDefault="00530AB1" w:rsidP="00C53AF0">
            <w:pPr>
              <w:rPr>
                <w:rFonts w:ascii="Times New Roman" w:hAnsi="Times New Roman" w:cs="Times New Roman"/>
                <w:b/>
                <w:sz w:val="28"/>
                <w:szCs w:val="28"/>
              </w:rPr>
            </w:pPr>
          </w:p>
        </w:tc>
      </w:tr>
      <w:tr w:rsidR="00530AB1" w:rsidRPr="00382DF1" w:rsidTr="00035C9E">
        <w:tc>
          <w:tcPr>
            <w:tcW w:w="9067" w:type="dxa"/>
          </w:tcPr>
          <w:p w:rsidR="00530AB1" w:rsidRPr="00382DF1" w:rsidRDefault="00530AB1" w:rsidP="00530AB1">
            <w:pPr>
              <w:pStyle w:val="2"/>
              <w:spacing w:before="0" w:beforeAutospacing="0" w:after="0" w:afterAutospacing="0"/>
              <w:jc w:val="both"/>
              <w:outlineLvl w:val="1"/>
              <w:rPr>
                <w:b w:val="0"/>
                <w:sz w:val="28"/>
                <w:szCs w:val="28"/>
              </w:rPr>
            </w:pPr>
            <w:r w:rsidRPr="00382DF1">
              <w:rPr>
                <w:b w:val="0"/>
                <w:color w:val="000000" w:themeColor="text1"/>
                <w:sz w:val="28"/>
                <w:szCs w:val="28"/>
              </w:rPr>
              <w:t xml:space="preserve">2.1.  </w:t>
            </w:r>
            <w:r w:rsidRPr="00382DF1">
              <w:rPr>
                <w:b w:val="0"/>
                <w:sz w:val="28"/>
                <w:szCs w:val="28"/>
              </w:rPr>
              <w:t>Разработка концептуальной модели методологии формирования профессиональной направленности через стохастико-игровые упражнения</w:t>
            </w:r>
            <w:r w:rsidRPr="00382DF1">
              <w:rPr>
                <w:b w:val="0"/>
                <w:color w:val="000000" w:themeColor="text1"/>
                <w:sz w:val="28"/>
                <w:szCs w:val="28"/>
              </w:rPr>
              <w:t xml:space="preserve">; </w:t>
            </w:r>
          </w:p>
        </w:tc>
        <w:tc>
          <w:tcPr>
            <w:tcW w:w="561" w:type="dxa"/>
          </w:tcPr>
          <w:p w:rsidR="00530AB1" w:rsidRPr="00382DF1" w:rsidRDefault="00530AB1" w:rsidP="00C53AF0">
            <w:pPr>
              <w:rPr>
                <w:rFonts w:ascii="Times New Roman" w:hAnsi="Times New Roman" w:cs="Times New Roman"/>
                <w:b/>
                <w:sz w:val="28"/>
                <w:szCs w:val="28"/>
              </w:rPr>
            </w:pPr>
          </w:p>
        </w:tc>
      </w:tr>
      <w:tr w:rsidR="00530AB1" w:rsidRPr="00382DF1" w:rsidTr="00035C9E">
        <w:tc>
          <w:tcPr>
            <w:tcW w:w="9067" w:type="dxa"/>
          </w:tcPr>
          <w:p w:rsidR="00530AB1" w:rsidRPr="00382DF1" w:rsidRDefault="00530AB1" w:rsidP="00530AB1">
            <w:pPr>
              <w:pStyle w:val="a4"/>
              <w:shd w:val="clear" w:color="auto" w:fill="FFFFFF"/>
              <w:spacing w:before="0" w:beforeAutospacing="0" w:after="0" w:afterAutospacing="0"/>
              <w:jc w:val="both"/>
              <w:rPr>
                <w:color w:val="000000" w:themeColor="text1"/>
                <w:sz w:val="28"/>
                <w:szCs w:val="28"/>
              </w:rPr>
            </w:pPr>
            <w:r w:rsidRPr="00382DF1">
              <w:rPr>
                <w:color w:val="000000" w:themeColor="text1"/>
                <w:sz w:val="28"/>
                <w:szCs w:val="28"/>
              </w:rPr>
              <w:t>2.2. Методические требования к с</w:t>
            </w:r>
            <w:r w:rsidRPr="00382DF1">
              <w:rPr>
                <w:sz w:val="28"/>
                <w:szCs w:val="28"/>
              </w:rPr>
              <w:t>озданию интегрированной системы стохастико-игровых упражнений</w:t>
            </w:r>
            <w:r w:rsidRPr="00382DF1">
              <w:rPr>
                <w:color w:val="000000" w:themeColor="text1"/>
                <w:sz w:val="28"/>
                <w:szCs w:val="28"/>
              </w:rPr>
              <w:t>.</w:t>
            </w:r>
          </w:p>
        </w:tc>
        <w:tc>
          <w:tcPr>
            <w:tcW w:w="561" w:type="dxa"/>
          </w:tcPr>
          <w:p w:rsidR="00530AB1" w:rsidRPr="00382DF1" w:rsidRDefault="00530AB1" w:rsidP="00C53AF0">
            <w:pPr>
              <w:rPr>
                <w:rFonts w:ascii="Times New Roman" w:hAnsi="Times New Roman" w:cs="Times New Roman"/>
                <w:b/>
                <w:sz w:val="28"/>
                <w:szCs w:val="28"/>
              </w:rPr>
            </w:pPr>
          </w:p>
        </w:tc>
      </w:tr>
      <w:tr w:rsidR="00530AB1" w:rsidRPr="00382DF1" w:rsidTr="00035C9E">
        <w:tc>
          <w:tcPr>
            <w:tcW w:w="9067" w:type="dxa"/>
          </w:tcPr>
          <w:p w:rsidR="00530AB1" w:rsidRPr="00382DF1" w:rsidRDefault="00530AB1" w:rsidP="00530AB1">
            <w:pPr>
              <w:pStyle w:val="a4"/>
              <w:spacing w:before="0" w:beforeAutospacing="0" w:after="0" w:afterAutospacing="0"/>
              <w:jc w:val="both"/>
              <w:rPr>
                <w:color w:val="000000" w:themeColor="text1"/>
                <w:sz w:val="28"/>
                <w:szCs w:val="28"/>
              </w:rPr>
            </w:pPr>
            <w:r w:rsidRPr="00382DF1">
              <w:rPr>
                <w:color w:val="000000" w:themeColor="text1"/>
                <w:sz w:val="28"/>
                <w:szCs w:val="28"/>
              </w:rPr>
              <w:t>2.3. Методические рекомендации по применению разработанной методологии в образовательных учреждениях.</w:t>
            </w:r>
          </w:p>
        </w:tc>
        <w:tc>
          <w:tcPr>
            <w:tcW w:w="561" w:type="dxa"/>
          </w:tcPr>
          <w:p w:rsidR="00530AB1" w:rsidRPr="00382DF1" w:rsidRDefault="00530AB1"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30AB1">
            <w:pPr>
              <w:pStyle w:val="a4"/>
              <w:spacing w:before="0" w:beforeAutospacing="0" w:after="0" w:afterAutospacing="0"/>
              <w:jc w:val="both"/>
              <w:rPr>
                <w:color w:val="000000" w:themeColor="text1"/>
                <w:sz w:val="28"/>
                <w:szCs w:val="28"/>
              </w:rPr>
            </w:pPr>
            <w:r w:rsidRPr="00382DF1">
              <w:rPr>
                <w:color w:val="000000" w:themeColor="text1"/>
                <w:sz w:val="28"/>
                <w:szCs w:val="28"/>
              </w:rPr>
              <w:t>Выводы по второму разделу</w:t>
            </w:r>
          </w:p>
        </w:tc>
        <w:tc>
          <w:tcPr>
            <w:tcW w:w="561" w:type="dxa"/>
          </w:tcPr>
          <w:p w:rsidR="005F69F6" w:rsidRPr="00382DF1" w:rsidRDefault="005F69F6" w:rsidP="00C53AF0">
            <w:pPr>
              <w:rPr>
                <w:rFonts w:ascii="Times New Roman" w:hAnsi="Times New Roman" w:cs="Times New Roman"/>
                <w:b/>
                <w:sz w:val="28"/>
                <w:szCs w:val="28"/>
              </w:rPr>
            </w:pPr>
          </w:p>
        </w:tc>
      </w:tr>
      <w:tr w:rsidR="00530AB1" w:rsidRPr="00382DF1" w:rsidTr="00035C9E">
        <w:tc>
          <w:tcPr>
            <w:tcW w:w="9067" w:type="dxa"/>
          </w:tcPr>
          <w:p w:rsidR="00530AB1" w:rsidRPr="00382DF1" w:rsidRDefault="005F69F6" w:rsidP="00530AB1">
            <w:pPr>
              <w:jc w:val="both"/>
              <w:rPr>
                <w:rFonts w:ascii="Times New Roman" w:hAnsi="Times New Roman" w:cs="Times New Roman"/>
                <w:sz w:val="28"/>
                <w:szCs w:val="28"/>
              </w:rPr>
            </w:pPr>
            <w:r w:rsidRPr="00382DF1">
              <w:rPr>
                <w:rStyle w:val="a5"/>
                <w:rFonts w:ascii="Times New Roman" w:hAnsi="Times New Roman" w:cs="Times New Roman"/>
                <w:bCs w:val="0"/>
                <w:color w:val="000000" w:themeColor="text1"/>
                <w:sz w:val="28"/>
                <w:szCs w:val="28"/>
              </w:rPr>
              <w:t>3. ЭКСПЕРИМЕНТАЛЬНАЯ ПРОВЕРКА МЕТОДОЛОГИИ И ЕЕ ВНЕДРЕНИЕ В ОБРАЗОВАТЕЛЬНЫЙ ПРОЦЕСС</w:t>
            </w:r>
          </w:p>
        </w:tc>
        <w:tc>
          <w:tcPr>
            <w:tcW w:w="561" w:type="dxa"/>
          </w:tcPr>
          <w:p w:rsidR="00530AB1" w:rsidRPr="00382DF1" w:rsidRDefault="00530AB1" w:rsidP="00C53AF0">
            <w:pPr>
              <w:rPr>
                <w:rFonts w:ascii="Times New Roman" w:hAnsi="Times New Roman" w:cs="Times New Roman"/>
                <w:b/>
                <w:sz w:val="28"/>
                <w:szCs w:val="28"/>
              </w:rPr>
            </w:pPr>
          </w:p>
        </w:tc>
      </w:tr>
      <w:tr w:rsidR="00530AB1" w:rsidRPr="00382DF1" w:rsidTr="00035C9E">
        <w:tc>
          <w:tcPr>
            <w:tcW w:w="9067" w:type="dxa"/>
          </w:tcPr>
          <w:p w:rsidR="00530AB1" w:rsidRPr="00382DF1" w:rsidRDefault="005F69F6" w:rsidP="005F69F6">
            <w:pPr>
              <w:pStyle w:val="a4"/>
              <w:spacing w:before="0" w:beforeAutospacing="0" w:after="0" w:afterAutospacing="0"/>
              <w:jc w:val="both"/>
              <w:rPr>
                <w:color w:val="000000" w:themeColor="text1"/>
                <w:sz w:val="28"/>
                <w:szCs w:val="28"/>
              </w:rPr>
            </w:pPr>
            <w:r w:rsidRPr="00382DF1">
              <w:rPr>
                <w:color w:val="000000" w:themeColor="text1"/>
                <w:sz w:val="28"/>
                <w:szCs w:val="28"/>
              </w:rPr>
              <w:t>3.1. Организация и этапы педагогического эксперимента.</w:t>
            </w:r>
          </w:p>
        </w:tc>
        <w:tc>
          <w:tcPr>
            <w:tcW w:w="561" w:type="dxa"/>
          </w:tcPr>
          <w:p w:rsidR="00530AB1" w:rsidRPr="00382DF1" w:rsidRDefault="00530AB1"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F69F6">
            <w:pPr>
              <w:pStyle w:val="a4"/>
              <w:spacing w:before="0" w:beforeAutospacing="0" w:after="0" w:afterAutospacing="0"/>
              <w:jc w:val="both"/>
              <w:rPr>
                <w:color w:val="000000" w:themeColor="text1"/>
                <w:sz w:val="28"/>
                <w:szCs w:val="28"/>
              </w:rPr>
            </w:pPr>
            <w:r w:rsidRPr="00382DF1">
              <w:rPr>
                <w:color w:val="000000" w:themeColor="text1"/>
                <w:sz w:val="28"/>
                <w:szCs w:val="28"/>
              </w:rPr>
              <w:t>3.2. Анализ результатов эксперимента: эффективность стохастико-игровых упражнений в развитии профессиональной направленности.</w:t>
            </w:r>
          </w:p>
        </w:tc>
        <w:tc>
          <w:tcPr>
            <w:tcW w:w="561" w:type="dxa"/>
          </w:tcPr>
          <w:p w:rsidR="005F69F6" w:rsidRPr="00382DF1" w:rsidRDefault="005F69F6"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30AB1">
            <w:pPr>
              <w:jc w:val="both"/>
              <w:rPr>
                <w:rFonts w:ascii="Times New Roman" w:hAnsi="Times New Roman" w:cs="Times New Roman"/>
                <w:sz w:val="28"/>
                <w:szCs w:val="28"/>
              </w:rPr>
            </w:pPr>
            <w:r w:rsidRPr="00382DF1">
              <w:rPr>
                <w:rFonts w:ascii="Times New Roman" w:hAnsi="Times New Roman" w:cs="Times New Roman"/>
                <w:sz w:val="28"/>
                <w:szCs w:val="28"/>
              </w:rPr>
              <w:t>Выводы по третьему разделу</w:t>
            </w:r>
          </w:p>
        </w:tc>
        <w:tc>
          <w:tcPr>
            <w:tcW w:w="561" w:type="dxa"/>
          </w:tcPr>
          <w:p w:rsidR="005F69F6" w:rsidRPr="00382DF1" w:rsidRDefault="005F69F6"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30AB1">
            <w:pPr>
              <w:jc w:val="both"/>
              <w:rPr>
                <w:rFonts w:ascii="Times New Roman" w:hAnsi="Times New Roman" w:cs="Times New Roman"/>
                <w:b/>
                <w:sz w:val="28"/>
                <w:szCs w:val="28"/>
              </w:rPr>
            </w:pPr>
            <w:r w:rsidRPr="00382DF1">
              <w:rPr>
                <w:rFonts w:ascii="Times New Roman" w:hAnsi="Times New Roman" w:cs="Times New Roman"/>
                <w:b/>
                <w:sz w:val="28"/>
                <w:szCs w:val="28"/>
              </w:rPr>
              <w:t>ЗАКЛЮЧЕНИЕ</w:t>
            </w:r>
          </w:p>
        </w:tc>
        <w:tc>
          <w:tcPr>
            <w:tcW w:w="561" w:type="dxa"/>
          </w:tcPr>
          <w:p w:rsidR="005F69F6" w:rsidRPr="00382DF1" w:rsidRDefault="005F69F6"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30AB1">
            <w:pPr>
              <w:jc w:val="both"/>
              <w:rPr>
                <w:rFonts w:ascii="Times New Roman" w:hAnsi="Times New Roman" w:cs="Times New Roman"/>
                <w:b/>
                <w:sz w:val="28"/>
                <w:szCs w:val="28"/>
              </w:rPr>
            </w:pPr>
            <w:r w:rsidRPr="00382DF1">
              <w:rPr>
                <w:rFonts w:ascii="Times New Roman" w:hAnsi="Times New Roman" w:cs="Times New Roman"/>
                <w:b/>
                <w:sz w:val="28"/>
                <w:szCs w:val="28"/>
              </w:rPr>
              <w:t>СПИСОК ИСПОЛЬЗОВАННЫХ ИСТОЧНИКОВ</w:t>
            </w:r>
          </w:p>
        </w:tc>
        <w:tc>
          <w:tcPr>
            <w:tcW w:w="561" w:type="dxa"/>
          </w:tcPr>
          <w:p w:rsidR="005F69F6" w:rsidRPr="00382DF1" w:rsidRDefault="005F69F6" w:rsidP="00C53AF0">
            <w:pPr>
              <w:rPr>
                <w:rFonts w:ascii="Times New Roman" w:hAnsi="Times New Roman" w:cs="Times New Roman"/>
                <w:b/>
                <w:sz w:val="28"/>
                <w:szCs w:val="28"/>
              </w:rPr>
            </w:pPr>
          </w:p>
        </w:tc>
      </w:tr>
      <w:tr w:rsidR="005F69F6" w:rsidRPr="00382DF1" w:rsidTr="00035C9E">
        <w:tc>
          <w:tcPr>
            <w:tcW w:w="9067" w:type="dxa"/>
          </w:tcPr>
          <w:p w:rsidR="005F69F6" w:rsidRPr="00382DF1" w:rsidRDefault="005F69F6" w:rsidP="00530AB1">
            <w:pPr>
              <w:jc w:val="both"/>
              <w:rPr>
                <w:rFonts w:ascii="Times New Roman" w:hAnsi="Times New Roman" w:cs="Times New Roman"/>
                <w:b/>
                <w:sz w:val="28"/>
                <w:szCs w:val="28"/>
              </w:rPr>
            </w:pPr>
            <w:r w:rsidRPr="00382DF1">
              <w:rPr>
                <w:rFonts w:ascii="Times New Roman" w:hAnsi="Times New Roman" w:cs="Times New Roman"/>
                <w:b/>
                <w:sz w:val="28"/>
                <w:szCs w:val="28"/>
              </w:rPr>
              <w:t>ПРИЛОЖЕНИЯ</w:t>
            </w:r>
          </w:p>
        </w:tc>
        <w:tc>
          <w:tcPr>
            <w:tcW w:w="561" w:type="dxa"/>
          </w:tcPr>
          <w:p w:rsidR="005F69F6" w:rsidRPr="00382DF1" w:rsidRDefault="005F69F6" w:rsidP="00C53AF0">
            <w:pPr>
              <w:rPr>
                <w:rFonts w:ascii="Times New Roman" w:hAnsi="Times New Roman" w:cs="Times New Roman"/>
                <w:b/>
                <w:sz w:val="28"/>
                <w:szCs w:val="28"/>
              </w:rPr>
            </w:pPr>
          </w:p>
        </w:tc>
      </w:tr>
    </w:tbl>
    <w:p w:rsidR="00C53AF0" w:rsidRPr="00382DF1" w:rsidRDefault="00C53AF0"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7076B8" w:rsidRPr="00382DF1" w:rsidRDefault="007076B8" w:rsidP="00C53AF0">
      <w:pPr>
        <w:spacing w:after="0" w:line="240" w:lineRule="auto"/>
        <w:rPr>
          <w:rFonts w:ascii="Times New Roman" w:hAnsi="Times New Roman" w:cs="Times New Roman"/>
          <w:b/>
          <w:sz w:val="28"/>
          <w:szCs w:val="28"/>
        </w:rPr>
      </w:pPr>
    </w:p>
    <w:p w:rsidR="00B84740" w:rsidRPr="00382DF1" w:rsidRDefault="00B84740" w:rsidP="007D434B">
      <w:pPr>
        <w:spacing w:after="0" w:line="240" w:lineRule="auto"/>
        <w:ind w:firstLine="567"/>
        <w:jc w:val="center"/>
        <w:rPr>
          <w:rFonts w:ascii="Times New Roman" w:hAnsi="Times New Roman" w:cs="Times New Roman"/>
          <w:b/>
          <w:color w:val="000000" w:themeColor="text1"/>
          <w:sz w:val="28"/>
          <w:szCs w:val="28"/>
        </w:rPr>
      </w:pPr>
      <w:r w:rsidRPr="00382DF1">
        <w:rPr>
          <w:rFonts w:ascii="Times New Roman" w:hAnsi="Times New Roman" w:cs="Times New Roman"/>
          <w:b/>
          <w:color w:val="000000" w:themeColor="text1"/>
          <w:sz w:val="28"/>
          <w:szCs w:val="28"/>
        </w:rPr>
        <w:t>ВВЕДЕНИЕ</w:t>
      </w:r>
    </w:p>
    <w:p w:rsidR="00B84740" w:rsidRPr="00382DF1" w:rsidRDefault="00B84740" w:rsidP="007D434B">
      <w:pPr>
        <w:spacing w:after="0" w:line="240" w:lineRule="auto"/>
        <w:ind w:firstLine="567"/>
        <w:jc w:val="center"/>
        <w:rPr>
          <w:rFonts w:ascii="Times New Roman" w:hAnsi="Times New Roman" w:cs="Times New Roman"/>
          <w:color w:val="000000" w:themeColor="text1"/>
          <w:sz w:val="28"/>
          <w:szCs w:val="28"/>
        </w:rPr>
      </w:pPr>
    </w:p>
    <w:p w:rsidR="00B84740" w:rsidRPr="00382DF1" w:rsidRDefault="00B84740" w:rsidP="007D434B">
      <w:pPr>
        <w:spacing w:after="0" w:line="240" w:lineRule="auto"/>
        <w:ind w:firstLine="567"/>
        <w:jc w:val="both"/>
        <w:rPr>
          <w:rFonts w:ascii="Times New Roman" w:hAnsi="Times New Roman" w:cs="Times New Roman"/>
          <w:color w:val="000000" w:themeColor="text1"/>
          <w:sz w:val="28"/>
          <w:szCs w:val="28"/>
        </w:rPr>
      </w:pPr>
      <w:r w:rsidRPr="00382DF1">
        <w:rPr>
          <w:rFonts w:ascii="Times New Roman" w:hAnsi="Times New Roman" w:cs="Times New Roman"/>
          <w:b/>
          <w:color w:val="000000" w:themeColor="text1"/>
          <w:sz w:val="28"/>
          <w:szCs w:val="28"/>
        </w:rPr>
        <w:t>Актуальность исследования.</w:t>
      </w:r>
      <w:r w:rsidRPr="00382DF1">
        <w:rPr>
          <w:rFonts w:ascii="Times New Roman" w:hAnsi="Times New Roman" w:cs="Times New Roman"/>
          <w:color w:val="000000" w:themeColor="text1"/>
          <w:sz w:val="28"/>
          <w:szCs w:val="28"/>
        </w:rPr>
        <w:t xml:space="preserve"> Современное общество требует от специалистов не только глубоких профессиональных знаний, но и способности к адаптации в условиях быстро меняющегося мира, критического мышления и умения принимать нестандартные решения. Традиционные методы обучения не всегда способны удовлетворить эти потребности, что подчеркивает необходимость внедрения инновационных подходов в образовательный процесс.</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Глава государства Касым - Жомарт Токаев на Республиканском съезде педагогов (5 октября 2023 года) подчеркивал необходимость подготовки нового поколения к будущим вызовам, акцентируя внимание на развитии навыков, соответствующих требованиям времени. Он отмечает, что «по прогнозам ученых, к 2050 году до половины нынешних профессий будут заменены цифровыми и техническими системами» [1]. В этой связи граждане должны овладеть навыками, необходимыми в условиях нового времени, и каждый человек должен постоянно учиться.</w:t>
      </w:r>
    </w:p>
    <w:p w:rsidR="00B84740" w:rsidRPr="00382DF1" w:rsidRDefault="00B84740" w:rsidP="007D434B">
      <w:pPr>
        <w:pStyle w:val="a4"/>
        <w:spacing w:before="0" w:beforeAutospacing="0" w:after="0" w:afterAutospacing="0"/>
        <w:ind w:firstLine="567"/>
        <w:jc w:val="both"/>
        <w:rPr>
          <w:color w:val="000000" w:themeColor="text1"/>
          <w:sz w:val="28"/>
          <w:szCs w:val="28"/>
        </w:rPr>
      </w:pPr>
      <w:r w:rsidRPr="00382DF1">
        <w:rPr>
          <w:color w:val="000000" w:themeColor="text1"/>
          <w:sz w:val="28"/>
          <w:szCs w:val="28"/>
        </w:rPr>
        <w:t xml:space="preserve">Профессиональный стандарт «Педагог» в Казахстане определяет ключевые компетенции, которыми должен обладать современный преподаватель, а также основные требования к его деятельности [2]. </w:t>
      </w:r>
    </w:p>
    <w:p w:rsidR="00B84740" w:rsidRPr="00382DF1" w:rsidRDefault="00B84740" w:rsidP="007D434B">
      <w:pPr>
        <w:pStyle w:val="a4"/>
        <w:spacing w:before="0" w:beforeAutospacing="0" w:after="0" w:afterAutospacing="0"/>
        <w:ind w:firstLine="567"/>
        <w:jc w:val="both"/>
        <w:rPr>
          <w:color w:val="000000" w:themeColor="text1"/>
          <w:sz w:val="28"/>
          <w:szCs w:val="28"/>
        </w:rPr>
      </w:pPr>
      <w:r w:rsidRPr="00382DF1">
        <w:rPr>
          <w:color w:val="000000" w:themeColor="text1"/>
          <w:sz w:val="28"/>
          <w:szCs w:val="28"/>
        </w:rPr>
        <w:t>Во-первых, профессиональный стандарт акцентирует внимание на необходимости формирования у педагогов методических и цифровых компетенций, что напрямую связано с внедрением инновационных обр</w:t>
      </w:r>
      <w:r w:rsidR="007F5D1A">
        <w:rPr>
          <w:color w:val="000000" w:themeColor="text1"/>
          <w:sz w:val="28"/>
          <w:szCs w:val="28"/>
        </w:rPr>
        <w:t>азовательных технологий</w:t>
      </w:r>
      <w:r w:rsidR="00BD1FF2">
        <w:rPr>
          <w:color w:val="000000" w:themeColor="text1"/>
          <w:sz w:val="28"/>
          <w:szCs w:val="28"/>
        </w:rPr>
        <w:t>. Эти технологии должны позволять</w:t>
      </w:r>
      <w:r w:rsidRPr="00382DF1">
        <w:rPr>
          <w:color w:val="000000" w:themeColor="text1"/>
          <w:sz w:val="28"/>
          <w:szCs w:val="28"/>
        </w:rPr>
        <w:t xml:space="preserve"> моделировать реальные профессиональные ситуации, развивать у студентов педагогическое мастерство, критическое мышление, способность к самостоятельному принятию решений и адаптации в изменяющихся условиях.</w:t>
      </w:r>
    </w:p>
    <w:p w:rsidR="00B84740" w:rsidRPr="00382DF1" w:rsidRDefault="00B84740" w:rsidP="007D434B">
      <w:pPr>
        <w:pStyle w:val="a4"/>
        <w:spacing w:before="0" w:beforeAutospacing="0" w:after="0" w:afterAutospacing="0"/>
        <w:ind w:firstLine="567"/>
        <w:jc w:val="both"/>
        <w:rPr>
          <w:color w:val="000000" w:themeColor="text1"/>
          <w:sz w:val="28"/>
          <w:szCs w:val="28"/>
        </w:rPr>
      </w:pPr>
      <w:r w:rsidRPr="00382DF1">
        <w:rPr>
          <w:color w:val="000000" w:themeColor="text1"/>
          <w:sz w:val="28"/>
          <w:szCs w:val="28"/>
        </w:rPr>
        <w:t>Во-вторых, стандарт подчеркивает важность формирования профессион</w:t>
      </w:r>
      <w:r w:rsidR="00BD1FF2">
        <w:rPr>
          <w:color w:val="000000" w:themeColor="text1"/>
          <w:sz w:val="28"/>
          <w:szCs w:val="28"/>
        </w:rPr>
        <w:t>альной направленности студентов</w:t>
      </w:r>
      <w:r w:rsidRPr="00382DF1">
        <w:rPr>
          <w:color w:val="000000" w:themeColor="text1"/>
          <w:sz w:val="28"/>
          <w:szCs w:val="28"/>
        </w:rPr>
        <w:t>. Согласно стандарту, педагог должен не только передавать знания, но и мотивировать студентов к осознанному выбору профессии, формированию устойчивого интереса к педагогической деятельности.</w:t>
      </w:r>
      <w:r w:rsidR="0051206C">
        <w:rPr>
          <w:color w:val="000000" w:themeColor="text1"/>
          <w:sz w:val="28"/>
          <w:szCs w:val="28"/>
        </w:rPr>
        <w:t xml:space="preserve"> </w:t>
      </w:r>
      <w:r w:rsidRPr="00382DF1">
        <w:rPr>
          <w:color w:val="000000" w:themeColor="text1"/>
          <w:sz w:val="28"/>
          <w:szCs w:val="28"/>
        </w:rPr>
        <w:t xml:space="preserve">Кроме того, в стандарте акцентируется необходимость развития у педагогов способности применять современные образовательные технологии и подходы, обеспечивающие эффективное обучение. </w:t>
      </w:r>
    </w:p>
    <w:p w:rsidR="00B84740" w:rsidRPr="00382DF1" w:rsidRDefault="00B84740" w:rsidP="007D434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color w:val="000000" w:themeColor="text1"/>
          <w:sz w:val="28"/>
          <w:szCs w:val="28"/>
          <w:lang w:eastAsia="ru-RU"/>
        </w:rPr>
        <w:t>В Казахстане реализуются масштабные образовательные реформы, направленные на повышение качества обучения, внедрение компетентностного подхода и модернизацию методов преподавания. Одним из ключевых направлений реформ является повышение квалификации педагогов и совершенствование их подготовки. Внедрение инновационных методов способствует развитию у будущих педагогов способности адаптироваться к современным требованиям, использовать интерактивные технологии и формировать у обучающихся необходимые навыки.</w:t>
      </w:r>
    </w:p>
    <w:p w:rsidR="00B84740" w:rsidRPr="00382DF1" w:rsidRDefault="00B84740" w:rsidP="007D434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color w:val="000000" w:themeColor="text1"/>
          <w:sz w:val="28"/>
          <w:szCs w:val="28"/>
          <w:lang w:eastAsia="ru-RU"/>
        </w:rPr>
        <w:lastRenderedPageBreak/>
        <w:t xml:space="preserve">ЕНТ является важным элементом образовательной системы Казахстана, оценивающим уровень знаний выпускников и влияющим на их дальнейший выбор профессионального пути. В последние годы тестирование подвергается модернизации, включая акцент на логическое мышление и прикладные знания. Кроме того, успешное прохождение ЕНТ требует от выпускников не только теоретической подготовки, но и развитых навыков стратегического мышления, что может быть достигнуто благодаря игровым и проблемно-ориентированным методам обучения. </w:t>
      </w:r>
    </w:p>
    <w:p w:rsidR="00B84740" w:rsidRPr="00382DF1" w:rsidRDefault="00B84740" w:rsidP="007D434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color w:val="000000" w:themeColor="text1"/>
          <w:sz w:val="28"/>
          <w:szCs w:val="28"/>
          <w:lang w:eastAsia="ru-RU"/>
        </w:rPr>
        <w:t xml:space="preserve">В Казахстане проводится </w:t>
      </w:r>
      <w:r w:rsidRPr="00382DF1">
        <w:rPr>
          <w:rFonts w:ascii="Times New Roman" w:eastAsia="Times New Roman" w:hAnsi="Times New Roman" w:cs="Times New Roman"/>
          <w:bCs/>
          <w:color w:val="000000" w:themeColor="text1"/>
          <w:sz w:val="28"/>
          <w:szCs w:val="28"/>
          <w:lang w:eastAsia="ru-RU"/>
        </w:rPr>
        <w:t>аттестация педагогов</w:t>
      </w:r>
      <w:r w:rsidRPr="00382DF1">
        <w:rPr>
          <w:rFonts w:ascii="Times New Roman" w:eastAsia="Times New Roman" w:hAnsi="Times New Roman" w:cs="Times New Roman"/>
          <w:color w:val="000000" w:themeColor="text1"/>
          <w:sz w:val="28"/>
          <w:szCs w:val="28"/>
          <w:lang w:eastAsia="ru-RU"/>
        </w:rPr>
        <w:t>, которая включает тестирование на знание предмета и методики преподавания, а также оценку профессиональных компетенций. Введение такой системы связано с необходимостью повышения качества образования и требует от педагогов постоянного развития и совершенствования профессиональных навыков. Включение таких методов в систему подготовки и переподготовки учителей позволит адаптировать их к современным требованиям и повысить их уровень профессиональной подготовки.</w:t>
      </w:r>
    </w:p>
    <w:p w:rsidR="00B84740" w:rsidRPr="00382DF1" w:rsidRDefault="0065270C" w:rsidP="007D434B">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B84740" w:rsidRPr="00382DF1">
        <w:rPr>
          <w:rFonts w:ascii="Times New Roman" w:hAnsi="Times New Roman" w:cs="Times New Roman"/>
          <w:color w:val="000000" w:themeColor="text1"/>
          <w:sz w:val="28"/>
          <w:szCs w:val="28"/>
        </w:rPr>
        <w:t>ачественная методическая подготовка будущего учителя математики и преподавание математических дисциплин с учетом современных требований в педагогическом университете являются основой для высокого уровня математической подготовки школьников, что впоследствии обеспечивает успешное обучение студентов вузов и формирование компетентных специалистов в своих сферах.</w:t>
      </w:r>
    </w:p>
    <w:p w:rsidR="00976CEB" w:rsidRPr="002D25AF" w:rsidRDefault="000157E3" w:rsidP="00976CEB">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Вопросы</w:t>
      </w:r>
      <w:r w:rsidR="00976CEB" w:rsidRPr="002D25AF">
        <w:rPr>
          <w:rFonts w:ascii="Times New Roman" w:eastAsia="Times New Roman" w:hAnsi="Times New Roman" w:cs="Times New Roman"/>
          <w:color w:val="000000" w:themeColor="text1"/>
          <w:sz w:val="28"/>
          <w:szCs w:val="28"/>
          <w:lang w:eastAsia="ru-RU"/>
        </w:rPr>
        <w:t xml:space="preserve"> профессионального становления личности широко изучена в работах таких ученых, как </w:t>
      </w:r>
      <w:r w:rsidR="00976CEB" w:rsidRPr="002D25AF">
        <w:rPr>
          <w:rFonts w:ascii="Times New Roman" w:eastAsia="Times New Roman" w:hAnsi="Times New Roman" w:cs="Times New Roman"/>
          <w:bCs/>
          <w:color w:val="000000" w:themeColor="text1"/>
          <w:sz w:val="28"/>
          <w:szCs w:val="28"/>
          <w:lang w:eastAsia="ru-RU"/>
        </w:rPr>
        <w:t>А.Н. Леонтьев, Л.С. Выготский, Е.А. Кл</w:t>
      </w:r>
      <w:r w:rsidR="00976CEB" w:rsidRPr="009537A4">
        <w:rPr>
          <w:rFonts w:ascii="Times New Roman" w:eastAsia="Times New Roman" w:hAnsi="Times New Roman" w:cs="Times New Roman"/>
          <w:bCs/>
          <w:color w:val="000000" w:themeColor="text1"/>
          <w:sz w:val="28"/>
          <w:szCs w:val="28"/>
          <w:lang w:eastAsia="ru-RU"/>
        </w:rPr>
        <w:t>имов, С.Л. Рубинштейн,</w:t>
      </w:r>
      <w:r w:rsidR="00976CEB" w:rsidRPr="00976CEB">
        <w:rPr>
          <w:rFonts w:ascii="Times New Roman" w:eastAsia="Times New Roman" w:hAnsi="Times New Roman" w:cs="Times New Roman"/>
          <w:b/>
          <w:bCs/>
          <w:color w:val="000000" w:themeColor="text1"/>
          <w:sz w:val="28"/>
          <w:szCs w:val="28"/>
          <w:lang w:eastAsia="ru-RU"/>
        </w:rPr>
        <w:t xml:space="preserve"> </w:t>
      </w:r>
      <w:r w:rsidR="00976CEB" w:rsidRPr="00976CEB">
        <w:rPr>
          <w:rFonts w:ascii="Times New Roman" w:eastAsia="Times New Roman" w:hAnsi="Times New Roman" w:cs="Times New Roman"/>
          <w:color w:val="000000" w:themeColor="text1"/>
          <w:sz w:val="28"/>
          <w:szCs w:val="28"/>
          <w:lang w:eastAsia="ru-RU"/>
        </w:rPr>
        <w:t>С. Ж. Мадиев, Г. К. Нургалиева, А. Б. Сулейменова, М. Т. Тажибаева</w:t>
      </w:r>
      <w:r w:rsidR="006A5621">
        <w:rPr>
          <w:rFonts w:ascii="Times New Roman" w:eastAsia="Times New Roman" w:hAnsi="Times New Roman" w:cs="Times New Roman"/>
          <w:color w:val="000000" w:themeColor="text1"/>
          <w:sz w:val="28"/>
          <w:szCs w:val="28"/>
          <w:lang w:eastAsia="ru-RU"/>
        </w:rPr>
        <w:t>, Б.Д. Сыдыков</w:t>
      </w:r>
      <w:r w:rsidR="00976CEB" w:rsidRPr="00976CEB">
        <w:rPr>
          <w:rFonts w:ascii="Times New Roman" w:eastAsia="Times New Roman" w:hAnsi="Times New Roman" w:cs="Times New Roman"/>
          <w:color w:val="000000" w:themeColor="text1"/>
          <w:sz w:val="28"/>
          <w:szCs w:val="28"/>
          <w:lang w:eastAsia="ru-RU"/>
        </w:rPr>
        <w:t xml:space="preserve"> и др</w:t>
      </w:r>
      <w:r w:rsidR="00976CEB" w:rsidRPr="002D25AF">
        <w:rPr>
          <w:rFonts w:ascii="Times New Roman" w:eastAsia="Times New Roman" w:hAnsi="Times New Roman" w:cs="Times New Roman"/>
          <w:color w:val="000000" w:themeColor="text1"/>
          <w:sz w:val="28"/>
          <w:szCs w:val="28"/>
          <w:lang w:eastAsia="ru-RU"/>
        </w:rPr>
        <w:t>. Их труды посвящены изучению мотивационных механизмов профессионального самоопределения, развития личности в процессе трудовой деятельности и влияния образовательной среды на выбор профессии.</w:t>
      </w:r>
    </w:p>
    <w:p w:rsidR="00976CEB" w:rsidRPr="002D25AF" w:rsidRDefault="00976CEB" w:rsidP="00976CE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2D25AF">
        <w:rPr>
          <w:rFonts w:ascii="Times New Roman" w:eastAsia="Times New Roman" w:hAnsi="Times New Roman" w:cs="Times New Roman"/>
          <w:color w:val="000000" w:themeColor="text1"/>
          <w:sz w:val="28"/>
          <w:szCs w:val="28"/>
          <w:lang w:eastAsia="ru-RU"/>
        </w:rPr>
        <w:t xml:space="preserve">Важным вкладом в исследование профессиональной подготовки является концепция деловых игр, предложенная </w:t>
      </w:r>
      <w:r w:rsidRPr="002D25AF">
        <w:rPr>
          <w:rFonts w:ascii="Times New Roman" w:eastAsia="Times New Roman" w:hAnsi="Times New Roman" w:cs="Times New Roman"/>
          <w:bCs/>
          <w:color w:val="000000" w:themeColor="text1"/>
          <w:sz w:val="28"/>
          <w:szCs w:val="28"/>
          <w:lang w:eastAsia="ru-RU"/>
        </w:rPr>
        <w:t>Г.П. Щедровицким</w:t>
      </w:r>
      <w:r w:rsidRPr="002D25AF">
        <w:rPr>
          <w:rFonts w:ascii="Times New Roman" w:eastAsia="Times New Roman" w:hAnsi="Times New Roman" w:cs="Times New Roman"/>
          <w:color w:val="000000" w:themeColor="text1"/>
          <w:sz w:val="28"/>
          <w:szCs w:val="28"/>
          <w:lang w:eastAsia="ru-RU"/>
        </w:rPr>
        <w:t xml:space="preserve">. Он утверждал, что профессиональное становление студентов происходит в процессе моделирования реальных производственных ситуаций, что полностью соответствует идее использования стохастико-игровых упражнений. Дальнейшее развитие этих идей наблюдается в работах </w:t>
      </w:r>
      <w:r w:rsidRPr="00976CEB">
        <w:rPr>
          <w:rFonts w:ascii="Times New Roman" w:hAnsi="Times New Roman" w:cs="Times New Roman"/>
          <w:bCs/>
          <w:color w:val="000000" w:themeColor="text1"/>
          <w:sz w:val="28"/>
          <w:szCs w:val="28"/>
        </w:rPr>
        <w:t>С.Б. Малых, Т.Н. Тихомирова, Ю.В. Ковас, А.А. Кузьмина и др.</w:t>
      </w:r>
      <w:r w:rsidRPr="002D25AF">
        <w:rPr>
          <w:rFonts w:ascii="Times New Roman" w:eastAsia="Times New Roman" w:hAnsi="Times New Roman" w:cs="Times New Roman"/>
          <w:color w:val="000000" w:themeColor="text1"/>
          <w:sz w:val="28"/>
          <w:szCs w:val="28"/>
          <w:lang w:eastAsia="ru-RU"/>
        </w:rPr>
        <w:t>, которые исследовали когнитивные процессы и методы формирования профессионального мышления.</w:t>
      </w:r>
    </w:p>
    <w:p w:rsidR="00976CEB" w:rsidRPr="002D25AF" w:rsidRDefault="00976CEB" w:rsidP="00976CE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2D25AF">
        <w:rPr>
          <w:rFonts w:ascii="Times New Roman" w:eastAsia="Times New Roman" w:hAnsi="Times New Roman" w:cs="Times New Roman"/>
          <w:color w:val="000000" w:themeColor="text1"/>
          <w:sz w:val="28"/>
          <w:szCs w:val="28"/>
          <w:lang w:eastAsia="ru-RU"/>
        </w:rPr>
        <w:t xml:space="preserve">Игровые технологии как средство формирования профессиональной компетентности детально изучались в работах </w:t>
      </w:r>
      <w:r w:rsidRPr="00976CEB">
        <w:rPr>
          <w:rStyle w:val="a5"/>
          <w:rFonts w:ascii="Times New Roman" w:hAnsi="Times New Roman" w:cs="Times New Roman"/>
          <w:b w:val="0"/>
          <w:color w:val="000000" w:themeColor="text1"/>
          <w:sz w:val="28"/>
          <w:szCs w:val="28"/>
        </w:rPr>
        <w:t>Н.А. Шаманова, Т.Г. Ханова, А.С. Дорогина, Е.В. Соболева, Е.А. Кузнецовой и др</w:t>
      </w:r>
      <w:r w:rsidRPr="002D25AF">
        <w:rPr>
          <w:rFonts w:ascii="Times New Roman" w:eastAsia="Times New Roman" w:hAnsi="Times New Roman" w:cs="Times New Roman"/>
          <w:color w:val="000000" w:themeColor="text1"/>
          <w:sz w:val="28"/>
          <w:szCs w:val="28"/>
          <w:lang w:eastAsia="ru-RU"/>
        </w:rPr>
        <w:t>. Они подчеркивали значимость активных методов обучения, таких как проблемное обучение, деловые и ролевые игры, которые способствуют развитию стратегического мышления, аналитических способностей и способности адаптироваться к сложным условиям профессиональной деятельности.</w:t>
      </w:r>
    </w:p>
    <w:p w:rsidR="00976CEB" w:rsidRPr="002D25AF" w:rsidRDefault="00976CEB" w:rsidP="00976CE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2D25AF">
        <w:rPr>
          <w:rFonts w:ascii="Times New Roman" w:eastAsia="Times New Roman" w:hAnsi="Times New Roman" w:cs="Times New Roman"/>
          <w:color w:val="000000" w:themeColor="text1"/>
          <w:sz w:val="28"/>
          <w:szCs w:val="28"/>
          <w:lang w:eastAsia="ru-RU"/>
        </w:rPr>
        <w:lastRenderedPageBreak/>
        <w:t xml:space="preserve">Применение стохастических методов и теории вероятностей в обучении рассматривалось в трудах </w:t>
      </w:r>
      <w:r w:rsidRPr="002D25AF">
        <w:rPr>
          <w:rFonts w:ascii="Times New Roman" w:eastAsia="Times New Roman" w:hAnsi="Times New Roman" w:cs="Times New Roman"/>
          <w:bCs/>
          <w:color w:val="000000" w:themeColor="text1"/>
          <w:sz w:val="28"/>
          <w:szCs w:val="28"/>
          <w:lang w:eastAsia="ru-RU"/>
        </w:rPr>
        <w:t>А.Н. Колмогорова, П.С. Лапласа,</w:t>
      </w:r>
      <w:r w:rsidRPr="002D25AF">
        <w:rPr>
          <w:rFonts w:ascii="Times New Roman" w:eastAsia="Times New Roman" w:hAnsi="Times New Roman" w:cs="Times New Roman"/>
          <w:b/>
          <w:bCs/>
          <w:color w:val="000000" w:themeColor="text1"/>
          <w:sz w:val="28"/>
          <w:szCs w:val="28"/>
          <w:lang w:eastAsia="ru-RU"/>
        </w:rPr>
        <w:t xml:space="preserve"> </w:t>
      </w:r>
      <w:r w:rsidRPr="00976CEB">
        <w:rPr>
          <w:rStyle w:val="a5"/>
          <w:rFonts w:ascii="Times New Roman" w:hAnsi="Times New Roman" w:cs="Times New Roman"/>
          <w:b w:val="0"/>
          <w:color w:val="000000" w:themeColor="text1"/>
          <w:sz w:val="28"/>
          <w:szCs w:val="28"/>
        </w:rPr>
        <w:t>О.А. Мешковой, Е.С. Кочетовой, С.В. Левчук, О.А. Дорожкиной</w:t>
      </w:r>
      <w:r w:rsidR="009B1DD3">
        <w:rPr>
          <w:rStyle w:val="a5"/>
          <w:rFonts w:ascii="Times New Roman" w:hAnsi="Times New Roman" w:cs="Times New Roman"/>
          <w:b w:val="0"/>
          <w:color w:val="000000" w:themeColor="text1"/>
          <w:sz w:val="28"/>
          <w:szCs w:val="28"/>
        </w:rPr>
        <w:t>, Б.Ж. Нурбеков, Г.М. Асанбаева</w:t>
      </w:r>
      <w:r w:rsidRPr="00976CEB">
        <w:rPr>
          <w:rStyle w:val="a5"/>
          <w:rFonts w:ascii="Times New Roman" w:hAnsi="Times New Roman" w:cs="Times New Roman"/>
          <w:b w:val="0"/>
          <w:color w:val="000000" w:themeColor="text1"/>
          <w:sz w:val="28"/>
          <w:szCs w:val="28"/>
        </w:rPr>
        <w:t xml:space="preserve"> и др</w:t>
      </w:r>
      <w:r w:rsidRPr="002D25AF">
        <w:rPr>
          <w:rFonts w:ascii="Times New Roman" w:eastAsia="Times New Roman" w:hAnsi="Times New Roman" w:cs="Times New Roman"/>
          <w:color w:val="000000" w:themeColor="text1"/>
          <w:sz w:val="28"/>
          <w:szCs w:val="28"/>
          <w:lang w:eastAsia="ru-RU"/>
        </w:rPr>
        <w:t>. Они доказали, что моделирование неопределенных ситуаций позволяет развивать у студентов способность анализировать риски, прогнозировать события и принимать обоснованные решения в условиях многовариантности.</w:t>
      </w:r>
    </w:p>
    <w:p w:rsidR="00976CEB" w:rsidRPr="002D25AF" w:rsidRDefault="00976CEB" w:rsidP="00976CE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2D25AF">
        <w:rPr>
          <w:rFonts w:ascii="Times New Roman" w:eastAsia="Times New Roman" w:hAnsi="Times New Roman" w:cs="Times New Roman"/>
          <w:color w:val="000000" w:themeColor="text1"/>
          <w:sz w:val="28"/>
          <w:szCs w:val="28"/>
          <w:lang w:eastAsia="ru-RU"/>
        </w:rPr>
        <w:t xml:space="preserve">В работах </w:t>
      </w:r>
      <w:r w:rsidRPr="00976CEB">
        <w:rPr>
          <w:rStyle w:val="a5"/>
          <w:rFonts w:ascii="Times New Roman" w:hAnsi="Times New Roman" w:cs="Times New Roman"/>
          <w:b w:val="0"/>
          <w:color w:val="000000" w:themeColor="text1"/>
          <w:sz w:val="28"/>
          <w:szCs w:val="28"/>
        </w:rPr>
        <w:t>Д.В. Солопченко, И.А. Страха, К.А. Ковалевой, Е.В. Лушниковой, А.В. Емельяновой</w:t>
      </w:r>
      <w:r w:rsidRPr="00976CEB">
        <w:rPr>
          <w:rFonts w:ascii="Times New Roman" w:eastAsia="Times New Roman" w:hAnsi="Times New Roman" w:cs="Times New Roman"/>
          <w:color w:val="000000" w:themeColor="text1"/>
          <w:sz w:val="28"/>
          <w:szCs w:val="28"/>
          <w:lang w:eastAsia="ru-RU"/>
        </w:rPr>
        <w:t xml:space="preserve"> </w:t>
      </w:r>
      <w:r w:rsidRPr="002D25AF">
        <w:rPr>
          <w:rFonts w:ascii="Times New Roman" w:eastAsia="Times New Roman" w:hAnsi="Times New Roman" w:cs="Times New Roman"/>
          <w:color w:val="000000" w:themeColor="text1"/>
          <w:sz w:val="28"/>
          <w:szCs w:val="28"/>
          <w:lang w:eastAsia="ru-RU"/>
        </w:rPr>
        <w:t xml:space="preserve">рассматриваются методы ситуационного моделирования, в которых элементы случайности используются для обучения навыкам принятия решений. Это согласуется с концепцией вероятностного обучения, предложенной </w:t>
      </w:r>
      <w:r w:rsidRPr="002D25AF">
        <w:rPr>
          <w:rFonts w:ascii="Times New Roman" w:eastAsia="Times New Roman" w:hAnsi="Times New Roman" w:cs="Times New Roman"/>
          <w:bCs/>
          <w:color w:val="000000" w:themeColor="text1"/>
          <w:sz w:val="28"/>
          <w:szCs w:val="28"/>
          <w:lang w:eastAsia="ru-RU"/>
        </w:rPr>
        <w:t>Н.В. Смирновым</w:t>
      </w:r>
      <w:r w:rsidRPr="002D25AF">
        <w:rPr>
          <w:rFonts w:ascii="Times New Roman" w:eastAsia="Times New Roman" w:hAnsi="Times New Roman" w:cs="Times New Roman"/>
          <w:color w:val="000000" w:themeColor="text1"/>
          <w:sz w:val="28"/>
          <w:szCs w:val="28"/>
          <w:lang w:eastAsia="ru-RU"/>
        </w:rPr>
        <w:t>, которая предполагает подготовку студентов к работе в условиях неопределенности путем решения практических задач, основанных на вероятностных сценариях.</w:t>
      </w:r>
    </w:p>
    <w:p w:rsidR="00976CEB" w:rsidRPr="00976CEB" w:rsidRDefault="00976CEB" w:rsidP="00976CEB">
      <w:pPr>
        <w:spacing w:after="0" w:line="240" w:lineRule="auto"/>
        <w:ind w:firstLine="567"/>
        <w:jc w:val="both"/>
        <w:rPr>
          <w:rFonts w:ascii="Times New Roman" w:hAnsi="Times New Roman" w:cs="Times New Roman"/>
          <w:color w:val="000000" w:themeColor="text1"/>
          <w:sz w:val="28"/>
          <w:szCs w:val="28"/>
        </w:rPr>
      </w:pPr>
      <w:r w:rsidRPr="00976CEB">
        <w:rPr>
          <w:rFonts w:ascii="Times New Roman" w:hAnsi="Times New Roman" w:cs="Times New Roman"/>
          <w:color w:val="000000" w:themeColor="text1"/>
          <w:sz w:val="28"/>
          <w:szCs w:val="28"/>
        </w:rPr>
        <w:t>В отечественной педагогике проблема профессиональной направленности студентов исследуется в контексте модернизации образовательной системы Казахстана. В работах С.М. Сеитовой, С.Ж. Мадиева, Г.К. Н</w:t>
      </w:r>
      <w:r w:rsidR="009B1DD3">
        <w:rPr>
          <w:rFonts w:ascii="Times New Roman" w:hAnsi="Times New Roman" w:cs="Times New Roman"/>
          <w:color w:val="000000" w:themeColor="text1"/>
          <w:sz w:val="28"/>
          <w:szCs w:val="28"/>
        </w:rPr>
        <w:t xml:space="preserve">ургалиевой, А.Б. Сулейменовой, </w:t>
      </w:r>
      <w:r w:rsidRPr="00976CEB">
        <w:rPr>
          <w:rFonts w:ascii="Times New Roman" w:hAnsi="Times New Roman" w:cs="Times New Roman"/>
          <w:color w:val="000000" w:themeColor="text1"/>
          <w:sz w:val="28"/>
          <w:szCs w:val="28"/>
        </w:rPr>
        <w:t>М.Т. Тажибаевой</w:t>
      </w:r>
      <w:r w:rsidR="00C14B2B">
        <w:rPr>
          <w:rFonts w:ascii="Times New Roman" w:hAnsi="Times New Roman" w:cs="Times New Roman"/>
          <w:color w:val="000000" w:themeColor="text1"/>
          <w:sz w:val="28"/>
          <w:szCs w:val="28"/>
        </w:rPr>
        <w:t>, Р.И. Кадирбаевой</w:t>
      </w:r>
      <w:r w:rsidRPr="00976CEB">
        <w:rPr>
          <w:rFonts w:ascii="Times New Roman" w:hAnsi="Times New Roman" w:cs="Times New Roman"/>
          <w:color w:val="000000" w:themeColor="text1"/>
          <w:sz w:val="28"/>
          <w:szCs w:val="28"/>
        </w:rPr>
        <w:t xml:space="preserve"> рассматриваются психолого-педагогические условия формирования профессиональной направленности, влияние образовательной среды и гендерные аспекты профессионального самоопределения. </w:t>
      </w:r>
    </w:p>
    <w:p w:rsidR="00976CEB" w:rsidRPr="002D25AF" w:rsidRDefault="00976CEB" w:rsidP="00976CE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2D25AF">
        <w:rPr>
          <w:rFonts w:ascii="Times New Roman" w:eastAsia="Times New Roman" w:hAnsi="Times New Roman" w:cs="Times New Roman"/>
          <w:color w:val="000000" w:themeColor="text1"/>
          <w:sz w:val="28"/>
          <w:szCs w:val="28"/>
          <w:lang w:eastAsia="ru-RU"/>
        </w:rPr>
        <w:t xml:space="preserve">Анализ литературы подтверждает, что разработка стохастико-игровых упражнений для формирования профессиональной направленности студентов опирается на фундаментальные труды в области педагогики, психологии, теории вероятностей и образовательных технологий. Работы </w:t>
      </w:r>
      <w:r w:rsidRPr="002D25AF">
        <w:rPr>
          <w:rFonts w:ascii="Times New Roman" w:eastAsia="Times New Roman" w:hAnsi="Times New Roman" w:cs="Times New Roman"/>
          <w:bCs/>
          <w:color w:val="000000" w:themeColor="text1"/>
          <w:sz w:val="28"/>
          <w:szCs w:val="28"/>
          <w:lang w:eastAsia="ru-RU"/>
        </w:rPr>
        <w:t>Г.П. Щедровицкого, А.А. Вербицкого, Н.В. Смирнова, В.Ф. Кабанцева, Л.М. Фридмана, Й. Хейзинги, Д. Колба, Ж. Пиаже, А.Н. Колмогорова, В.И. Арнольда</w:t>
      </w:r>
      <w:r w:rsidRPr="002D25AF">
        <w:rPr>
          <w:rFonts w:ascii="Times New Roman" w:eastAsia="Times New Roman" w:hAnsi="Times New Roman" w:cs="Times New Roman"/>
          <w:color w:val="000000" w:themeColor="text1"/>
          <w:sz w:val="28"/>
          <w:szCs w:val="28"/>
          <w:lang w:eastAsia="ru-RU"/>
        </w:rPr>
        <w:t xml:space="preserve"> показывают, что сочетание стохастики, игровых технологий и цифровых инструментов является эффективной методикой подготовки специалистов в условиях неопределенности.</w:t>
      </w:r>
    </w:p>
    <w:p w:rsidR="00B84740" w:rsidRPr="00382DF1" w:rsidRDefault="00B84740" w:rsidP="007D434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976CEB">
        <w:rPr>
          <w:rFonts w:ascii="Times New Roman" w:eastAsia="Times New Roman" w:hAnsi="Times New Roman" w:cs="Times New Roman"/>
          <w:color w:val="000000" w:themeColor="text1"/>
          <w:sz w:val="28"/>
          <w:szCs w:val="28"/>
          <w:lang w:eastAsia="ru-RU"/>
        </w:rPr>
        <w:t xml:space="preserve">Проведенный анализ различных источников позволил выявить следующие </w:t>
      </w:r>
      <w:r w:rsidRPr="00382DF1">
        <w:rPr>
          <w:rFonts w:ascii="Times New Roman" w:eastAsia="Times New Roman" w:hAnsi="Times New Roman" w:cs="Times New Roman"/>
          <w:b/>
          <w:color w:val="000000" w:themeColor="text1"/>
          <w:sz w:val="28"/>
          <w:szCs w:val="28"/>
          <w:lang w:eastAsia="ru-RU"/>
        </w:rPr>
        <w:t>противоречия:</w:t>
      </w:r>
    </w:p>
    <w:p w:rsidR="00B84740" w:rsidRPr="00382DF1" w:rsidRDefault="00B84740" w:rsidP="007D434B">
      <w:pPr>
        <w:spacing w:after="0" w:line="240" w:lineRule="auto"/>
        <w:ind w:firstLine="567"/>
        <w:jc w:val="both"/>
        <w:outlineLvl w:val="2"/>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b/>
          <w:bCs/>
          <w:color w:val="000000" w:themeColor="text1"/>
          <w:sz w:val="28"/>
          <w:szCs w:val="28"/>
          <w:lang w:eastAsia="ru-RU"/>
        </w:rPr>
        <w:t xml:space="preserve">1. Дидактическое противоречие. </w:t>
      </w:r>
      <w:r w:rsidRPr="00382DF1">
        <w:rPr>
          <w:rFonts w:ascii="Times New Roman" w:eastAsia="Times New Roman" w:hAnsi="Times New Roman" w:cs="Times New Roman"/>
          <w:color w:val="000000" w:themeColor="text1"/>
          <w:sz w:val="28"/>
          <w:szCs w:val="28"/>
          <w:lang w:eastAsia="ru-RU"/>
        </w:rPr>
        <w:t>Между абстрактностью математических понятий, изучаемых в рамках теории вероятностей, статистики и теории игр, и необходимостью их практического применения.</w:t>
      </w:r>
    </w:p>
    <w:p w:rsidR="00B84740" w:rsidRPr="00382DF1" w:rsidRDefault="00B84740" w:rsidP="007D434B">
      <w:pPr>
        <w:spacing w:after="0" w:line="240" w:lineRule="auto"/>
        <w:ind w:firstLine="567"/>
        <w:jc w:val="both"/>
        <w:outlineLvl w:val="2"/>
        <w:rPr>
          <w:rFonts w:ascii="Times New Roman" w:eastAsia="Times New Roman" w:hAnsi="Times New Roman" w:cs="Times New Roman"/>
          <w:b/>
          <w:bCs/>
          <w:color w:val="000000" w:themeColor="text1"/>
          <w:sz w:val="28"/>
          <w:szCs w:val="28"/>
          <w:lang w:eastAsia="ru-RU"/>
        </w:rPr>
      </w:pPr>
      <w:r w:rsidRPr="00382DF1">
        <w:rPr>
          <w:rFonts w:ascii="Times New Roman" w:eastAsia="Times New Roman" w:hAnsi="Times New Roman" w:cs="Times New Roman"/>
          <w:b/>
          <w:bCs/>
          <w:color w:val="000000" w:themeColor="text1"/>
          <w:sz w:val="28"/>
          <w:szCs w:val="28"/>
          <w:lang w:eastAsia="ru-RU"/>
        </w:rPr>
        <w:t xml:space="preserve">2. Психолого-педагогическое противоречие. </w:t>
      </w:r>
      <w:r w:rsidRPr="00382DF1">
        <w:rPr>
          <w:rFonts w:ascii="Times New Roman" w:eastAsia="Times New Roman" w:hAnsi="Times New Roman" w:cs="Times New Roman"/>
          <w:color w:val="000000" w:themeColor="text1"/>
          <w:sz w:val="28"/>
          <w:szCs w:val="28"/>
          <w:lang w:eastAsia="ru-RU"/>
        </w:rPr>
        <w:t>Между высокой сложностью восприятия стохастич</w:t>
      </w:r>
      <w:r w:rsidR="00682754">
        <w:rPr>
          <w:rFonts w:ascii="Times New Roman" w:eastAsia="Times New Roman" w:hAnsi="Times New Roman" w:cs="Times New Roman"/>
          <w:color w:val="000000" w:themeColor="text1"/>
          <w:sz w:val="28"/>
          <w:szCs w:val="28"/>
          <w:lang w:eastAsia="ru-RU"/>
        </w:rPr>
        <w:t>еских и игровых моделей</w:t>
      </w:r>
      <w:r w:rsidRPr="00382DF1">
        <w:rPr>
          <w:rFonts w:ascii="Times New Roman" w:eastAsia="Times New Roman" w:hAnsi="Times New Roman" w:cs="Times New Roman"/>
          <w:color w:val="000000" w:themeColor="text1"/>
          <w:sz w:val="28"/>
          <w:szCs w:val="28"/>
          <w:lang w:eastAsia="ru-RU"/>
        </w:rPr>
        <w:t xml:space="preserve"> и необходимостью их освоения для формирован</w:t>
      </w:r>
      <w:r w:rsidR="00682754">
        <w:rPr>
          <w:rFonts w:ascii="Times New Roman" w:eastAsia="Times New Roman" w:hAnsi="Times New Roman" w:cs="Times New Roman"/>
          <w:color w:val="000000" w:themeColor="text1"/>
          <w:sz w:val="28"/>
          <w:szCs w:val="28"/>
          <w:lang w:eastAsia="ru-RU"/>
        </w:rPr>
        <w:t>ия профессиональных компетенций</w:t>
      </w:r>
      <w:r w:rsidRPr="00382DF1">
        <w:rPr>
          <w:rFonts w:ascii="Times New Roman" w:eastAsia="Times New Roman" w:hAnsi="Times New Roman" w:cs="Times New Roman"/>
          <w:color w:val="000000" w:themeColor="text1"/>
          <w:sz w:val="28"/>
          <w:szCs w:val="28"/>
          <w:lang w:eastAsia="ru-RU"/>
        </w:rPr>
        <w:t>.</w:t>
      </w:r>
      <w:r w:rsidRPr="00382DF1">
        <w:rPr>
          <w:rFonts w:ascii="Times New Roman" w:eastAsia="Times New Roman" w:hAnsi="Times New Roman" w:cs="Times New Roman"/>
          <w:b/>
          <w:bCs/>
          <w:color w:val="000000" w:themeColor="text1"/>
          <w:sz w:val="28"/>
          <w:szCs w:val="28"/>
          <w:lang w:eastAsia="ru-RU"/>
        </w:rPr>
        <w:t xml:space="preserve"> </w:t>
      </w:r>
    </w:p>
    <w:p w:rsidR="00B84740" w:rsidRPr="00382DF1" w:rsidRDefault="00B84740" w:rsidP="007D434B">
      <w:pPr>
        <w:spacing w:after="0" w:line="240" w:lineRule="auto"/>
        <w:ind w:firstLine="567"/>
        <w:jc w:val="both"/>
        <w:outlineLvl w:val="2"/>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b/>
          <w:bCs/>
          <w:color w:val="000000" w:themeColor="text1"/>
          <w:sz w:val="28"/>
          <w:szCs w:val="28"/>
          <w:lang w:eastAsia="ru-RU"/>
        </w:rPr>
        <w:t xml:space="preserve">3. Методологическое противоречие. </w:t>
      </w:r>
      <w:r w:rsidRPr="00382DF1">
        <w:rPr>
          <w:rFonts w:ascii="Times New Roman" w:eastAsia="Times New Roman" w:hAnsi="Times New Roman" w:cs="Times New Roman"/>
          <w:color w:val="000000" w:themeColor="text1"/>
          <w:sz w:val="28"/>
          <w:szCs w:val="28"/>
          <w:lang w:eastAsia="ru-RU"/>
        </w:rPr>
        <w:t>Между необходимостью формирования у студентов профессиональной направленности на основе математических дисциплин (теории вероятностей, математической статистики и теории игр) и сложностью их интеграции в профессио</w:t>
      </w:r>
      <w:r w:rsidR="00193B97">
        <w:rPr>
          <w:rFonts w:ascii="Times New Roman" w:eastAsia="Times New Roman" w:hAnsi="Times New Roman" w:cs="Times New Roman"/>
          <w:color w:val="000000" w:themeColor="text1"/>
          <w:sz w:val="28"/>
          <w:szCs w:val="28"/>
          <w:lang w:eastAsia="ru-RU"/>
        </w:rPr>
        <w:t>нально-ориентированное обучение</w:t>
      </w:r>
      <w:r w:rsidRPr="00382DF1">
        <w:rPr>
          <w:rFonts w:ascii="Times New Roman" w:eastAsia="Times New Roman" w:hAnsi="Times New Roman" w:cs="Times New Roman"/>
          <w:color w:val="000000" w:themeColor="text1"/>
          <w:sz w:val="28"/>
          <w:szCs w:val="28"/>
          <w:lang w:eastAsia="ru-RU"/>
        </w:rPr>
        <w:t>.</w:t>
      </w:r>
    </w:p>
    <w:p w:rsidR="00B84740" w:rsidRPr="00382DF1" w:rsidRDefault="00B84740" w:rsidP="007D434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color w:val="000000" w:themeColor="text1"/>
          <w:sz w:val="28"/>
          <w:szCs w:val="28"/>
          <w:lang w:eastAsia="ru-RU"/>
        </w:rPr>
        <w:t>Отмеченные противоречия являются основанием для выбора проблемы исследования</w:t>
      </w:r>
      <w:r w:rsidR="00CA2B40">
        <w:rPr>
          <w:rFonts w:ascii="Times New Roman" w:eastAsia="Times New Roman" w:hAnsi="Times New Roman" w:cs="Times New Roman"/>
          <w:color w:val="000000" w:themeColor="text1"/>
          <w:sz w:val="28"/>
          <w:szCs w:val="28"/>
          <w:lang w:eastAsia="ru-RU"/>
        </w:rPr>
        <w:t xml:space="preserve">, которая </w:t>
      </w:r>
      <w:r w:rsidR="00CA2B40" w:rsidRPr="00382DF1">
        <w:rPr>
          <w:rFonts w:ascii="Times New Roman" w:eastAsia="Times New Roman" w:hAnsi="Times New Roman" w:cs="Times New Roman"/>
          <w:color w:val="000000" w:themeColor="text1"/>
          <w:sz w:val="28"/>
          <w:szCs w:val="28"/>
          <w:lang w:eastAsia="ru-RU"/>
        </w:rPr>
        <w:t xml:space="preserve">заключается в выявлении и разработке педагогических </w:t>
      </w:r>
      <w:r w:rsidR="00CA2B40" w:rsidRPr="00382DF1">
        <w:rPr>
          <w:rFonts w:ascii="Times New Roman" w:eastAsia="Times New Roman" w:hAnsi="Times New Roman" w:cs="Times New Roman"/>
          <w:color w:val="000000" w:themeColor="text1"/>
          <w:sz w:val="28"/>
          <w:szCs w:val="28"/>
          <w:lang w:eastAsia="ru-RU"/>
        </w:rPr>
        <w:lastRenderedPageBreak/>
        <w:t>условий, принципов и методов, способствующих эффективному формированию профессиональной направленности студентов через систему упражнений по теории вероятностей, математической статистике и теории игр.</w:t>
      </w:r>
      <w:r w:rsidRPr="00382DF1">
        <w:rPr>
          <w:rFonts w:ascii="Times New Roman" w:eastAsia="Times New Roman" w:hAnsi="Times New Roman" w:cs="Times New Roman"/>
          <w:color w:val="000000" w:themeColor="text1"/>
          <w:sz w:val="28"/>
          <w:szCs w:val="28"/>
          <w:lang w:eastAsia="ru-RU"/>
        </w:rPr>
        <w:t xml:space="preserve"> Он</w:t>
      </w:r>
      <w:r w:rsidR="00CA2B40">
        <w:rPr>
          <w:rFonts w:ascii="Times New Roman" w:eastAsia="Times New Roman" w:hAnsi="Times New Roman" w:cs="Times New Roman"/>
          <w:color w:val="000000" w:themeColor="text1"/>
          <w:sz w:val="28"/>
          <w:szCs w:val="28"/>
          <w:lang w:eastAsia="ru-RU"/>
        </w:rPr>
        <w:t>а указывае</w:t>
      </w:r>
      <w:r w:rsidRPr="00382DF1">
        <w:rPr>
          <w:rFonts w:ascii="Times New Roman" w:eastAsia="Times New Roman" w:hAnsi="Times New Roman" w:cs="Times New Roman"/>
          <w:color w:val="000000" w:themeColor="text1"/>
          <w:sz w:val="28"/>
          <w:szCs w:val="28"/>
          <w:lang w:eastAsia="ru-RU"/>
        </w:rPr>
        <w:t>т на разрыв между существующими подходами к обучению (традиционной методикой преподавания теории вероятностей, математической статистики и теории игр) и потребностью формирования профессиональной направленности студентов.</w:t>
      </w:r>
    </w:p>
    <w:p w:rsidR="00B84740" w:rsidRPr="00382DF1" w:rsidRDefault="00B84740" w:rsidP="007D434B">
      <w:pPr>
        <w:pStyle w:val="2"/>
        <w:spacing w:before="0" w:beforeAutospacing="0" w:after="0" w:afterAutospacing="0"/>
        <w:ind w:firstLine="567"/>
        <w:jc w:val="both"/>
        <w:rPr>
          <w:color w:val="000000" w:themeColor="text1"/>
          <w:sz w:val="28"/>
          <w:szCs w:val="28"/>
        </w:rPr>
      </w:pPr>
      <w:r w:rsidRPr="00382DF1">
        <w:rPr>
          <w:b w:val="0"/>
          <w:color w:val="000000" w:themeColor="text1"/>
          <w:sz w:val="28"/>
          <w:szCs w:val="28"/>
        </w:rPr>
        <w:t xml:space="preserve">Данные противоречия и недостаточность исследования дали нам основание выбрать тему диссертации: </w:t>
      </w:r>
      <w:r w:rsidRPr="00382DF1">
        <w:rPr>
          <w:color w:val="000000" w:themeColor="text1"/>
          <w:sz w:val="28"/>
          <w:szCs w:val="28"/>
        </w:rPr>
        <w:t>«Методология формирования профессиональной направленности студентов через систему стохастико-игровых упражнений».</w:t>
      </w:r>
    </w:p>
    <w:p w:rsidR="00B84740" w:rsidRPr="00382DF1" w:rsidRDefault="00B84740" w:rsidP="007D434B">
      <w:pPr>
        <w:spacing w:after="0" w:line="240" w:lineRule="auto"/>
        <w:ind w:firstLine="567"/>
        <w:jc w:val="both"/>
        <w:outlineLvl w:val="2"/>
        <w:rPr>
          <w:rFonts w:ascii="Times New Roman" w:eastAsia="Times New Roman" w:hAnsi="Times New Roman" w:cs="Times New Roman"/>
          <w:b/>
          <w:bCs/>
          <w:color w:val="000000" w:themeColor="text1"/>
          <w:sz w:val="28"/>
          <w:szCs w:val="28"/>
          <w:lang w:eastAsia="ru-RU"/>
        </w:rPr>
      </w:pPr>
      <w:r w:rsidRPr="00382DF1">
        <w:rPr>
          <w:rFonts w:ascii="Times New Roman" w:eastAsia="Times New Roman" w:hAnsi="Times New Roman" w:cs="Times New Roman"/>
          <w:b/>
          <w:bCs/>
          <w:color w:val="000000" w:themeColor="text1"/>
          <w:sz w:val="28"/>
          <w:szCs w:val="28"/>
          <w:lang w:eastAsia="ru-RU"/>
        </w:rPr>
        <w:t xml:space="preserve">Цель исследования: </w:t>
      </w:r>
      <w:r w:rsidRPr="00382DF1">
        <w:rPr>
          <w:rFonts w:ascii="Times New Roman" w:eastAsia="Times New Roman" w:hAnsi="Times New Roman" w:cs="Times New Roman"/>
          <w:color w:val="000000" w:themeColor="text1"/>
          <w:sz w:val="28"/>
          <w:szCs w:val="28"/>
          <w:lang w:eastAsia="ru-RU"/>
        </w:rPr>
        <w:t xml:space="preserve">научно - методически обосновать </w:t>
      </w:r>
      <w:r w:rsidRPr="00042AA5">
        <w:rPr>
          <w:rFonts w:ascii="Times New Roman" w:eastAsia="Times New Roman" w:hAnsi="Times New Roman" w:cs="Times New Roman"/>
          <w:bCs/>
          <w:color w:val="000000" w:themeColor="text1"/>
          <w:sz w:val="28"/>
          <w:szCs w:val="28"/>
          <w:lang w:eastAsia="ru-RU"/>
        </w:rPr>
        <w:t>формирование профессиональной направленности студентов</w:t>
      </w:r>
      <w:r w:rsidRPr="00382DF1">
        <w:rPr>
          <w:rFonts w:ascii="Times New Roman" w:eastAsia="Times New Roman" w:hAnsi="Times New Roman" w:cs="Times New Roman"/>
          <w:color w:val="000000" w:themeColor="text1"/>
          <w:sz w:val="28"/>
          <w:szCs w:val="28"/>
          <w:lang w:eastAsia="ru-RU"/>
        </w:rPr>
        <w:t xml:space="preserve"> через систему стохастико – игровых упражнений.</w:t>
      </w:r>
    </w:p>
    <w:p w:rsidR="00B84740" w:rsidRPr="00382DF1" w:rsidRDefault="00B84740" w:rsidP="007D434B">
      <w:pPr>
        <w:spacing w:after="0" w:line="240" w:lineRule="auto"/>
        <w:ind w:firstLine="567"/>
        <w:jc w:val="both"/>
        <w:outlineLvl w:val="2"/>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b/>
          <w:bCs/>
          <w:color w:val="000000" w:themeColor="text1"/>
          <w:sz w:val="28"/>
          <w:szCs w:val="28"/>
          <w:lang w:eastAsia="ru-RU"/>
        </w:rPr>
        <w:t xml:space="preserve">Объект исследования: </w:t>
      </w:r>
      <w:r w:rsidRPr="00382DF1">
        <w:rPr>
          <w:rFonts w:ascii="Times New Roman" w:eastAsia="Times New Roman" w:hAnsi="Times New Roman" w:cs="Times New Roman"/>
          <w:color w:val="000000" w:themeColor="text1"/>
          <w:sz w:val="28"/>
          <w:szCs w:val="28"/>
          <w:lang w:eastAsia="ru-RU"/>
        </w:rPr>
        <w:t>образовательный процесс, в рамках которого формируется профессиональная направленность студентов, а также методологические подходы, применяемые для его совершенствования.</w:t>
      </w:r>
    </w:p>
    <w:p w:rsidR="00B84740" w:rsidRPr="00382DF1" w:rsidRDefault="00B84740" w:rsidP="007D434B">
      <w:pPr>
        <w:pStyle w:val="3"/>
        <w:spacing w:before="0" w:line="240" w:lineRule="auto"/>
        <w:ind w:firstLine="567"/>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Предмет исследования</w:t>
      </w:r>
      <w:r w:rsidRPr="00382DF1">
        <w:rPr>
          <w:rFonts w:ascii="Times New Roman" w:hAnsi="Times New Roman" w:cs="Times New Roman"/>
          <w:color w:val="000000" w:themeColor="text1"/>
          <w:sz w:val="28"/>
          <w:szCs w:val="28"/>
        </w:rPr>
        <w:t>: разработка, обоснование и внедрение методических подходов, направленных на интеграцию стохастических и игровых методов в профессиональную подготовку студентов.</w:t>
      </w:r>
    </w:p>
    <w:p w:rsidR="00B84740" w:rsidRPr="00382DF1" w:rsidRDefault="00B84740" w:rsidP="007D434B">
      <w:pPr>
        <w:spacing w:after="0" w:line="240" w:lineRule="auto"/>
        <w:ind w:firstLine="567"/>
        <w:jc w:val="both"/>
        <w:rPr>
          <w:rFonts w:ascii="Times New Roman" w:hAnsi="Times New Roman" w:cs="Times New Roman"/>
          <w:sz w:val="28"/>
          <w:szCs w:val="28"/>
        </w:rPr>
      </w:pPr>
      <w:r w:rsidRPr="00382DF1">
        <w:rPr>
          <w:rFonts w:ascii="Times New Roman" w:eastAsia="Times New Roman" w:hAnsi="Times New Roman" w:cs="Times New Roman"/>
          <w:b/>
          <w:bCs/>
          <w:color w:val="000000" w:themeColor="text1"/>
          <w:sz w:val="28"/>
          <w:szCs w:val="28"/>
          <w:lang w:eastAsia="ru-RU"/>
        </w:rPr>
        <w:t xml:space="preserve">Гипотеза диссертационного исследования: </w:t>
      </w:r>
      <w:r w:rsidRPr="00382DF1">
        <w:rPr>
          <w:rFonts w:ascii="Times New Roman" w:hAnsi="Times New Roman" w:cs="Times New Roman"/>
          <w:sz w:val="28"/>
          <w:szCs w:val="28"/>
        </w:rPr>
        <w:t>если в образовательный процесс внедрить стохастико-игровые упражнения, то это будет способствовать формированию профессиональной направленности студентов, а также повышению качества профессиональной подготовки обучающихся.</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 xml:space="preserve">Исходя из цели и гипотезы исследования, были поставлены следующие </w:t>
      </w:r>
      <w:r w:rsidRPr="00C14B2B">
        <w:rPr>
          <w:color w:val="000000" w:themeColor="text1"/>
          <w:sz w:val="28"/>
          <w:szCs w:val="28"/>
        </w:rPr>
        <w:t>задачи исследования</w:t>
      </w:r>
      <w:r w:rsidRPr="00382DF1">
        <w:rPr>
          <w:b w:val="0"/>
          <w:color w:val="000000" w:themeColor="text1"/>
          <w:sz w:val="28"/>
          <w:szCs w:val="28"/>
        </w:rPr>
        <w:t>:</w:t>
      </w:r>
    </w:p>
    <w:p w:rsidR="00B84740" w:rsidRPr="00042AA5" w:rsidRDefault="00B84740" w:rsidP="002F78CB">
      <w:pPr>
        <w:pStyle w:val="a4"/>
        <w:numPr>
          <w:ilvl w:val="0"/>
          <w:numId w:val="1"/>
        </w:numPr>
        <w:tabs>
          <w:tab w:val="clear" w:pos="720"/>
          <w:tab w:val="num" w:pos="851"/>
        </w:tabs>
        <w:spacing w:before="0" w:beforeAutospacing="0" w:after="0" w:afterAutospacing="0"/>
        <w:ind w:left="0" w:firstLine="567"/>
        <w:jc w:val="both"/>
        <w:rPr>
          <w:b/>
          <w:color w:val="000000" w:themeColor="text1"/>
          <w:sz w:val="28"/>
          <w:szCs w:val="28"/>
        </w:rPr>
      </w:pPr>
      <w:r w:rsidRPr="00382DF1">
        <w:rPr>
          <w:color w:val="000000" w:themeColor="text1"/>
          <w:sz w:val="28"/>
          <w:szCs w:val="28"/>
        </w:rPr>
        <w:t xml:space="preserve">Выявить </w:t>
      </w:r>
      <w:r w:rsidR="00264CCF" w:rsidRPr="00382DF1">
        <w:rPr>
          <w:color w:val="000000" w:themeColor="text1"/>
          <w:sz w:val="28"/>
          <w:szCs w:val="28"/>
        </w:rPr>
        <w:t xml:space="preserve">основные проблемы </w:t>
      </w:r>
      <w:r w:rsidR="00264CCF">
        <w:rPr>
          <w:color w:val="000000" w:themeColor="text1"/>
          <w:sz w:val="28"/>
          <w:szCs w:val="28"/>
        </w:rPr>
        <w:t>формирования</w:t>
      </w:r>
      <w:r w:rsidRPr="00382DF1">
        <w:rPr>
          <w:color w:val="000000" w:themeColor="text1"/>
          <w:sz w:val="28"/>
          <w:szCs w:val="28"/>
        </w:rPr>
        <w:t xml:space="preserve"> профессиона</w:t>
      </w:r>
      <w:r w:rsidR="00264CCF">
        <w:rPr>
          <w:color w:val="000000" w:themeColor="text1"/>
          <w:sz w:val="28"/>
          <w:szCs w:val="28"/>
        </w:rPr>
        <w:t xml:space="preserve">льной направленности студентов </w:t>
      </w:r>
      <w:r w:rsidRPr="00382DF1">
        <w:rPr>
          <w:color w:val="000000" w:themeColor="text1"/>
          <w:sz w:val="28"/>
          <w:szCs w:val="28"/>
        </w:rPr>
        <w:t xml:space="preserve">в преподавании </w:t>
      </w:r>
      <w:r w:rsidRPr="00042AA5">
        <w:rPr>
          <w:rStyle w:val="a5"/>
          <w:rFonts w:eastAsiaTheme="majorEastAsia"/>
          <w:b w:val="0"/>
          <w:color w:val="000000" w:themeColor="text1"/>
          <w:sz w:val="28"/>
          <w:szCs w:val="28"/>
        </w:rPr>
        <w:t>стохастики и теории игр</w:t>
      </w:r>
      <w:r w:rsidRPr="00042AA5">
        <w:rPr>
          <w:color w:val="000000" w:themeColor="text1"/>
          <w:sz w:val="28"/>
          <w:szCs w:val="28"/>
        </w:rPr>
        <w:t>.</w:t>
      </w:r>
    </w:p>
    <w:p w:rsidR="00B84740" w:rsidRPr="00382DF1" w:rsidRDefault="00FA3C4A" w:rsidP="002F78CB">
      <w:pPr>
        <w:pStyle w:val="a4"/>
        <w:numPr>
          <w:ilvl w:val="0"/>
          <w:numId w:val="1"/>
        </w:numPr>
        <w:tabs>
          <w:tab w:val="clear" w:pos="720"/>
          <w:tab w:val="num" w:pos="851"/>
        </w:tabs>
        <w:spacing w:before="0" w:beforeAutospacing="0" w:after="0" w:afterAutospacing="0"/>
        <w:ind w:left="0" w:firstLine="567"/>
        <w:jc w:val="both"/>
        <w:rPr>
          <w:color w:val="000000" w:themeColor="text1"/>
          <w:sz w:val="28"/>
          <w:szCs w:val="28"/>
        </w:rPr>
      </w:pPr>
      <w:r>
        <w:rPr>
          <w:color w:val="000000" w:themeColor="text1"/>
          <w:sz w:val="28"/>
          <w:szCs w:val="28"/>
        </w:rPr>
        <w:t>Разработать и о</w:t>
      </w:r>
      <w:r w:rsidR="00B84740" w:rsidRPr="00382DF1">
        <w:rPr>
          <w:color w:val="000000" w:themeColor="text1"/>
          <w:sz w:val="28"/>
          <w:szCs w:val="28"/>
        </w:rPr>
        <w:t xml:space="preserve">босновать </w:t>
      </w:r>
      <w:r w:rsidR="00B84740" w:rsidRPr="00042AA5">
        <w:rPr>
          <w:rStyle w:val="a5"/>
          <w:rFonts w:eastAsiaTheme="majorEastAsia"/>
          <w:b w:val="0"/>
          <w:color w:val="000000" w:themeColor="text1"/>
          <w:sz w:val="28"/>
          <w:szCs w:val="28"/>
        </w:rPr>
        <w:t>методологию формирования профессиональной направленности студентов</w:t>
      </w:r>
      <w:r w:rsidR="00D4102F">
        <w:rPr>
          <w:color w:val="000000" w:themeColor="text1"/>
          <w:sz w:val="28"/>
          <w:szCs w:val="28"/>
        </w:rPr>
        <w:t xml:space="preserve"> через систему упражнений</w:t>
      </w:r>
      <w:r w:rsidR="00B84740" w:rsidRPr="00382DF1">
        <w:rPr>
          <w:color w:val="000000" w:themeColor="text1"/>
          <w:sz w:val="28"/>
          <w:szCs w:val="28"/>
        </w:rPr>
        <w:t>.</w:t>
      </w:r>
    </w:p>
    <w:p w:rsidR="00B84740" w:rsidRPr="00382DF1" w:rsidRDefault="00B84740" w:rsidP="002F78CB">
      <w:pPr>
        <w:pStyle w:val="a4"/>
        <w:numPr>
          <w:ilvl w:val="0"/>
          <w:numId w:val="1"/>
        </w:numPr>
        <w:tabs>
          <w:tab w:val="clear" w:pos="720"/>
          <w:tab w:val="num" w:pos="851"/>
        </w:tabs>
        <w:spacing w:before="0" w:beforeAutospacing="0" w:after="0" w:afterAutospacing="0"/>
        <w:ind w:left="0" w:firstLine="567"/>
        <w:jc w:val="both"/>
        <w:rPr>
          <w:color w:val="000000" w:themeColor="text1"/>
          <w:sz w:val="28"/>
          <w:szCs w:val="28"/>
        </w:rPr>
      </w:pPr>
      <w:r w:rsidRPr="00382DF1">
        <w:rPr>
          <w:color w:val="000000" w:themeColor="text1"/>
          <w:sz w:val="28"/>
          <w:szCs w:val="28"/>
        </w:rPr>
        <w:t xml:space="preserve">Подготовить </w:t>
      </w:r>
      <w:r w:rsidRPr="00042AA5">
        <w:rPr>
          <w:rStyle w:val="a5"/>
          <w:rFonts w:eastAsiaTheme="majorEastAsia"/>
          <w:b w:val="0"/>
          <w:color w:val="000000" w:themeColor="text1"/>
          <w:sz w:val="28"/>
          <w:szCs w:val="28"/>
        </w:rPr>
        <w:t>рекомендации</w:t>
      </w:r>
      <w:r w:rsidRPr="00382DF1">
        <w:rPr>
          <w:color w:val="000000" w:themeColor="text1"/>
          <w:sz w:val="28"/>
          <w:szCs w:val="28"/>
        </w:rPr>
        <w:t xml:space="preserve"> для преподавателей по разработке и использованию стохастико-игровых упражнений в образовательном процессе. </w:t>
      </w:r>
    </w:p>
    <w:p w:rsidR="00B84740" w:rsidRPr="00382DF1" w:rsidRDefault="00B84740" w:rsidP="002F78CB">
      <w:pPr>
        <w:pStyle w:val="a4"/>
        <w:numPr>
          <w:ilvl w:val="0"/>
          <w:numId w:val="1"/>
        </w:numPr>
        <w:tabs>
          <w:tab w:val="clear" w:pos="720"/>
          <w:tab w:val="num" w:pos="851"/>
        </w:tabs>
        <w:spacing w:before="0" w:beforeAutospacing="0" w:after="0" w:afterAutospacing="0"/>
        <w:ind w:left="0" w:firstLine="567"/>
        <w:jc w:val="both"/>
        <w:rPr>
          <w:color w:val="000000" w:themeColor="text1"/>
          <w:sz w:val="28"/>
          <w:szCs w:val="28"/>
        </w:rPr>
      </w:pPr>
      <w:r w:rsidRPr="00382DF1">
        <w:rPr>
          <w:color w:val="000000" w:themeColor="text1"/>
          <w:sz w:val="28"/>
          <w:szCs w:val="28"/>
        </w:rPr>
        <w:t xml:space="preserve">Провести педагогический эксперимент по внедрению разработанной системы упражнений и оценить влияние на </w:t>
      </w:r>
      <w:r w:rsidRPr="00042AA5">
        <w:rPr>
          <w:rStyle w:val="a5"/>
          <w:rFonts w:eastAsiaTheme="majorEastAsia"/>
          <w:b w:val="0"/>
          <w:color w:val="000000" w:themeColor="text1"/>
          <w:sz w:val="28"/>
          <w:szCs w:val="28"/>
        </w:rPr>
        <w:t>формирование профессиональной направленности студентов</w:t>
      </w:r>
      <w:r w:rsidRPr="00382DF1">
        <w:rPr>
          <w:color w:val="000000" w:themeColor="text1"/>
          <w:sz w:val="28"/>
          <w:szCs w:val="28"/>
        </w:rPr>
        <w:t>.</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A11DEF">
        <w:rPr>
          <w:color w:val="000000" w:themeColor="text1"/>
          <w:sz w:val="28"/>
          <w:szCs w:val="28"/>
        </w:rPr>
        <w:t>Главная идея исследования</w:t>
      </w:r>
      <w:r w:rsidRPr="00382DF1">
        <w:rPr>
          <w:b w:val="0"/>
          <w:color w:val="000000" w:themeColor="text1"/>
          <w:sz w:val="28"/>
          <w:szCs w:val="28"/>
        </w:rPr>
        <w:t xml:space="preserve"> заключается в формировании профессиональной направленности студентов, которая будет более эффективным, если процесс изучения</w:t>
      </w:r>
      <w:r w:rsidRPr="00382DF1">
        <w:rPr>
          <w:color w:val="000000" w:themeColor="text1"/>
          <w:sz w:val="28"/>
          <w:szCs w:val="28"/>
        </w:rPr>
        <w:t xml:space="preserve"> </w:t>
      </w:r>
      <w:r w:rsidR="009402E7">
        <w:rPr>
          <w:rStyle w:val="a5"/>
          <w:color w:val="000000" w:themeColor="text1"/>
          <w:sz w:val="28"/>
          <w:szCs w:val="28"/>
        </w:rPr>
        <w:t>стохастики</w:t>
      </w:r>
      <w:r w:rsidRPr="00382DF1">
        <w:rPr>
          <w:rStyle w:val="a5"/>
          <w:color w:val="000000" w:themeColor="text1"/>
          <w:sz w:val="28"/>
          <w:szCs w:val="28"/>
        </w:rPr>
        <w:t xml:space="preserve"> и теории игр</w:t>
      </w:r>
      <w:r w:rsidRPr="00382DF1">
        <w:rPr>
          <w:color w:val="000000" w:themeColor="text1"/>
          <w:sz w:val="28"/>
          <w:szCs w:val="28"/>
        </w:rPr>
        <w:t xml:space="preserve"> </w:t>
      </w:r>
      <w:r w:rsidRPr="00382DF1">
        <w:rPr>
          <w:b w:val="0"/>
          <w:color w:val="000000" w:themeColor="text1"/>
          <w:sz w:val="28"/>
          <w:szCs w:val="28"/>
        </w:rPr>
        <w:t>строится на</w:t>
      </w:r>
      <w:r w:rsidRPr="00382DF1">
        <w:rPr>
          <w:color w:val="000000" w:themeColor="text1"/>
          <w:sz w:val="28"/>
          <w:szCs w:val="28"/>
        </w:rPr>
        <w:t xml:space="preserve"> </w:t>
      </w:r>
      <w:r w:rsidRPr="00382DF1">
        <w:rPr>
          <w:rStyle w:val="a5"/>
          <w:color w:val="000000" w:themeColor="text1"/>
          <w:sz w:val="28"/>
          <w:szCs w:val="28"/>
        </w:rPr>
        <w:t>системе упражнений</w:t>
      </w:r>
      <w:r w:rsidRPr="00382DF1">
        <w:rPr>
          <w:b w:val="0"/>
          <w:color w:val="000000" w:themeColor="text1"/>
          <w:sz w:val="28"/>
          <w:szCs w:val="28"/>
        </w:rPr>
        <w:t>,</w:t>
      </w:r>
      <w:r w:rsidRPr="00382DF1">
        <w:rPr>
          <w:color w:val="000000" w:themeColor="text1"/>
          <w:sz w:val="28"/>
          <w:szCs w:val="28"/>
        </w:rPr>
        <w:t xml:space="preserve"> </w:t>
      </w:r>
      <w:r w:rsidRPr="00382DF1">
        <w:rPr>
          <w:b w:val="0"/>
          <w:color w:val="000000" w:themeColor="text1"/>
          <w:sz w:val="28"/>
          <w:szCs w:val="28"/>
        </w:rPr>
        <w:t>интегрирующих стохастические методы с будущей профессиональной деятельностью.</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Для достижения цели и решения поставленных задач использовались следующие методы исследования:</w:t>
      </w:r>
    </w:p>
    <w:p w:rsidR="00B84740" w:rsidRPr="00382DF1" w:rsidRDefault="00B84740" w:rsidP="002F78CB">
      <w:pPr>
        <w:pStyle w:val="a7"/>
        <w:numPr>
          <w:ilvl w:val="0"/>
          <w:numId w:val="1"/>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042AA5">
        <w:rPr>
          <w:rFonts w:ascii="Times New Roman" w:eastAsia="Times New Roman" w:hAnsi="Times New Roman" w:cs="Times New Roman"/>
          <w:bCs/>
          <w:color w:val="000000" w:themeColor="text1"/>
          <w:sz w:val="28"/>
          <w:szCs w:val="28"/>
          <w:lang w:eastAsia="ru-RU"/>
        </w:rPr>
        <w:t>Теоретические методы: а</w:t>
      </w:r>
      <w:r w:rsidRPr="00382DF1">
        <w:rPr>
          <w:rFonts w:ascii="Times New Roman" w:eastAsia="Times New Roman" w:hAnsi="Times New Roman" w:cs="Times New Roman"/>
          <w:color w:val="000000" w:themeColor="text1"/>
          <w:sz w:val="28"/>
          <w:szCs w:val="28"/>
          <w:lang w:eastAsia="ru-RU"/>
        </w:rPr>
        <w:t xml:space="preserve">нализ и обобщение научной литературы по </w:t>
      </w:r>
      <w:r w:rsidR="006E0138">
        <w:rPr>
          <w:rFonts w:ascii="Times New Roman" w:eastAsia="Times New Roman" w:hAnsi="Times New Roman" w:cs="Times New Roman"/>
          <w:bCs/>
          <w:color w:val="000000" w:themeColor="text1"/>
          <w:sz w:val="28"/>
          <w:szCs w:val="28"/>
          <w:lang w:eastAsia="ru-RU"/>
        </w:rPr>
        <w:t>стохастике и</w:t>
      </w:r>
      <w:r w:rsidRPr="00042AA5">
        <w:rPr>
          <w:rFonts w:ascii="Times New Roman" w:eastAsia="Times New Roman" w:hAnsi="Times New Roman" w:cs="Times New Roman"/>
          <w:bCs/>
          <w:color w:val="000000" w:themeColor="text1"/>
          <w:sz w:val="28"/>
          <w:szCs w:val="28"/>
          <w:lang w:eastAsia="ru-RU"/>
        </w:rPr>
        <w:t xml:space="preserve"> теории игр</w:t>
      </w:r>
      <w:r w:rsidRPr="00382DF1">
        <w:rPr>
          <w:rFonts w:ascii="Times New Roman" w:eastAsia="Times New Roman" w:hAnsi="Times New Roman" w:cs="Times New Roman"/>
          <w:color w:val="000000" w:themeColor="text1"/>
          <w:sz w:val="28"/>
          <w:szCs w:val="28"/>
          <w:lang w:eastAsia="ru-RU"/>
        </w:rPr>
        <w:t xml:space="preserve"> и методикам их преподавания, сравнительный анализ традиционных и инновационных подходов к формированию профессиональной </w:t>
      </w:r>
      <w:r w:rsidRPr="00382DF1">
        <w:rPr>
          <w:rFonts w:ascii="Times New Roman" w:eastAsia="Times New Roman" w:hAnsi="Times New Roman" w:cs="Times New Roman"/>
          <w:color w:val="000000" w:themeColor="text1"/>
          <w:sz w:val="28"/>
          <w:szCs w:val="28"/>
          <w:lang w:eastAsia="ru-RU"/>
        </w:rPr>
        <w:lastRenderedPageBreak/>
        <w:t>направленности студентов, системный анализ образовательных технологий, связанных с использованием стохастико-игровых упражнений.</w:t>
      </w:r>
    </w:p>
    <w:p w:rsidR="00B84740" w:rsidRPr="00382DF1" w:rsidRDefault="00B84740" w:rsidP="002F78CB">
      <w:pPr>
        <w:pStyle w:val="a7"/>
        <w:numPr>
          <w:ilvl w:val="0"/>
          <w:numId w:val="1"/>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042AA5">
        <w:rPr>
          <w:rFonts w:ascii="Times New Roman" w:eastAsia="Times New Roman" w:hAnsi="Times New Roman" w:cs="Times New Roman"/>
          <w:bCs/>
          <w:color w:val="000000" w:themeColor="text1"/>
          <w:sz w:val="28"/>
          <w:szCs w:val="28"/>
          <w:lang w:eastAsia="ru-RU"/>
        </w:rPr>
        <w:t>Эмпирические методы: педагогический эксперимент, анкетирование и тестирование</w:t>
      </w:r>
      <w:r w:rsidRPr="00382DF1">
        <w:rPr>
          <w:rFonts w:ascii="Times New Roman" w:eastAsia="Times New Roman" w:hAnsi="Times New Roman" w:cs="Times New Roman"/>
          <w:color w:val="000000" w:themeColor="text1"/>
          <w:sz w:val="28"/>
          <w:szCs w:val="28"/>
          <w:lang w:eastAsia="ru-RU"/>
        </w:rPr>
        <w:t xml:space="preserve"> студентов и преподавателей для выявления мотивации, уровня усвоения материала и профессиональной ориентации, н</w:t>
      </w:r>
      <w:r w:rsidRPr="004E0BE7">
        <w:rPr>
          <w:rFonts w:ascii="Times New Roman" w:eastAsia="Times New Roman" w:hAnsi="Times New Roman" w:cs="Times New Roman"/>
          <w:bCs/>
          <w:color w:val="000000" w:themeColor="text1"/>
          <w:sz w:val="28"/>
          <w:szCs w:val="28"/>
          <w:lang w:eastAsia="ru-RU"/>
        </w:rPr>
        <w:t>аблюдение</w:t>
      </w:r>
      <w:r w:rsidRPr="00382DF1">
        <w:rPr>
          <w:rFonts w:ascii="Times New Roman" w:eastAsia="Times New Roman" w:hAnsi="Times New Roman" w:cs="Times New Roman"/>
          <w:color w:val="000000" w:themeColor="text1"/>
          <w:sz w:val="28"/>
          <w:szCs w:val="28"/>
          <w:lang w:eastAsia="ru-RU"/>
        </w:rPr>
        <w:t xml:space="preserve"> за учебным процессом для анализа вовлеченности студентов и эффективности упражнений.</w:t>
      </w:r>
    </w:p>
    <w:p w:rsidR="00B84740" w:rsidRPr="00382DF1" w:rsidRDefault="00B84740" w:rsidP="002F78CB">
      <w:pPr>
        <w:pStyle w:val="a7"/>
        <w:numPr>
          <w:ilvl w:val="0"/>
          <w:numId w:val="1"/>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042AA5">
        <w:rPr>
          <w:rFonts w:ascii="Times New Roman" w:eastAsia="Times New Roman" w:hAnsi="Times New Roman" w:cs="Times New Roman"/>
          <w:bCs/>
          <w:color w:val="000000" w:themeColor="text1"/>
          <w:sz w:val="28"/>
          <w:szCs w:val="28"/>
          <w:lang w:eastAsia="ru-RU"/>
        </w:rPr>
        <w:t>Методы математической обработки данных: статистическая обработка</w:t>
      </w:r>
      <w:r w:rsidRPr="00382DF1">
        <w:rPr>
          <w:rFonts w:ascii="Times New Roman" w:eastAsia="Times New Roman" w:hAnsi="Times New Roman" w:cs="Times New Roman"/>
          <w:color w:val="000000" w:themeColor="text1"/>
          <w:sz w:val="28"/>
          <w:szCs w:val="28"/>
          <w:lang w:eastAsia="ru-RU"/>
        </w:rPr>
        <w:t xml:space="preserve"> результатов эксперимента с использованием методов математической статистики, </w:t>
      </w:r>
      <w:r w:rsidRPr="00042AA5">
        <w:rPr>
          <w:rFonts w:ascii="Times New Roman" w:eastAsia="Times New Roman" w:hAnsi="Times New Roman" w:cs="Times New Roman"/>
          <w:color w:val="000000" w:themeColor="text1"/>
          <w:sz w:val="28"/>
          <w:szCs w:val="28"/>
          <w:lang w:eastAsia="ru-RU"/>
        </w:rPr>
        <w:t>а</w:t>
      </w:r>
      <w:r w:rsidRPr="00042AA5">
        <w:rPr>
          <w:rFonts w:ascii="Times New Roman" w:eastAsia="Times New Roman" w:hAnsi="Times New Roman" w:cs="Times New Roman"/>
          <w:bCs/>
          <w:color w:val="000000" w:themeColor="text1"/>
          <w:sz w:val="28"/>
          <w:szCs w:val="28"/>
          <w:lang w:eastAsia="ru-RU"/>
        </w:rPr>
        <w:t>нализ динамики профессиональной направленности</w:t>
      </w:r>
      <w:r w:rsidRPr="00382DF1">
        <w:rPr>
          <w:rFonts w:ascii="Times New Roman" w:eastAsia="Times New Roman" w:hAnsi="Times New Roman" w:cs="Times New Roman"/>
          <w:color w:val="000000" w:themeColor="text1"/>
          <w:sz w:val="28"/>
          <w:szCs w:val="28"/>
          <w:lang w:eastAsia="ru-RU"/>
        </w:rPr>
        <w:t xml:space="preserve"> студентов на основе количественных и качественных показателей.</w:t>
      </w:r>
    </w:p>
    <w:p w:rsidR="00976CEB" w:rsidRPr="00A039C3" w:rsidRDefault="00976CEB" w:rsidP="00976CEB">
      <w:pPr>
        <w:spacing w:after="0" w:line="240" w:lineRule="auto"/>
        <w:ind w:firstLine="567"/>
        <w:jc w:val="both"/>
        <w:rPr>
          <w:rFonts w:ascii="Times New Roman" w:eastAsia="Times New Roman" w:hAnsi="Times New Roman" w:cs="Times New Roman"/>
          <w:color w:val="FF0000"/>
          <w:sz w:val="28"/>
          <w:szCs w:val="28"/>
          <w:lang w:eastAsia="ru-RU"/>
        </w:rPr>
      </w:pPr>
      <w:r w:rsidRPr="00A039C3">
        <w:rPr>
          <w:rFonts w:ascii="Times New Roman" w:eastAsia="Times New Roman" w:hAnsi="Times New Roman" w:cs="Times New Roman"/>
          <w:color w:val="FF0000"/>
          <w:sz w:val="28"/>
          <w:szCs w:val="28"/>
          <w:lang w:eastAsia="ru-RU"/>
        </w:rPr>
        <w:t>В области теории вероятностей, математической статистики и теории игр: В.И. Арнольд, Й. Хейзинга, Ж. Пиаже, Д. Колб, Дж. фон Нейман, О. Моргенштерн.</w:t>
      </w:r>
    </w:p>
    <w:p w:rsidR="00976CEB" w:rsidRPr="00A039C3" w:rsidRDefault="00976CEB" w:rsidP="00976CEB">
      <w:pPr>
        <w:spacing w:after="0" w:line="240" w:lineRule="auto"/>
        <w:ind w:firstLine="567"/>
        <w:jc w:val="both"/>
        <w:rPr>
          <w:rFonts w:ascii="Times New Roman" w:eastAsia="Times New Roman" w:hAnsi="Times New Roman" w:cs="Times New Roman"/>
          <w:color w:val="FF0000"/>
          <w:sz w:val="28"/>
          <w:szCs w:val="28"/>
          <w:lang w:eastAsia="ru-RU"/>
        </w:rPr>
      </w:pPr>
      <w:r w:rsidRPr="00A039C3">
        <w:rPr>
          <w:rFonts w:ascii="Times New Roman" w:eastAsia="Times New Roman" w:hAnsi="Times New Roman" w:cs="Times New Roman"/>
          <w:color w:val="FF0000"/>
          <w:sz w:val="28"/>
          <w:szCs w:val="28"/>
          <w:lang w:eastAsia="ru-RU"/>
        </w:rPr>
        <w:t>В области педагогики и методологии обучения: Л.С. Выготский, А.Н. Леонтьев, С.Л. Рубинштейн, В.В. Давыдов, Г.П. Щедровицкий, П.Я. Гальперин.</w:t>
      </w:r>
    </w:p>
    <w:p w:rsidR="00976CEB" w:rsidRPr="00A039C3" w:rsidRDefault="00976CEB" w:rsidP="00976CEB">
      <w:pPr>
        <w:spacing w:after="0" w:line="240" w:lineRule="auto"/>
        <w:ind w:firstLine="567"/>
        <w:jc w:val="both"/>
        <w:rPr>
          <w:rFonts w:ascii="Times New Roman" w:eastAsia="Times New Roman" w:hAnsi="Times New Roman" w:cs="Times New Roman"/>
          <w:color w:val="FF0000"/>
          <w:sz w:val="28"/>
          <w:szCs w:val="28"/>
          <w:lang w:eastAsia="ru-RU"/>
        </w:rPr>
      </w:pPr>
      <w:r w:rsidRPr="00A039C3">
        <w:rPr>
          <w:rFonts w:ascii="Times New Roman" w:eastAsia="Times New Roman" w:hAnsi="Times New Roman" w:cs="Times New Roman"/>
          <w:color w:val="FF0000"/>
          <w:sz w:val="28"/>
          <w:szCs w:val="28"/>
          <w:lang w:eastAsia="ru-RU"/>
        </w:rPr>
        <w:t>В области игровых и проблемных методов обучения: К. Роджерс, Дж. Брунер, Й. Хейзинга, Ж. Пиаже, Д. Колб.</w:t>
      </w:r>
    </w:p>
    <w:p w:rsidR="00976CEB" w:rsidRPr="00A039C3" w:rsidRDefault="00976CEB" w:rsidP="00976CEB">
      <w:pPr>
        <w:spacing w:after="0" w:line="240" w:lineRule="auto"/>
        <w:ind w:firstLine="567"/>
        <w:jc w:val="both"/>
        <w:rPr>
          <w:rFonts w:ascii="Times New Roman" w:eastAsia="Times New Roman" w:hAnsi="Times New Roman" w:cs="Times New Roman"/>
          <w:color w:val="FF0000"/>
          <w:sz w:val="28"/>
          <w:szCs w:val="28"/>
          <w:lang w:eastAsia="ru-RU"/>
        </w:rPr>
      </w:pPr>
      <w:r w:rsidRPr="00A039C3">
        <w:rPr>
          <w:rFonts w:ascii="Times New Roman" w:eastAsia="Times New Roman" w:hAnsi="Times New Roman" w:cs="Times New Roman"/>
          <w:color w:val="FF0000"/>
          <w:sz w:val="28"/>
          <w:szCs w:val="28"/>
          <w:lang w:eastAsia="ru-RU"/>
        </w:rPr>
        <w:t>В области профессионального образования и компетентностного подхода: Дж. Холланд, Д. Супер, Г.К. Нургалиева, С.Ж. Мадиев, А.Б. Сулейменова, М.Т. Тажибаева, С.М Сеитова.</w:t>
      </w:r>
      <w:r w:rsidR="00420683">
        <w:rPr>
          <w:rFonts w:ascii="Times New Roman" w:eastAsia="Times New Roman" w:hAnsi="Times New Roman" w:cs="Times New Roman"/>
          <w:color w:val="FF0000"/>
          <w:sz w:val="28"/>
          <w:szCs w:val="28"/>
          <w:lang w:eastAsia="ru-RU"/>
        </w:rPr>
        <w:t xml:space="preserve"> (надо добавить казах ученых)</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color w:val="000000" w:themeColor="text1"/>
          <w:sz w:val="28"/>
          <w:szCs w:val="28"/>
        </w:rPr>
        <w:t>Источники исследования.</w:t>
      </w:r>
      <w:r w:rsidRPr="00382DF1">
        <w:rPr>
          <w:b w:val="0"/>
          <w:color w:val="000000" w:themeColor="text1"/>
          <w:sz w:val="28"/>
          <w:szCs w:val="28"/>
        </w:rPr>
        <w:t xml:space="preserve"> Закон Республики Казахстан «Об образовании», Государственный общеобязательный стандарт высшего образования, Профессиональный стандарт «Педагог», Послание Главы государства народу Казахстана, изучение документов касательно сферы образования, научные работы отечественных и зарубежных ученых в сфере педагогики, психологии и математики, официальные материалы Министерства науки и высшего образования Республики Казахстан, нормативные документы Республики Казахстан и др.</w:t>
      </w:r>
    </w:p>
    <w:p w:rsidR="00B84740" w:rsidRPr="00382DF1" w:rsidRDefault="00B84740" w:rsidP="007D434B">
      <w:pPr>
        <w:spacing w:after="0" w:line="240" w:lineRule="auto"/>
        <w:ind w:firstLine="567"/>
        <w:jc w:val="both"/>
        <w:outlineLvl w:val="2"/>
        <w:rPr>
          <w:rFonts w:ascii="Times New Roman" w:eastAsia="Times New Roman" w:hAnsi="Times New Roman" w:cs="Times New Roman"/>
          <w:b/>
          <w:bCs/>
          <w:color w:val="000000" w:themeColor="text1"/>
          <w:sz w:val="28"/>
          <w:szCs w:val="28"/>
          <w:lang w:eastAsia="ru-RU"/>
        </w:rPr>
      </w:pPr>
      <w:r w:rsidRPr="00382DF1">
        <w:rPr>
          <w:rFonts w:ascii="Times New Roman" w:eastAsia="Times New Roman" w:hAnsi="Times New Roman" w:cs="Times New Roman"/>
          <w:b/>
          <w:bCs/>
          <w:color w:val="000000" w:themeColor="text1"/>
          <w:sz w:val="28"/>
          <w:szCs w:val="28"/>
          <w:lang w:eastAsia="ru-RU"/>
        </w:rPr>
        <w:t>Научная новизна исследования заключается в том, что:</w:t>
      </w:r>
    </w:p>
    <w:p w:rsidR="00B84740" w:rsidRPr="00382DF1" w:rsidRDefault="006E4E91" w:rsidP="002F78CB">
      <w:pPr>
        <w:numPr>
          <w:ilvl w:val="0"/>
          <w:numId w:val="2"/>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Определена</w:t>
      </w:r>
      <w:r w:rsidR="00B84740" w:rsidRPr="00382DF1">
        <w:rPr>
          <w:rFonts w:ascii="Times New Roman" w:eastAsia="Times New Roman" w:hAnsi="Times New Roman" w:cs="Times New Roman"/>
          <w:color w:val="000000" w:themeColor="text1"/>
          <w:sz w:val="28"/>
          <w:szCs w:val="28"/>
          <w:lang w:eastAsia="ru-RU"/>
        </w:rPr>
        <w:t xml:space="preserve"> и </w:t>
      </w:r>
      <w:r w:rsidR="00B84740" w:rsidRPr="00200030">
        <w:rPr>
          <w:rFonts w:ascii="Times New Roman" w:eastAsia="Times New Roman" w:hAnsi="Times New Roman" w:cs="Times New Roman"/>
          <w:bCs/>
          <w:color w:val="000000" w:themeColor="text1"/>
          <w:sz w:val="28"/>
          <w:szCs w:val="28"/>
          <w:lang w:eastAsia="ru-RU"/>
        </w:rPr>
        <w:t>научно обоснована методология формирования профессиональной направленности студентов</w:t>
      </w:r>
      <w:r w:rsidR="00B84740" w:rsidRPr="00382DF1">
        <w:rPr>
          <w:rFonts w:ascii="Times New Roman" w:eastAsia="Times New Roman" w:hAnsi="Times New Roman" w:cs="Times New Roman"/>
          <w:color w:val="000000" w:themeColor="text1"/>
          <w:sz w:val="28"/>
          <w:szCs w:val="28"/>
          <w:lang w:eastAsia="ru-RU"/>
        </w:rPr>
        <w:t xml:space="preserve"> через систему упражнений по </w:t>
      </w:r>
      <w:r w:rsidR="00B84740" w:rsidRPr="00200030">
        <w:rPr>
          <w:rFonts w:ascii="Times New Roman" w:eastAsia="Times New Roman" w:hAnsi="Times New Roman" w:cs="Times New Roman"/>
          <w:bCs/>
          <w:color w:val="000000" w:themeColor="text1"/>
          <w:sz w:val="28"/>
          <w:szCs w:val="28"/>
          <w:lang w:eastAsia="ru-RU"/>
        </w:rPr>
        <w:t>теории вероятностей, математической статистике и теории игр</w:t>
      </w:r>
      <w:r w:rsidR="00B84740" w:rsidRPr="00382DF1">
        <w:rPr>
          <w:rFonts w:ascii="Times New Roman" w:eastAsia="Times New Roman" w:hAnsi="Times New Roman" w:cs="Times New Roman"/>
          <w:color w:val="000000" w:themeColor="text1"/>
          <w:sz w:val="28"/>
          <w:szCs w:val="28"/>
          <w:lang w:eastAsia="ru-RU"/>
        </w:rPr>
        <w:t>, интегрирующая стохастические методы с профессиональными задачами.</w:t>
      </w:r>
    </w:p>
    <w:p w:rsidR="00B84740" w:rsidRPr="00382DF1" w:rsidRDefault="006E4E91" w:rsidP="002F78CB">
      <w:pPr>
        <w:numPr>
          <w:ilvl w:val="0"/>
          <w:numId w:val="2"/>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Разработана</w:t>
      </w:r>
      <w:r w:rsidR="00B84740" w:rsidRPr="00382DF1">
        <w:rPr>
          <w:rFonts w:ascii="Times New Roman" w:eastAsia="Times New Roman" w:hAnsi="Times New Roman" w:cs="Times New Roman"/>
          <w:color w:val="000000" w:themeColor="text1"/>
          <w:sz w:val="28"/>
          <w:szCs w:val="28"/>
          <w:lang w:eastAsia="ru-RU"/>
        </w:rPr>
        <w:t xml:space="preserve"> </w:t>
      </w:r>
      <w:r w:rsidR="00B84740" w:rsidRPr="00200030">
        <w:rPr>
          <w:rFonts w:ascii="Times New Roman" w:eastAsia="Times New Roman" w:hAnsi="Times New Roman" w:cs="Times New Roman"/>
          <w:bCs/>
          <w:color w:val="000000" w:themeColor="text1"/>
          <w:sz w:val="28"/>
          <w:szCs w:val="28"/>
          <w:lang w:eastAsia="ru-RU"/>
        </w:rPr>
        <w:t>система упражнений</w:t>
      </w:r>
      <w:r w:rsidR="00B84740" w:rsidRPr="00382DF1">
        <w:rPr>
          <w:rFonts w:ascii="Times New Roman" w:eastAsia="Times New Roman" w:hAnsi="Times New Roman" w:cs="Times New Roman"/>
          <w:color w:val="000000" w:themeColor="text1"/>
          <w:sz w:val="28"/>
          <w:szCs w:val="28"/>
          <w:lang w:eastAsia="ru-RU"/>
        </w:rPr>
        <w:t>, основанная на стохастико-игровых методах, которая способствует повышению мотивации студентов и развитию у них аналитического мышления в контексте будущей профессиональной деятельности.</w:t>
      </w:r>
    </w:p>
    <w:p w:rsidR="00B84740" w:rsidRPr="00382DF1" w:rsidRDefault="00B84740" w:rsidP="002F78CB">
      <w:pPr>
        <w:numPr>
          <w:ilvl w:val="0"/>
          <w:numId w:val="2"/>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color w:val="000000" w:themeColor="text1"/>
          <w:sz w:val="28"/>
          <w:szCs w:val="28"/>
          <w:lang w:eastAsia="ru-RU"/>
        </w:rPr>
        <w:t>Подготовлены рекомендации по использованию стохастико-игровых упражнений в образовательном процессе для эффективного формирования профессиональной направленности.</w:t>
      </w:r>
    </w:p>
    <w:p w:rsidR="00B84740" w:rsidRPr="00382DF1" w:rsidRDefault="00B84740" w:rsidP="002F78CB">
      <w:pPr>
        <w:numPr>
          <w:ilvl w:val="0"/>
          <w:numId w:val="2"/>
        </w:numPr>
        <w:tabs>
          <w:tab w:val="clear" w:pos="720"/>
          <w:tab w:val="num"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382DF1">
        <w:rPr>
          <w:rFonts w:ascii="Times New Roman" w:eastAsia="Times New Roman" w:hAnsi="Times New Roman" w:cs="Times New Roman"/>
          <w:color w:val="000000" w:themeColor="text1"/>
          <w:sz w:val="28"/>
          <w:szCs w:val="28"/>
          <w:lang w:eastAsia="ru-RU"/>
        </w:rPr>
        <w:t xml:space="preserve">Проведена </w:t>
      </w:r>
      <w:r w:rsidRPr="00200030">
        <w:rPr>
          <w:rFonts w:ascii="Times New Roman" w:eastAsia="Times New Roman" w:hAnsi="Times New Roman" w:cs="Times New Roman"/>
          <w:bCs/>
          <w:color w:val="000000" w:themeColor="text1"/>
          <w:sz w:val="28"/>
          <w:szCs w:val="28"/>
          <w:lang w:eastAsia="ru-RU"/>
        </w:rPr>
        <w:t>экспериментальная проверка эффективности разработанной методологии</w:t>
      </w:r>
      <w:r w:rsidRPr="00382DF1">
        <w:rPr>
          <w:rFonts w:ascii="Times New Roman" w:eastAsia="Times New Roman" w:hAnsi="Times New Roman" w:cs="Times New Roman"/>
          <w:color w:val="000000" w:themeColor="text1"/>
          <w:sz w:val="28"/>
          <w:szCs w:val="28"/>
          <w:lang w:eastAsia="ru-RU"/>
        </w:rPr>
        <w:t>, подтверждающая ее влияние на повышение профессиональной ориентированности студентов и их способность применять математические методы в реальных условиях.</w:t>
      </w:r>
    </w:p>
    <w:p w:rsidR="00B84740" w:rsidRPr="00382DF1" w:rsidRDefault="00B84740" w:rsidP="007D434B">
      <w:pPr>
        <w:pStyle w:val="3"/>
        <w:spacing w:before="0" w:line="240" w:lineRule="auto"/>
        <w:ind w:firstLine="567"/>
        <w:jc w:val="both"/>
        <w:rPr>
          <w:rFonts w:ascii="Times New Roman" w:hAnsi="Times New Roman" w:cs="Times New Roman"/>
          <w:color w:val="000000" w:themeColor="text1"/>
          <w:sz w:val="28"/>
          <w:szCs w:val="28"/>
        </w:rPr>
      </w:pPr>
      <w:r w:rsidRPr="00A039C3">
        <w:rPr>
          <w:rStyle w:val="a5"/>
          <w:rFonts w:ascii="Times New Roman" w:hAnsi="Times New Roman" w:cs="Times New Roman"/>
          <w:color w:val="000000" w:themeColor="text1"/>
          <w:sz w:val="28"/>
          <w:szCs w:val="28"/>
        </w:rPr>
        <w:lastRenderedPageBreak/>
        <w:t>Теоретическая значимость</w:t>
      </w:r>
      <w:r w:rsidRPr="00200030">
        <w:rPr>
          <w:rStyle w:val="a5"/>
          <w:rFonts w:ascii="Times New Roman" w:hAnsi="Times New Roman" w:cs="Times New Roman"/>
          <w:b w:val="0"/>
          <w:color w:val="000000" w:themeColor="text1"/>
          <w:sz w:val="28"/>
          <w:szCs w:val="28"/>
        </w:rPr>
        <w:t xml:space="preserve"> результатов исследования заключается в том, что:</w:t>
      </w:r>
      <w:r w:rsidRPr="00382DF1">
        <w:rPr>
          <w:rStyle w:val="a5"/>
          <w:rFonts w:ascii="Times New Roman" w:hAnsi="Times New Roman" w:cs="Times New Roman"/>
          <w:color w:val="000000" w:themeColor="text1"/>
          <w:sz w:val="28"/>
          <w:szCs w:val="28"/>
        </w:rPr>
        <w:t xml:space="preserve"> </w:t>
      </w:r>
      <w:r w:rsidR="00B96784">
        <w:rPr>
          <w:rFonts w:ascii="Times New Roman" w:hAnsi="Times New Roman" w:cs="Times New Roman"/>
          <w:color w:val="000000" w:themeColor="text1"/>
          <w:sz w:val="28"/>
          <w:szCs w:val="28"/>
        </w:rPr>
        <w:t>р</w:t>
      </w:r>
      <w:r w:rsidRPr="00382DF1">
        <w:rPr>
          <w:rFonts w:ascii="Times New Roman" w:hAnsi="Times New Roman" w:cs="Times New Roman"/>
          <w:color w:val="000000" w:themeColor="text1"/>
          <w:sz w:val="28"/>
          <w:szCs w:val="28"/>
        </w:rPr>
        <w:t xml:space="preserve">азработана и </w:t>
      </w:r>
      <w:r w:rsidRPr="00200030">
        <w:rPr>
          <w:rStyle w:val="a5"/>
          <w:rFonts w:ascii="Times New Roman" w:hAnsi="Times New Roman" w:cs="Times New Roman"/>
          <w:b w:val="0"/>
          <w:color w:val="000000" w:themeColor="text1"/>
          <w:sz w:val="28"/>
          <w:szCs w:val="28"/>
        </w:rPr>
        <w:t>научно обоснована методология формирования профессиональной направленности студентов</w:t>
      </w:r>
      <w:r w:rsidRPr="00382DF1">
        <w:rPr>
          <w:rFonts w:ascii="Times New Roman" w:hAnsi="Times New Roman" w:cs="Times New Roman"/>
          <w:color w:val="000000" w:themeColor="text1"/>
          <w:sz w:val="28"/>
          <w:szCs w:val="28"/>
        </w:rPr>
        <w:t xml:space="preserve"> через систему стохастико-игровых упражнений, которая расширяет существующие научные представления о </w:t>
      </w:r>
      <w:r w:rsidRPr="00200030">
        <w:rPr>
          <w:rStyle w:val="a5"/>
          <w:rFonts w:ascii="Times New Roman" w:hAnsi="Times New Roman" w:cs="Times New Roman"/>
          <w:b w:val="0"/>
          <w:color w:val="000000" w:themeColor="text1"/>
          <w:sz w:val="28"/>
          <w:szCs w:val="28"/>
        </w:rPr>
        <w:t>методах интеграции теории вероятностей, математической статистики и теории игр</w:t>
      </w:r>
      <w:r w:rsidRPr="00382DF1">
        <w:rPr>
          <w:rFonts w:ascii="Times New Roman" w:hAnsi="Times New Roman" w:cs="Times New Roman"/>
          <w:color w:val="000000" w:themeColor="text1"/>
          <w:sz w:val="28"/>
          <w:szCs w:val="28"/>
        </w:rPr>
        <w:t xml:space="preserve"> в профессионально-ориентированное обучение, способствуя развитию аналитического мышления и мотивации студентов.</w:t>
      </w:r>
    </w:p>
    <w:p w:rsidR="00B84740" w:rsidRPr="00382DF1" w:rsidRDefault="00B84740" w:rsidP="007D434B">
      <w:pPr>
        <w:spacing w:after="0" w:line="240" w:lineRule="auto"/>
        <w:ind w:firstLine="567"/>
        <w:jc w:val="both"/>
        <w:outlineLvl w:val="2"/>
        <w:rPr>
          <w:rFonts w:ascii="Times New Roman" w:eastAsia="Times New Roman" w:hAnsi="Times New Roman" w:cs="Times New Roman"/>
          <w:color w:val="000000" w:themeColor="text1"/>
          <w:sz w:val="28"/>
          <w:szCs w:val="28"/>
          <w:lang w:eastAsia="ru-RU"/>
        </w:rPr>
      </w:pPr>
      <w:r w:rsidRPr="00A039C3">
        <w:rPr>
          <w:rFonts w:ascii="Times New Roman" w:eastAsia="Times New Roman" w:hAnsi="Times New Roman" w:cs="Times New Roman"/>
          <w:b/>
          <w:bCs/>
          <w:color w:val="000000" w:themeColor="text1"/>
          <w:sz w:val="28"/>
          <w:szCs w:val="28"/>
          <w:lang w:eastAsia="ru-RU"/>
        </w:rPr>
        <w:t>Практическая значимость</w:t>
      </w:r>
      <w:r w:rsidRPr="00200030">
        <w:rPr>
          <w:rFonts w:ascii="Times New Roman" w:eastAsia="Times New Roman" w:hAnsi="Times New Roman" w:cs="Times New Roman"/>
          <w:bCs/>
          <w:color w:val="000000" w:themeColor="text1"/>
          <w:sz w:val="28"/>
          <w:szCs w:val="28"/>
          <w:lang w:eastAsia="ru-RU"/>
        </w:rPr>
        <w:t xml:space="preserve"> результатов исследования заключается в том, что:</w:t>
      </w:r>
      <w:r w:rsidRPr="00382DF1">
        <w:rPr>
          <w:rFonts w:ascii="Times New Roman" w:eastAsia="Times New Roman" w:hAnsi="Times New Roman" w:cs="Times New Roman"/>
          <w:b/>
          <w:bCs/>
          <w:color w:val="000000" w:themeColor="text1"/>
          <w:sz w:val="28"/>
          <w:szCs w:val="28"/>
          <w:lang w:eastAsia="ru-RU"/>
        </w:rPr>
        <w:t xml:space="preserve"> </w:t>
      </w:r>
      <w:r w:rsidR="00B96784">
        <w:rPr>
          <w:rFonts w:ascii="Times New Roman" w:eastAsia="Times New Roman" w:hAnsi="Times New Roman" w:cs="Times New Roman"/>
          <w:color w:val="000000" w:themeColor="text1"/>
          <w:sz w:val="28"/>
          <w:szCs w:val="28"/>
          <w:lang w:eastAsia="ru-RU"/>
        </w:rPr>
        <w:t>р</w:t>
      </w:r>
      <w:r w:rsidRPr="00382DF1">
        <w:rPr>
          <w:rFonts w:ascii="Times New Roman" w:eastAsia="Times New Roman" w:hAnsi="Times New Roman" w:cs="Times New Roman"/>
          <w:color w:val="000000" w:themeColor="text1"/>
          <w:sz w:val="28"/>
          <w:szCs w:val="28"/>
          <w:lang w:eastAsia="ru-RU"/>
        </w:rPr>
        <w:t xml:space="preserve">азработанная </w:t>
      </w:r>
      <w:r w:rsidRPr="00200030">
        <w:rPr>
          <w:rFonts w:ascii="Times New Roman" w:eastAsia="Times New Roman" w:hAnsi="Times New Roman" w:cs="Times New Roman"/>
          <w:bCs/>
          <w:color w:val="000000" w:themeColor="text1"/>
          <w:sz w:val="28"/>
          <w:szCs w:val="28"/>
          <w:lang w:eastAsia="ru-RU"/>
        </w:rPr>
        <w:t>система стохастико-игровых упражнений</w:t>
      </w:r>
      <w:r w:rsidRPr="00382DF1">
        <w:rPr>
          <w:rFonts w:ascii="Times New Roman" w:eastAsia="Times New Roman" w:hAnsi="Times New Roman" w:cs="Times New Roman"/>
          <w:color w:val="000000" w:themeColor="text1"/>
          <w:sz w:val="28"/>
          <w:szCs w:val="28"/>
          <w:lang w:eastAsia="ru-RU"/>
        </w:rPr>
        <w:t xml:space="preserve"> может быть внедрена в образовательный процесс вузов, что позволит </w:t>
      </w:r>
      <w:r w:rsidRPr="00200030">
        <w:rPr>
          <w:rFonts w:ascii="Times New Roman" w:eastAsia="Times New Roman" w:hAnsi="Times New Roman" w:cs="Times New Roman"/>
          <w:bCs/>
          <w:color w:val="000000" w:themeColor="text1"/>
          <w:sz w:val="28"/>
          <w:szCs w:val="28"/>
          <w:lang w:eastAsia="ru-RU"/>
        </w:rPr>
        <w:t>повысить профессиональную направленность студентов</w:t>
      </w:r>
      <w:r w:rsidRPr="00382DF1">
        <w:rPr>
          <w:rFonts w:ascii="Times New Roman" w:eastAsia="Times New Roman" w:hAnsi="Times New Roman" w:cs="Times New Roman"/>
          <w:color w:val="000000" w:themeColor="text1"/>
          <w:sz w:val="28"/>
          <w:szCs w:val="28"/>
          <w:lang w:eastAsia="ru-RU"/>
        </w:rPr>
        <w:t xml:space="preserve">, сделать изучение </w:t>
      </w:r>
      <w:r w:rsidRPr="00200030">
        <w:rPr>
          <w:rFonts w:ascii="Times New Roman" w:eastAsia="Times New Roman" w:hAnsi="Times New Roman" w:cs="Times New Roman"/>
          <w:bCs/>
          <w:color w:val="000000" w:themeColor="text1"/>
          <w:sz w:val="28"/>
          <w:szCs w:val="28"/>
          <w:lang w:eastAsia="ru-RU"/>
        </w:rPr>
        <w:t>теории вероятностей, математической статистики и теории игр</w:t>
      </w:r>
      <w:r w:rsidRPr="00200030">
        <w:rPr>
          <w:rFonts w:ascii="Times New Roman" w:eastAsia="Times New Roman" w:hAnsi="Times New Roman" w:cs="Times New Roman"/>
          <w:color w:val="000000" w:themeColor="text1"/>
          <w:sz w:val="28"/>
          <w:szCs w:val="28"/>
          <w:lang w:eastAsia="ru-RU"/>
        </w:rPr>
        <w:t xml:space="preserve"> </w:t>
      </w:r>
      <w:r w:rsidRPr="00382DF1">
        <w:rPr>
          <w:rFonts w:ascii="Times New Roman" w:eastAsia="Times New Roman" w:hAnsi="Times New Roman" w:cs="Times New Roman"/>
          <w:color w:val="000000" w:themeColor="text1"/>
          <w:sz w:val="28"/>
          <w:szCs w:val="28"/>
          <w:lang w:eastAsia="ru-RU"/>
        </w:rPr>
        <w:t>более прикладным, а также развить у обучающихся навыки анализа, прогнозирования и принятия решений в условиях неопределенности.</w:t>
      </w:r>
    </w:p>
    <w:p w:rsidR="00B84740" w:rsidRPr="00382DF1" w:rsidRDefault="00B84740" w:rsidP="007D434B">
      <w:pPr>
        <w:pStyle w:val="3"/>
        <w:spacing w:before="0" w:line="240" w:lineRule="auto"/>
        <w:ind w:firstLine="567"/>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Достоверность и обоснованность исследования обеспечиваются:</w:t>
      </w:r>
    </w:p>
    <w:p w:rsidR="00B84740" w:rsidRPr="00382DF1" w:rsidRDefault="00B84740" w:rsidP="002F78CB">
      <w:pPr>
        <w:pStyle w:val="a4"/>
        <w:numPr>
          <w:ilvl w:val="0"/>
          <w:numId w:val="3"/>
        </w:numPr>
        <w:tabs>
          <w:tab w:val="clear" w:pos="720"/>
          <w:tab w:val="num" w:pos="851"/>
        </w:tabs>
        <w:spacing w:before="0" w:beforeAutospacing="0" w:after="0" w:afterAutospacing="0"/>
        <w:ind w:left="0" w:firstLine="567"/>
        <w:jc w:val="both"/>
        <w:rPr>
          <w:color w:val="000000" w:themeColor="text1"/>
          <w:sz w:val="28"/>
          <w:szCs w:val="28"/>
        </w:rPr>
      </w:pPr>
      <w:r w:rsidRPr="00200030">
        <w:rPr>
          <w:rStyle w:val="a5"/>
          <w:rFonts w:eastAsiaTheme="majorEastAsia"/>
          <w:b w:val="0"/>
          <w:color w:val="000000" w:themeColor="text1"/>
          <w:sz w:val="28"/>
          <w:szCs w:val="28"/>
        </w:rPr>
        <w:t>Теоретической базой</w:t>
      </w:r>
      <w:r w:rsidRPr="00382DF1">
        <w:rPr>
          <w:color w:val="000000" w:themeColor="text1"/>
          <w:sz w:val="28"/>
          <w:szCs w:val="28"/>
        </w:rPr>
        <w:t xml:space="preserve">, опирающейся на фундаментальные исследования в области </w:t>
      </w:r>
      <w:r w:rsidRPr="00200030">
        <w:rPr>
          <w:rStyle w:val="a5"/>
          <w:rFonts w:eastAsiaTheme="majorEastAsia"/>
          <w:b w:val="0"/>
          <w:color w:val="000000" w:themeColor="text1"/>
          <w:sz w:val="28"/>
          <w:szCs w:val="28"/>
        </w:rPr>
        <w:t>педагогики, теории вероятностей, математической статистики и теории игр</w:t>
      </w:r>
      <w:r w:rsidRPr="00382DF1">
        <w:rPr>
          <w:color w:val="000000" w:themeColor="text1"/>
          <w:sz w:val="28"/>
          <w:szCs w:val="28"/>
        </w:rPr>
        <w:t>.</w:t>
      </w:r>
    </w:p>
    <w:p w:rsidR="00B84740" w:rsidRPr="00382DF1" w:rsidRDefault="00B84740" w:rsidP="002F78CB">
      <w:pPr>
        <w:pStyle w:val="a4"/>
        <w:numPr>
          <w:ilvl w:val="0"/>
          <w:numId w:val="3"/>
        </w:numPr>
        <w:tabs>
          <w:tab w:val="clear" w:pos="720"/>
          <w:tab w:val="num" w:pos="851"/>
        </w:tabs>
        <w:spacing w:before="0" w:beforeAutospacing="0" w:after="0" w:afterAutospacing="0"/>
        <w:ind w:left="0" w:firstLine="567"/>
        <w:jc w:val="both"/>
        <w:rPr>
          <w:color w:val="000000" w:themeColor="text1"/>
          <w:sz w:val="28"/>
          <w:szCs w:val="28"/>
        </w:rPr>
      </w:pPr>
      <w:r w:rsidRPr="00200030">
        <w:rPr>
          <w:rStyle w:val="a5"/>
          <w:rFonts w:eastAsiaTheme="majorEastAsia"/>
          <w:b w:val="0"/>
          <w:color w:val="000000" w:themeColor="text1"/>
          <w:sz w:val="28"/>
          <w:szCs w:val="28"/>
        </w:rPr>
        <w:t>Использованием научно обоснованных методов исследования</w:t>
      </w:r>
      <w:r w:rsidRPr="00382DF1">
        <w:rPr>
          <w:color w:val="000000" w:themeColor="text1"/>
          <w:sz w:val="28"/>
          <w:szCs w:val="28"/>
        </w:rPr>
        <w:t xml:space="preserve">, включая </w:t>
      </w:r>
      <w:r w:rsidRPr="00200030">
        <w:rPr>
          <w:rStyle w:val="a5"/>
          <w:rFonts w:eastAsiaTheme="majorEastAsia"/>
          <w:b w:val="0"/>
          <w:color w:val="000000" w:themeColor="text1"/>
          <w:sz w:val="28"/>
          <w:szCs w:val="28"/>
        </w:rPr>
        <w:t>теоретический анализ, педагогический эксперимент, анкетирование, наблюдение и статистическую обработку данных</w:t>
      </w:r>
      <w:r w:rsidRPr="00382DF1">
        <w:rPr>
          <w:color w:val="000000" w:themeColor="text1"/>
          <w:sz w:val="28"/>
          <w:szCs w:val="28"/>
        </w:rPr>
        <w:t>, что позволяет объективно оценить эффективность разработанной методики.</w:t>
      </w:r>
    </w:p>
    <w:p w:rsidR="00B84740" w:rsidRPr="00382DF1" w:rsidRDefault="00B84740" w:rsidP="002F78CB">
      <w:pPr>
        <w:pStyle w:val="a4"/>
        <w:numPr>
          <w:ilvl w:val="0"/>
          <w:numId w:val="3"/>
        </w:numPr>
        <w:tabs>
          <w:tab w:val="clear" w:pos="720"/>
          <w:tab w:val="num" w:pos="851"/>
        </w:tabs>
        <w:spacing w:before="0" w:beforeAutospacing="0" w:after="0" w:afterAutospacing="0"/>
        <w:ind w:left="0" w:firstLine="567"/>
        <w:jc w:val="both"/>
        <w:rPr>
          <w:color w:val="000000" w:themeColor="text1"/>
          <w:sz w:val="28"/>
          <w:szCs w:val="28"/>
        </w:rPr>
      </w:pPr>
      <w:r w:rsidRPr="00200030">
        <w:rPr>
          <w:rStyle w:val="a5"/>
          <w:rFonts w:eastAsiaTheme="majorEastAsia"/>
          <w:b w:val="0"/>
          <w:color w:val="000000" w:themeColor="text1"/>
          <w:sz w:val="28"/>
          <w:szCs w:val="28"/>
        </w:rPr>
        <w:t>Эмпирической проверкой</w:t>
      </w:r>
      <w:r w:rsidRPr="00382DF1">
        <w:rPr>
          <w:color w:val="000000" w:themeColor="text1"/>
          <w:sz w:val="28"/>
          <w:szCs w:val="28"/>
        </w:rPr>
        <w:t xml:space="preserve"> разработанной системы упражнений в реальном образовательном процессе, что подтверждает её влияние на </w:t>
      </w:r>
      <w:r w:rsidRPr="00200030">
        <w:rPr>
          <w:rStyle w:val="a5"/>
          <w:rFonts w:eastAsiaTheme="majorEastAsia"/>
          <w:b w:val="0"/>
          <w:color w:val="000000" w:themeColor="text1"/>
          <w:sz w:val="28"/>
          <w:szCs w:val="28"/>
        </w:rPr>
        <w:t>формирование профессиональной направленности студентов</w:t>
      </w:r>
      <w:r w:rsidRPr="00382DF1">
        <w:rPr>
          <w:color w:val="000000" w:themeColor="text1"/>
          <w:sz w:val="28"/>
          <w:szCs w:val="28"/>
        </w:rPr>
        <w:t>.</w:t>
      </w:r>
    </w:p>
    <w:p w:rsidR="00B84740" w:rsidRPr="00382DF1" w:rsidRDefault="00B84740" w:rsidP="002F78CB">
      <w:pPr>
        <w:pStyle w:val="a4"/>
        <w:numPr>
          <w:ilvl w:val="0"/>
          <w:numId w:val="3"/>
        </w:numPr>
        <w:tabs>
          <w:tab w:val="clear" w:pos="720"/>
          <w:tab w:val="num" w:pos="851"/>
        </w:tabs>
        <w:spacing w:before="0" w:beforeAutospacing="0" w:after="0" w:afterAutospacing="0"/>
        <w:ind w:left="0" w:firstLine="567"/>
        <w:jc w:val="both"/>
        <w:rPr>
          <w:color w:val="000000" w:themeColor="text1"/>
          <w:sz w:val="28"/>
          <w:szCs w:val="28"/>
        </w:rPr>
      </w:pPr>
      <w:r w:rsidRPr="00200030">
        <w:rPr>
          <w:rStyle w:val="a5"/>
          <w:rFonts w:eastAsiaTheme="majorEastAsia"/>
          <w:b w:val="0"/>
          <w:color w:val="000000" w:themeColor="text1"/>
          <w:sz w:val="28"/>
          <w:szCs w:val="28"/>
        </w:rPr>
        <w:t>Статистической обработкой результатов</w:t>
      </w:r>
      <w:r w:rsidRPr="00382DF1">
        <w:rPr>
          <w:color w:val="000000" w:themeColor="text1"/>
          <w:sz w:val="28"/>
          <w:szCs w:val="28"/>
        </w:rPr>
        <w:t xml:space="preserve"> педагогического эксперимента, обеспечивающей достоверность выводов на основе количественных и качественных методов анализа данных.</w:t>
      </w:r>
    </w:p>
    <w:p w:rsidR="00B84740" w:rsidRPr="00382DF1" w:rsidRDefault="00B84740" w:rsidP="007D434B">
      <w:pPr>
        <w:pStyle w:val="3"/>
        <w:spacing w:before="0" w:line="240" w:lineRule="auto"/>
        <w:ind w:firstLine="567"/>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На защиту выносятся следующие положения:</w:t>
      </w:r>
    </w:p>
    <w:p w:rsidR="00B84740" w:rsidRPr="00382DF1" w:rsidRDefault="00B84740" w:rsidP="002F78CB">
      <w:pPr>
        <w:pStyle w:val="a4"/>
        <w:numPr>
          <w:ilvl w:val="0"/>
          <w:numId w:val="4"/>
        </w:numPr>
        <w:tabs>
          <w:tab w:val="clear" w:pos="720"/>
          <w:tab w:val="num" w:pos="851"/>
        </w:tabs>
        <w:spacing w:before="0" w:beforeAutospacing="0" w:after="0" w:afterAutospacing="0"/>
        <w:ind w:left="0" w:firstLine="567"/>
        <w:jc w:val="both"/>
        <w:rPr>
          <w:color w:val="000000" w:themeColor="text1"/>
          <w:sz w:val="28"/>
          <w:szCs w:val="28"/>
        </w:rPr>
      </w:pPr>
      <w:r w:rsidRPr="004E0BE7">
        <w:rPr>
          <w:rStyle w:val="a5"/>
          <w:rFonts w:eastAsiaTheme="majorEastAsia"/>
          <w:b w:val="0"/>
          <w:color w:val="000000" w:themeColor="text1"/>
          <w:sz w:val="28"/>
          <w:szCs w:val="28"/>
        </w:rPr>
        <w:t>Методология формирования профессиональной направленности студентов</w:t>
      </w:r>
      <w:r w:rsidRPr="00382DF1">
        <w:rPr>
          <w:color w:val="000000" w:themeColor="text1"/>
          <w:sz w:val="28"/>
          <w:szCs w:val="28"/>
        </w:rPr>
        <w:t xml:space="preserve"> через систему стохастико-игровых упражнений, которое является теоретической основой исследования.</w:t>
      </w:r>
    </w:p>
    <w:p w:rsidR="00B84740" w:rsidRPr="00382DF1" w:rsidRDefault="00B84740" w:rsidP="002F78CB">
      <w:pPr>
        <w:pStyle w:val="a4"/>
        <w:numPr>
          <w:ilvl w:val="0"/>
          <w:numId w:val="4"/>
        </w:numPr>
        <w:tabs>
          <w:tab w:val="clear" w:pos="720"/>
          <w:tab w:val="num" w:pos="851"/>
        </w:tabs>
        <w:spacing w:before="0" w:beforeAutospacing="0" w:after="0" w:afterAutospacing="0"/>
        <w:ind w:left="0" w:firstLine="567"/>
        <w:jc w:val="both"/>
        <w:rPr>
          <w:color w:val="000000" w:themeColor="text1"/>
          <w:sz w:val="28"/>
          <w:szCs w:val="28"/>
        </w:rPr>
      </w:pPr>
      <w:r w:rsidRPr="004E0BE7">
        <w:rPr>
          <w:rStyle w:val="a5"/>
          <w:rFonts w:eastAsiaTheme="majorEastAsia"/>
          <w:b w:val="0"/>
          <w:color w:val="000000" w:themeColor="text1"/>
          <w:sz w:val="28"/>
          <w:szCs w:val="28"/>
        </w:rPr>
        <w:t>Разработанная система упражнений</w:t>
      </w:r>
      <w:r w:rsidRPr="00382DF1">
        <w:rPr>
          <w:color w:val="000000" w:themeColor="text1"/>
          <w:sz w:val="28"/>
          <w:szCs w:val="28"/>
        </w:rPr>
        <w:t>, включающая стохастические и игровые модели, которая является методической основой исследования.</w:t>
      </w:r>
    </w:p>
    <w:p w:rsidR="00B84740" w:rsidRPr="00382DF1" w:rsidRDefault="00B84740" w:rsidP="002F78CB">
      <w:pPr>
        <w:pStyle w:val="a4"/>
        <w:numPr>
          <w:ilvl w:val="0"/>
          <w:numId w:val="4"/>
        </w:numPr>
        <w:tabs>
          <w:tab w:val="clear" w:pos="720"/>
          <w:tab w:val="num" w:pos="851"/>
        </w:tabs>
        <w:spacing w:before="0" w:beforeAutospacing="0" w:after="0" w:afterAutospacing="0"/>
        <w:ind w:left="0" w:firstLine="567"/>
        <w:jc w:val="both"/>
        <w:rPr>
          <w:color w:val="000000" w:themeColor="text1"/>
          <w:sz w:val="28"/>
          <w:szCs w:val="28"/>
        </w:rPr>
      </w:pPr>
      <w:r w:rsidRPr="004E0BE7">
        <w:rPr>
          <w:rStyle w:val="a5"/>
          <w:rFonts w:eastAsiaTheme="majorEastAsia"/>
          <w:b w:val="0"/>
          <w:color w:val="000000" w:themeColor="text1"/>
          <w:sz w:val="28"/>
          <w:szCs w:val="28"/>
        </w:rPr>
        <w:t>Рекомендации</w:t>
      </w:r>
      <w:r w:rsidRPr="00382DF1">
        <w:rPr>
          <w:color w:val="000000" w:themeColor="text1"/>
          <w:sz w:val="28"/>
          <w:szCs w:val="28"/>
        </w:rPr>
        <w:t>, обеспечивающие успешное внедрение стохастико-игровых упражнений в образовательный процесс, что отвечает основным требованиям педагогического образования.</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Базы исследования: экспериментальное исследование проводилось на базе Жетысуского университета имени Ильяса Жансугурова и Казахского национального женского педагогического университета, КГУ «Средняя школа – гимназия №12» и КГУ «Станция юных техников» г. Талдыкорган.</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Исследование проводилось в четыре этапа:</w:t>
      </w:r>
    </w:p>
    <w:p w:rsidR="00B84740" w:rsidRPr="00382DF1" w:rsidRDefault="00261AF5" w:rsidP="007D434B">
      <w:pPr>
        <w:spacing w:after="0" w:line="240" w:lineRule="auto"/>
        <w:ind w:firstLine="567"/>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Первый</w:t>
      </w:r>
      <w:r w:rsidR="00B84740" w:rsidRPr="00382DF1">
        <w:rPr>
          <w:rFonts w:ascii="Times New Roman" w:eastAsia="Times New Roman" w:hAnsi="Times New Roman" w:cs="Times New Roman"/>
          <w:b/>
          <w:bCs/>
          <w:sz w:val="28"/>
          <w:szCs w:val="28"/>
          <w:lang w:eastAsia="ru-RU"/>
        </w:rPr>
        <w:t xml:space="preserve"> этап (2016-2017 гг., 2020-2021 гг.). </w:t>
      </w:r>
      <w:r w:rsidR="00B84740" w:rsidRPr="00382DF1">
        <w:rPr>
          <w:rFonts w:ascii="Times New Roman" w:eastAsia="Times New Roman" w:hAnsi="Times New Roman" w:cs="Times New Roman"/>
          <w:sz w:val="28"/>
          <w:szCs w:val="28"/>
          <w:lang w:eastAsia="ru-RU"/>
        </w:rPr>
        <w:t xml:space="preserve">Проводилось анкетирование педагогов (учителей, магистрантов, докторантов) для выявления их отношения к использованию стохастико-игровых упражнений. Далее было проведено </w:t>
      </w:r>
      <w:r w:rsidR="00B84740" w:rsidRPr="00382DF1">
        <w:rPr>
          <w:rFonts w:ascii="Times New Roman" w:eastAsia="Times New Roman" w:hAnsi="Times New Roman" w:cs="Times New Roman"/>
          <w:sz w:val="28"/>
          <w:szCs w:val="28"/>
          <w:lang w:eastAsia="ru-RU"/>
        </w:rPr>
        <w:lastRenderedPageBreak/>
        <w:t>тестирование преподавателей и контрольная работа среди студентов и школьников, позволившие зафиксировать исходный уровень профессиональной направленности обучающихся.</w:t>
      </w:r>
      <w:r w:rsidR="00B84740" w:rsidRPr="00382DF1">
        <w:rPr>
          <w:rFonts w:ascii="Times New Roman" w:eastAsia="Times New Roman" w:hAnsi="Times New Roman" w:cs="Times New Roman"/>
          <w:b/>
          <w:bCs/>
          <w:sz w:val="28"/>
          <w:szCs w:val="28"/>
          <w:lang w:eastAsia="ru-RU"/>
        </w:rPr>
        <w:t xml:space="preserve"> </w:t>
      </w:r>
    </w:p>
    <w:p w:rsidR="00B84740" w:rsidRPr="00382DF1" w:rsidRDefault="00261AF5" w:rsidP="007D434B">
      <w:pPr>
        <w:spacing w:after="0" w:line="240" w:lineRule="auto"/>
        <w:ind w:firstLine="567"/>
        <w:jc w:val="both"/>
        <w:outlineLvl w:val="3"/>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 xml:space="preserve">Второй </w:t>
      </w:r>
      <w:r w:rsidR="00B84740" w:rsidRPr="00382DF1">
        <w:rPr>
          <w:rFonts w:ascii="Times New Roman" w:eastAsia="Times New Roman" w:hAnsi="Times New Roman" w:cs="Times New Roman"/>
          <w:b/>
          <w:bCs/>
          <w:sz w:val="28"/>
          <w:szCs w:val="28"/>
          <w:lang w:eastAsia="ru-RU"/>
        </w:rPr>
        <w:t xml:space="preserve">этап (2017-2018 гг., 2021-2022гг.). </w:t>
      </w:r>
      <w:r w:rsidR="00B84740" w:rsidRPr="00382DF1">
        <w:rPr>
          <w:rFonts w:ascii="Times New Roman" w:eastAsia="Times New Roman" w:hAnsi="Times New Roman" w:cs="Times New Roman"/>
          <w:sz w:val="28"/>
          <w:szCs w:val="28"/>
          <w:lang w:eastAsia="ru-RU"/>
        </w:rPr>
        <w:t>На этом этапе проводился анализ научной литературы, касающейся профессиональной направленности студентов и игровых методов обучения. Были разработаны методология эксперимента, система стохастико-игровых упражнений, а также определены критерии оценки их эффективности. Определены образовательные учреждения, в которых будет проводиться эксперимент.</w:t>
      </w:r>
    </w:p>
    <w:p w:rsidR="00B84740" w:rsidRPr="00382DF1" w:rsidRDefault="00261AF5" w:rsidP="007D434B">
      <w:pPr>
        <w:spacing w:after="0" w:line="240" w:lineRule="auto"/>
        <w:ind w:firstLine="567"/>
        <w:jc w:val="both"/>
        <w:outlineLvl w:val="3"/>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 xml:space="preserve">Третий </w:t>
      </w:r>
      <w:r w:rsidR="00B84740" w:rsidRPr="00382DF1">
        <w:rPr>
          <w:rFonts w:ascii="Times New Roman" w:eastAsia="Times New Roman" w:hAnsi="Times New Roman" w:cs="Times New Roman"/>
          <w:b/>
          <w:bCs/>
          <w:sz w:val="28"/>
          <w:szCs w:val="28"/>
          <w:lang w:eastAsia="ru-RU"/>
        </w:rPr>
        <w:t xml:space="preserve">этап (2018-2019 гг., 2022-2024 гг.). </w:t>
      </w:r>
      <w:r w:rsidR="00B84740" w:rsidRPr="00382DF1">
        <w:rPr>
          <w:rFonts w:ascii="Times New Roman" w:eastAsia="Times New Roman" w:hAnsi="Times New Roman" w:cs="Times New Roman"/>
          <w:sz w:val="28"/>
          <w:szCs w:val="28"/>
          <w:lang w:eastAsia="ru-RU"/>
        </w:rPr>
        <w:t>Эксперимент проводился в естественных условиях учебного процесса в университетах (Жетысуский университет, Казахский национальный женский педагогический университет), средней школе-гимназии №12 и Станции юных техников. В контрольной группе обучение шло по традиционной методике, а в экспериментальной применялись стохастико-игровые упражнения. В школе и учреждениях дополнительного образования использовались сборники задач и специально разработанные комплексы упражнений.</w:t>
      </w:r>
    </w:p>
    <w:p w:rsidR="00B84740" w:rsidRPr="00382DF1" w:rsidRDefault="00261AF5" w:rsidP="007D434B">
      <w:pPr>
        <w:spacing w:after="0" w:line="240" w:lineRule="auto"/>
        <w:ind w:firstLine="567"/>
        <w:jc w:val="both"/>
        <w:outlineLvl w:val="3"/>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 xml:space="preserve">Четвертый </w:t>
      </w:r>
      <w:r w:rsidR="00B84740" w:rsidRPr="00382DF1">
        <w:rPr>
          <w:rFonts w:ascii="Times New Roman" w:eastAsia="Times New Roman" w:hAnsi="Times New Roman" w:cs="Times New Roman"/>
          <w:b/>
          <w:bCs/>
          <w:sz w:val="28"/>
          <w:szCs w:val="28"/>
          <w:lang w:eastAsia="ru-RU"/>
        </w:rPr>
        <w:t xml:space="preserve">этап (2024 г.). </w:t>
      </w:r>
      <w:r w:rsidR="00B84740" w:rsidRPr="00382DF1">
        <w:rPr>
          <w:rFonts w:ascii="Times New Roman" w:eastAsia="Times New Roman" w:hAnsi="Times New Roman" w:cs="Times New Roman"/>
          <w:sz w:val="28"/>
          <w:szCs w:val="28"/>
          <w:lang w:eastAsia="ru-RU"/>
        </w:rPr>
        <w:t>Проводилось итоговое тестирование студентов и школьников, а также повторный опрос педагогов. Статистическая обработка данных включала анализ динамики успеваемости, вовлеченности учащихся и изменения их профессиональной направленности. В экспериментальной группе были зафиксированы положительные изменения, подтверждающие эффективность стохастико-игровых упражнений. На основе результатов эксперимента разработаны рекомендации по их внедрению в образовательную практику.</w:t>
      </w:r>
    </w:p>
    <w:p w:rsidR="00B84740" w:rsidRPr="00382DF1" w:rsidRDefault="00B84740" w:rsidP="007D434B">
      <w:pPr>
        <w:pStyle w:val="2"/>
        <w:spacing w:before="0" w:beforeAutospacing="0" w:after="0" w:afterAutospacing="0"/>
        <w:ind w:firstLine="567"/>
        <w:jc w:val="both"/>
        <w:rPr>
          <w:color w:val="000000" w:themeColor="text1"/>
          <w:sz w:val="28"/>
          <w:szCs w:val="28"/>
        </w:rPr>
      </w:pPr>
      <w:r w:rsidRPr="00382DF1">
        <w:rPr>
          <w:color w:val="000000" w:themeColor="text1"/>
          <w:sz w:val="28"/>
          <w:szCs w:val="28"/>
        </w:rPr>
        <w:t>Полученные результаты исследований были апробированы:</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 во время научно-методических семинаров кафедры физики - математики Жетысуского университета имени Ильяса Жансугурова, КГУ «Средняя школа гимназия №12», а также в КГУ «Станция юных техников» г. Талдыкорган.</w:t>
      </w:r>
    </w:p>
    <w:p w:rsidR="00B84740" w:rsidRPr="00382DF1" w:rsidRDefault="00B84740" w:rsidP="007D434B">
      <w:pPr>
        <w:pStyle w:val="2"/>
        <w:spacing w:before="0" w:beforeAutospacing="0" w:after="0" w:afterAutospacing="0"/>
        <w:ind w:firstLine="567"/>
        <w:jc w:val="both"/>
        <w:rPr>
          <w:b w:val="0"/>
          <w:color w:val="000000" w:themeColor="text1"/>
          <w:sz w:val="28"/>
          <w:szCs w:val="28"/>
        </w:rPr>
      </w:pPr>
      <w:r w:rsidRPr="00382DF1">
        <w:rPr>
          <w:b w:val="0"/>
          <w:color w:val="000000" w:themeColor="text1"/>
          <w:sz w:val="28"/>
          <w:szCs w:val="28"/>
        </w:rPr>
        <w:t>- во время стажировки в «Лаборатории исследования нормативов и проблем учебного процесса высшего образования» Центра развития высшего и среднего специального, профессионального образования при МВССО Республики Узбекистан, под руководством научного консультанта, доктора педагогических наук М. Тажиева в период с 01.04.18 по 30.04.18 г.</w:t>
      </w:r>
    </w:p>
    <w:p w:rsidR="00B84740" w:rsidRPr="00382DF1" w:rsidRDefault="00B84740" w:rsidP="007D434B">
      <w:pPr>
        <w:spacing w:after="0" w:line="240" w:lineRule="auto"/>
        <w:ind w:firstLine="567"/>
        <w:jc w:val="both"/>
        <w:rPr>
          <w:rFonts w:ascii="Times New Roman" w:hAnsi="Times New Roman" w:cs="Times New Roman"/>
          <w:color w:val="000000"/>
          <w:sz w:val="28"/>
          <w:szCs w:val="28"/>
          <w:lang w:val="kk-KZ"/>
        </w:rPr>
      </w:pPr>
      <w:r w:rsidRPr="00382DF1">
        <w:rPr>
          <w:rFonts w:ascii="Times New Roman" w:hAnsi="Times New Roman" w:cs="Times New Roman"/>
          <w:color w:val="000000" w:themeColor="text1"/>
          <w:sz w:val="28"/>
          <w:szCs w:val="28"/>
        </w:rPr>
        <w:t>- полученные результаты исследований докладывались на научно-практических</w:t>
      </w:r>
      <w:r w:rsidRPr="00382DF1">
        <w:rPr>
          <w:rFonts w:ascii="Times New Roman" w:hAnsi="Times New Roman" w:cs="Times New Roman"/>
          <w:b/>
          <w:color w:val="000000" w:themeColor="text1"/>
          <w:sz w:val="28"/>
          <w:szCs w:val="28"/>
        </w:rPr>
        <w:t xml:space="preserve"> </w:t>
      </w:r>
      <w:r w:rsidRPr="00382DF1">
        <w:rPr>
          <w:rFonts w:ascii="Times New Roman" w:hAnsi="Times New Roman" w:cs="Times New Roman"/>
          <w:color w:val="000000" w:themeColor="text1"/>
          <w:sz w:val="28"/>
          <w:szCs w:val="28"/>
        </w:rPr>
        <w:t>конференциях:</w:t>
      </w:r>
      <w:r w:rsidRPr="00382DF1">
        <w:rPr>
          <w:rFonts w:ascii="Times New Roman" w:hAnsi="Times New Roman" w:cs="Times New Roman"/>
          <w:b/>
          <w:color w:val="000000" w:themeColor="text1"/>
          <w:sz w:val="28"/>
          <w:szCs w:val="28"/>
        </w:rPr>
        <w:t xml:space="preserve"> </w:t>
      </w:r>
      <w:r w:rsidRPr="00382DF1">
        <w:rPr>
          <w:rFonts w:ascii="Times New Roman" w:hAnsi="Times New Roman" w:cs="Times New Roman"/>
          <w:sz w:val="28"/>
          <w:szCs w:val="28"/>
          <w:lang w:val="en-US"/>
        </w:rPr>
        <w:t>VIII</w:t>
      </w:r>
      <w:r w:rsidRPr="00382DF1">
        <w:rPr>
          <w:rFonts w:ascii="Times New Roman" w:hAnsi="Times New Roman" w:cs="Times New Roman"/>
          <w:sz w:val="28"/>
          <w:szCs w:val="28"/>
        </w:rPr>
        <w:t xml:space="preserve"> международная научно – практическая конференция научно – издательского центра «Актуальность РФ» Москва, Россия, 16 марта 2017 г., </w:t>
      </w:r>
      <w:r w:rsidRPr="00382DF1">
        <w:rPr>
          <w:rFonts w:ascii="Times New Roman" w:hAnsi="Times New Roman" w:cs="Times New Roman"/>
          <w:color w:val="000000"/>
          <w:sz w:val="28"/>
          <w:szCs w:val="28"/>
          <w:lang w:val="kk-KZ"/>
        </w:rPr>
        <w:t xml:space="preserve">международная научно-практическая конференция «Приоритеты современной науки: от теории к практике» ЖГУ имени И. Жансугурова, 27-28.10.2017 г., 4 – ая международная научно-практическая конференция «Перспективы развития науки и образования в обновленном обществе» Академия экономики и права имени О. А. Жолдасбекова 29.11.18 г., 5 – ая международная научно-практическая конференция «Молодежь и глобальные проблемы современности» Академия экономики и права имени О. А. Жолдасбекова 12.04.19 г., </w:t>
      </w:r>
      <w:r w:rsidRPr="00382DF1">
        <w:rPr>
          <w:rFonts w:ascii="Times New Roman" w:hAnsi="Times New Roman" w:cs="Times New Roman"/>
          <w:color w:val="000000"/>
          <w:sz w:val="28"/>
          <w:szCs w:val="28"/>
        </w:rPr>
        <w:t xml:space="preserve">международная научно-практическая конференция </w:t>
      </w:r>
      <w:r w:rsidRPr="00382DF1">
        <w:rPr>
          <w:rFonts w:ascii="Times New Roman" w:hAnsi="Times New Roman" w:cs="Times New Roman"/>
          <w:color w:val="000000"/>
          <w:sz w:val="28"/>
          <w:szCs w:val="28"/>
        </w:rPr>
        <w:lastRenderedPageBreak/>
        <w:t xml:space="preserve">«Молодежь –движущая сила образования, науки и общества» ЖГУ имени И. Жансугурова, 25-26.10.2019 г., </w:t>
      </w:r>
      <w:r w:rsidRPr="00382DF1">
        <w:rPr>
          <w:rFonts w:ascii="Times New Roman" w:hAnsi="Times New Roman" w:cs="Times New Roman"/>
          <w:color w:val="000000"/>
          <w:sz w:val="28"/>
          <w:szCs w:val="28"/>
          <w:lang w:val="kk-KZ"/>
        </w:rPr>
        <w:t>международная научно-практическая конференция «Устойчивое развитие науки и образования в условиях глобальных вызовов», посвященной 60-летию д.э.н., профессора Данияра Алтаевича Калдиярова ІІ часть, № 2, 2023 г.</w:t>
      </w:r>
    </w:p>
    <w:p w:rsidR="00B84740" w:rsidRPr="00382DF1" w:rsidRDefault="00B84740" w:rsidP="007D434B">
      <w:pPr>
        <w:spacing w:after="0" w:line="240" w:lineRule="auto"/>
        <w:ind w:firstLine="567"/>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lang w:val="kk-KZ"/>
        </w:rPr>
        <w:t xml:space="preserve">- </w:t>
      </w:r>
      <w:r w:rsidRPr="00382DF1">
        <w:rPr>
          <w:rFonts w:ascii="Times New Roman" w:hAnsi="Times New Roman" w:cs="Times New Roman"/>
          <w:color w:val="000000" w:themeColor="text1"/>
          <w:sz w:val="28"/>
          <w:szCs w:val="28"/>
        </w:rPr>
        <w:t xml:space="preserve">при изучении дисциплины </w:t>
      </w:r>
      <w:r w:rsidRPr="00382DF1">
        <w:rPr>
          <w:rFonts w:ascii="Times New Roman" w:hAnsi="Times New Roman" w:cs="Times New Roman"/>
          <w:bCs/>
          <w:color w:val="000000" w:themeColor="text1"/>
          <w:sz w:val="28"/>
          <w:szCs w:val="28"/>
        </w:rPr>
        <w:t>«Теория вероятностей и математическая статистика»</w:t>
      </w:r>
      <w:r w:rsidRPr="00382DF1">
        <w:rPr>
          <w:rFonts w:ascii="Times New Roman" w:hAnsi="Times New Roman" w:cs="Times New Roman"/>
          <w:color w:val="000000" w:themeColor="text1"/>
          <w:sz w:val="28"/>
          <w:szCs w:val="28"/>
        </w:rPr>
        <w:t xml:space="preserve"> в </w:t>
      </w:r>
      <w:r w:rsidRPr="00382DF1">
        <w:rPr>
          <w:rFonts w:ascii="Times New Roman" w:hAnsi="Times New Roman" w:cs="Times New Roman"/>
          <w:bCs/>
          <w:color w:val="000000" w:themeColor="text1"/>
          <w:sz w:val="28"/>
          <w:szCs w:val="28"/>
        </w:rPr>
        <w:t>Жетысуском университете имени И. Жансугурова</w:t>
      </w:r>
      <w:r w:rsidRPr="00382DF1">
        <w:rPr>
          <w:rFonts w:ascii="Times New Roman" w:hAnsi="Times New Roman" w:cs="Times New Roman"/>
          <w:color w:val="000000" w:themeColor="text1"/>
          <w:sz w:val="28"/>
          <w:szCs w:val="28"/>
        </w:rPr>
        <w:t xml:space="preserve"> среди студентов 3 и 4 курсов, а также в </w:t>
      </w:r>
      <w:r w:rsidRPr="00382DF1">
        <w:rPr>
          <w:rFonts w:ascii="Times New Roman" w:hAnsi="Times New Roman" w:cs="Times New Roman"/>
          <w:bCs/>
          <w:color w:val="000000" w:themeColor="text1"/>
          <w:sz w:val="28"/>
          <w:szCs w:val="28"/>
        </w:rPr>
        <w:t>Казахском национальном женском педагогическом университете</w:t>
      </w:r>
      <w:r w:rsidRPr="00382DF1">
        <w:rPr>
          <w:rFonts w:ascii="Times New Roman" w:hAnsi="Times New Roman" w:cs="Times New Roman"/>
          <w:color w:val="000000" w:themeColor="text1"/>
          <w:sz w:val="28"/>
          <w:szCs w:val="28"/>
        </w:rPr>
        <w:t xml:space="preserve"> среди студентов 3 курса. Кроме того, элементы эксперимента были реализованы в </w:t>
      </w:r>
      <w:r w:rsidRPr="00382DF1">
        <w:rPr>
          <w:rFonts w:ascii="Times New Roman" w:hAnsi="Times New Roman" w:cs="Times New Roman"/>
          <w:bCs/>
          <w:color w:val="000000" w:themeColor="text1"/>
          <w:sz w:val="28"/>
          <w:szCs w:val="28"/>
        </w:rPr>
        <w:t>средней школе-гимназии №12</w:t>
      </w:r>
      <w:r w:rsidRPr="00382DF1">
        <w:rPr>
          <w:rFonts w:ascii="Times New Roman" w:hAnsi="Times New Roman" w:cs="Times New Roman"/>
          <w:color w:val="000000" w:themeColor="text1"/>
          <w:sz w:val="28"/>
          <w:szCs w:val="28"/>
        </w:rPr>
        <w:t xml:space="preserve"> на факультативных занятиях и во время прохождения разделов по теории вероятностей и математической статистике, а также в кружках занимательной математики </w:t>
      </w:r>
      <w:r w:rsidRPr="00382DF1">
        <w:rPr>
          <w:rFonts w:ascii="Times New Roman" w:hAnsi="Times New Roman" w:cs="Times New Roman"/>
          <w:bCs/>
          <w:color w:val="000000" w:themeColor="text1"/>
          <w:sz w:val="28"/>
          <w:szCs w:val="28"/>
        </w:rPr>
        <w:t>Станции юных техников</w:t>
      </w:r>
      <w:r w:rsidRPr="00382DF1">
        <w:rPr>
          <w:rFonts w:ascii="Times New Roman" w:hAnsi="Times New Roman" w:cs="Times New Roman"/>
          <w:color w:val="000000" w:themeColor="text1"/>
          <w:sz w:val="28"/>
          <w:szCs w:val="28"/>
        </w:rPr>
        <w:t>.</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b/>
          <w:color w:val="000000"/>
          <w:sz w:val="28"/>
          <w:szCs w:val="28"/>
        </w:rPr>
        <w:t>Публикации.</w:t>
      </w:r>
      <w:r w:rsidRPr="00382DF1">
        <w:rPr>
          <w:rFonts w:ascii="Times New Roman" w:hAnsi="Times New Roman" w:cs="Times New Roman"/>
          <w:color w:val="000000"/>
          <w:sz w:val="28"/>
          <w:szCs w:val="28"/>
        </w:rPr>
        <w:t xml:space="preserve"> Основные результаты и положения диссертационного исследования опубликованы в различных научных журналах и сборниках, </w:t>
      </w:r>
      <w:r w:rsidR="006F7ACC">
        <w:rPr>
          <w:rFonts w:ascii="Times New Roman" w:hAnsi="Times New Roman" w:cs="Times New Roman"/>
          <w:color w:val="000000"/>
          <w:sz w:val="28"/>
          <w:szCs w:val="28"/>
        </w:rPr>
        <w:t>материалах конференций, всего 26</w:t>
      </w:r>
      <w:r w:rsidRPr="00382DF1">
        <w:rPr>
          <w:rFonts w:ascii="Times New Roman" w:hAnsi="Times New Roman" w:cs="Times New Roman"/>
          <w:color w:val="000000"/>
          <w:sz w:val="28"/>
          <w:szCs w:val="28"/>
        </w:rPr>
        <w:t xml:space="preserve"> работ, из них:</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статьи в журналах, включенных в перечень рецензируемых научных изданий, определенных Комитетом по обеспечению качества в сфере науки и высшего образования Министерства науки и высшего обра</w:t>
      </w:r>
      <w:r w:rsidR="006F7ACC">
        <w:rPr>
          <w:rFonts w:ascii="Times New Roman" w:hAnsi="Times New Roman" w:cs="Times New Roman"/>
          <w:color w:val="000000"/>
          <w:sz w:val="28"/>
          <w:szCs w:val="28"/>
        </w:rPr>
        <w:t>зования Республики Казахстан - 7</w:t>
      </w:r>
      <w:r w:rsidRPr="00382DF1">
        <w:rPr>
          <w:rFonts w:ascii="Times New Roman" w:hAnsi="Times New Roman" w:cs="Times New Roman"/>
          <w:color w:val="000000"/>
          <w:sz w:val="28"/>
          <w:szCs w:val="28"/>
        </w:rPr>
        <w:t>;</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статьи в международных рецензируемых научных журналах, входящих в базу данных Scopus - 2;</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публикации в научных журналах - 5;</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статьи в материалах международных научно-практических конференций - 6;</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учебное пособие, рекомендованное Ученым советом университета - 2;</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другие учебные пособия – 2;</w:t>
      </w:r>
    </w:p>
    <w:p w:rsidR="00B84740" w:rsidRPr="00382DF1" w:rsidRDefault="00B84740" w:rsidP="007D434B">
      <w:pPr>
        <w:spacing w:after="0" w:line="240" w:lineRule="auto"/>
        <w:ind w:firstLine="567"/>
        <w:jc w:val="both"/>
        <w:rPr>
          <w:rFonts w:ascii="Times New Roman" w:hAnsi="Times New Roman" w:cs="Times New Roman"/>
          <w:color w:val="000000"/>
          <w:sz w:val="28"/>
          <w:szCs w:val="28"/>
        </w:rPr>
      </w:pPr>
      <w:r w:rsidRPr="00382DF1">
        <w:rPr>
          <w:rFonts w:ascii="Times New Roman" w:hAnsi="Times New Roman" w:cs="Times New Roman"/>
          <w:color w:val="000000"/>
          <w:sz w:val="28"/>
          <w:szCs w:val="28"/>
        </w:rPr>
        <w:t>– свидетельство о внесении сведений в государственный реестр прав на объекты, охраняемые авторским правом – 2.</w:t>
      </w:r>
    </w:p>
    <w:p w:rsidR="00B84740" w:rsidRPr="007B3C72" w:rsidRDefault="00B84740" w:rsidP="007B3C72">
      <w:pPr>
        <w:spacing w:after="0" w:line="240" w:lineRule="auto"/>
        <w:ind w:firstLine="567"/>
        <w:jc w:val="both"/>
        <w:rPr>
          <w:rFonts w:ascii="Times New Roman" w:hAnsi="Times New Roman" w:cs="Times New Roman"/>
          <w:b/>
          <w:color w:val="000000"/>
          <w:sz w:val="28"/>
          <w:szCs w:val="28"/>
        </w:rPr>
      </w:pPr>
      <w:r w:rsidRPr="007B3C72">
        <w:rPr>
          <w:rFonts w:ascii="Times New Roman" w:hAnsi="Times New Roman" w:cs="Times New Roman"/>
          <w:b/>
          <w:color w:val="000000"/>
          <w:sz w:val="28"/>
          <w:szCs w:val="28"/>
        </w:rPr>
        <w:t>Структура диссертации.</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Введение содержит обоснование актуальности исследования, в котором подчеркивается необходимость формирования профессиональной направленности студентов с использованием стохастико-игровых упражнений. Сформулирована цель исследования, определены объект исследования и предмет исследования, разработана гипотеза исследования, определены основные задачи, обоснована научная новизна, Описаны этапы исследования, включающие теоретический анализ, разработку методики, экспериментальную проверку и обработку результатов.</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 xml:space="preserve">В первой главе представлены теоретические основы профессиональной направленности студентов. Разработана структура профессиональной направленности, включающая мотивационно-ценностный, когнитивный, эмоционально-волевой, практический и интегративный компоненты. Определены критерии профессиональной направленности, которые позволяют оценить уровень ее сформированности у студентов. Сформулированы психолого-педагогические условия, способствующие эффективному развитию </w:t>
      </w:r>
      <w:r w:rsidRPr="007B3C72">
        <w:rPr>
          <w:sz w:val="28"/>
          <w:szCs w:val="28"/>
        </w:rPr>
        <w:lastRenderedPageBreak/>
        <w:t>профессиональной направленности в образовательной среде. Разработаны подходы к использованию задач по стохастике и теории игр в педагогике, выявлена их роль в повышении мотивации и вовлеченности студентов в процесс обучения. Сформулированы выводы по первому разделу, в которых обобщены ключевые аспекты теоретического исследования.</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Во второй главе разработаны методические аспекты формирования профессиональной направленности студентов на основе стохастико-игровых упражнений. Представлена концептуальная модель методологии, включающая теоретическое обоснование и основные принципы построения системы упражнений. Определены методические требования к созданию интегрированной системы упражнений, сформулированы критерии их отбора и способы интеграции в образовательный процесс. Разработаны методические рекомендации по внедрению стохастико-игровых упражнений в образовательные учреждения, предложены практические рекомендации для преподавателей и адаптационные механизмы для различных уровней образования. Сформулированы выводы по второму разделу, обобщающие результаты методического исследования.</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Третья глава посвящена экспериментальной проверке разработанной методологии и ее внедрению в образовательный процесс. Описана организация педагогического эксперимента, определены его этапы, а также охарактеризованы учебные заведения, на базе которых проводилось исследование. Сформулированы критерии оценки эффективности разработанной методологии. Проведен анализ результатов эксперимента, подтверждающий влияние стохастико-игровых упражнений на формирование профессиональной направленности студентов. Выявлены количественные и качественные показатели изменений, свидетельствующие о положительном воздействии методики на образовательный процесс. Сформулированы выводы по третьему разделу, в которых обоснована эффективность предложенного подхода.</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В заключении представлены итоговые выводы по исследованию, обоснована подтвержденность выдвинутой гипотезы, сформулированы рекомендации для дальнейшего применения методологии в образовательных учреждениях.</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Список использованных источников содержит научные труды по теме исследования, нормативные документы и другие материалы, использованные в процессе работы.</w:t>
      </w:r>
    </w:p>
    <w:p w:rsidR="00A81F23" w:rsidRPr="007B3C72" w:rsidRDefault="00A81F23" w:rsidP="007B3C72">
      <w:pPr>
        <w:pStyle w:val="a4"/>
        <w:spacing w:before="0" w:beforeAutospacing="0" w:after="0" w:afterAutospacing="0"/>
        <w:ind w:firstLine="567"/>
        <w:jc w:val="both"/>
        <w:rPr>
          <w:sz w:val="28"/>
          <w:szCs w:val="28"/>
        </w:rPr>
      </w:pPr>
      <w:r w:rsidRPr="007B3C72">
        <w:rPr>
          <w:sz w:val="28"/>
          <w:szCs w:val="28"/>
        </w:rPr>
        <w:t>В приложении представлены акты внедрения разработанной методологии в образовательные учреждения, а также дополнительные материалы, включающие анкеты, примеры упражнений и статистические данные.</w:t>
      </w:r>
    </w:p>
    <w:p w:rsidR="005D2ED8" w:rsidRPr="007B3C72" w:rsidRDefault="005D2ED8" w:rsidP="007B3C72">
      <w:pPr>
        <w:spacing w:after="0" w:line="240" w:lineRule="auto"/>
        <w:ind w:firstLine="851"/>
        <w:jc w:val="both"/>
        <w:rPr>
          <w:rFonts w:ascii="Times New Roman" w:hAnsi="Times New Roman" w:cs="Times New Roman"/>
          <w:sz w:val="28"/>
          <w:szCs w:val="28"/>
        </w:rPr>
      </w:pPr>
    </w:p>
    <w:p w:rsidR="00261AF5" w:rsidRPr="007B3C72" w:rsidRDefault="00261AF5" w:rsidP="007B3C72">
      <w:pPr>
        <w:spacing w:after="0" w:line="240" w:lineRule="auto"/>
        <w:ind w:firstLine="851"/>
        <w:jc w:val="both"/>
        <w:rPr>
          <w:rFonts w:ascii="Times New Roman" w:hAnsi="Times New Roman" w:cs="Times New Roman"/>
          <w:sz w:val="28"/>
          <w:szCs w:val="28"/>
        </w:rPr>
      </w:pPr>
    </w:p>
    <w:p w:rsidR="00261AF5" w:rsidRPr="00A81F23" w:rsidRDefault="00261AF5" w:rsidP="00D07862">
      <w:pPr>
        <w:spacing w:after="0" w:line="240" w:lineRule="auto"/>
        <w:ind w:firstLine="851"/>
        <w:jc w:val="both"/>
        <w:rPr>
          <w:rFonts w:ascii="Times New Roman" w:hAnsi="Times New Roman" w:cs="Times New Roman"/>
          <w:sz w:val="28"/>
          <w:szCs w:val="28"/>
        </w:rPr>
      </w:pPr>
    </w:p>
    <w:p w:rsidR="00261AF5" w:rsidRPr="00A81F23" w:rsidRDefault="00261AF5" w:rsidP="00D07862">
      <w:pPr>
        <w:spacing w:after="0" w:line="240" w:lineRule="auto"/>
        <w:ind w:firstLine="851"/>
        <w:jc w:val="both"/>
        <w:rPr>
          <w:rFonts w:ascii="Times New Roman" w:hAnsi="Times New Roman" w:cs="Times New Roman"/>
          <w:sz w:val="28"/>
          <w:szCs w:val="28"/>
        </w:rPr>
      </w:pPr>
    </w:p>
    <w:p w:rsidR="00261AF5" w:rsidRPr="00A81F23" w:rsidRDefault="00261AF5" w:rsidP="00D07862">
      <w:pPr>
        <w:spacing w:after="0" w:line="240" w:lineRule="auto"/>
        <w:ind w:firstLine="851"/>
        <w:jc w:val="both"/>
        <w:rPr>
          <w:rFonts w:ascii="Times New Roman" w:hAnsi="Times New Roman" w:cs="Times New Roman"/>
          <w:sz w:val="28"/>
          <w:szCs w:val="28"/>
        </w:rPr>
      </w:pPr>
    </w:p>
    <w:p w:rsidR="00261AF5" w:rsidRPr="00A81F23" w:rsidRDefault="00261AF5" w:rsidP="00D07862">
      <w:pPr>
        <w:spacing w:after="0" w:line="240" w:lineRule="auto"/>
        <w:ind w:firstLine="851"/>
        <w:jc w:val="both"/>
        <w:rPr>
          <w:rFonts w:ascii="Times New Roman" w:hAnsi="Times New Roman" w:cs="Times New Roman"/>
          <w:sz w:val="28"/>
          <w:szCs w:val="28"/>
        </w:rPr>
      </w:pPr>
    </w:p>
    <w:p w:rsidR="00261AF5" w:rsidRPr="00382DF1" w:rsidRDefault="00261AF5" w:rsidP="00D07862">
      <w:pPr>
        <w:spacing w:after="0" w:line="240" w:lineRule="auto"/>
        <w:ind w:firstLine="851"/>
        <w:jc w:val="both"/>
        <w:rPr>
          <w:rFonts w:ascii="Times New Roman" w:hAnsi="Times New Roman" w:cs="Times New Roman"/>
          <w:b/>
          <w:sz w:val="28"/>
          <w:szCs w:val="28"/>
        </w:rPr>
      </w:pPr>
      <w:r w:rsidRPr="00382DF1">
        <w:rPr>
          <w:rFonts w:ascii="Times New Roman" w:hAnsi="Times New Roman" w:cs="Times New Roman"/>
          <w:b/>
          <w:color w:val="000000" w:themeColor="text1"/>
          <w:sz w:val="28"/>
          <w:szCs w:val="28"/>
        </w:rPr>
        <w:lastRenderedPageBreak/>
        <w:t xml:space="preserve">1. </w:t>
      </w:r>
      <w:r w:rsidRPr="00382DF1">
        <w:rPr>
          <w:rFonts w:ascii="Times New Roman" w:hAnsi="Times New Roman" w:cs="Times New Roman"/>
          <w:b/>
          <w:sz w:val="28"/>
          <w:szCs w:val="28"/>
        </w:rPr>
        <w:t>ТЕОРЕТИЧЕСКИЕ ОСНОВЫ ПРОФЕССИОНАЛЬНОЙ НАПРАВЛЕННОСТИ СТУДЕНТОВ</w:t>
      </w:r>
    </w:p>
    <w:p w:rsidR="00261AF5" w:rsidRPr="00382DF1" w:rsidRDefault="00261AF5" w:rsidP="00261AF5">
      <w:pPr>
        <w:pStyle w:val="a4"/>
        <w:spacing w:before="0" w:beforeAutospacing="0" w:after="0" w:afterAutospacing="0"/>
        <w:ind w:firstLine="851"/>
        <w:jc w:val="both"/>
        <w:rPr>
          <w:b/>
          <w:sz w:val="28"/>
          <w:szCs w:val="28"/>
        </w:rPr>
      </w:pPr>
    </w:p>
    <w:p w:rsidR="00261AF5" w:rsidRDefault="00261AF5" w:rsidP="00481756">
      <w:pPr>
        <w:pStyle w:val="a4"/>
        <w:spacing w:before="0" w:beforeAutospacing="0" w:after="0" w:afterAutospacing="0"/>
        <w:ind w:firstLine="851"/>
        <w:jc w:val="both"/>
        <w:rPr>
          <w:b/>
          <w:sz w:val="28"/>
          <w:szCs w:val="28"/>
        </w:rPr>
      </w:pPr>
      <w:r w:rsidRPr="00382DF1">
        <w:rPr>
          <w:b/>
          <w:sz w:val="28"/>
          <w:szCs w:val="28"/>
        </w:rPr>
        <w:t>1.1. Понятие профессиональной направленности: структура, компоненты и критерии.</w:t>
      </w:r>
    </w:p>
    <w:p w:rsidR="00984B9F" w:rsidRPr="00382DF1" w:rsidRDefault="00984B9F" w:rsidP="00481756">
      <w:pPr>
        <w:pStyle w:val="a4"/>
        <w:spacing w:before="0" w:beforeAutospacing="0" w:after="0" w:afterAutospacing="0"/>
        <w:ind w:firstLine="851"/>
        <w:jc w:val="both"/>
        <w:rPr>
          <w:b/>
          <w:sz w:val="28"/>
          <w:szCs w:val="28"/>
        </w:rPr>
      </w:pPr>
    </w:p>
    <w:p w:rsidR="00261AF5" w:rsidRPr="00382DF1" w:rsidRDefault="00261AF5" w:rsidP="00976688">
      <w:pPr>
        <w:pStyle w:val="a4"/>
        <w:spacing w:before="0" w:beforeAutospacing="0" w:after="0" w:afterAutospacing="0"/>
        <w:ind w:firstLine="709"/>
        <w:jc w:val="both"/>
        <w:rPr>
          <w:sz w:val="28"/>
          <w:szCs w:val="28"/>
        </w:rPr>
      </w:pPr>
      <w:r w:rsidRPr="00382DF1">
        <w:rPr>
          <w:sz w:val="28"/>
          <w:szCs w:val="28"/>
        </w:rPr>
        <w:t>Президент Казахстана Касым-Жомарт Токаев неоднократно подчеркивал важность подготовки квалифицированных специалистов и усиления профессиональной направленности кадров. В своем Послании народу Казахстана он отметил необходимость преодоления острой нехватки отраслевых специалистов, таких как водники, строители, энергетики, а также подготовки специалистов по профессиям будущего [1]. Государственная политика Казахстана направлена на усиление профессиональной подготовки кадров, что открывает возможности для поддержки образовательных и технологических инициатив. В условиях нехватки специалистов в ключевых отраслях важно развивать программы обучения и переподготовки, используя современные технологии и инновационные подходы.</w:t>
      </w:r>
    </w:p>
    <w:p w:rsidR="00261AF5" w:rsidRDefault="00261AF5" w:rsidP="00976688">
      <w:pPr>
        <w:pStyle w:val="a4"/>
        <w:spacing w:before="0" w:beforeAutospacing="0" w:after="0" w:afterAutospacing="0"/>
        <w:ind w:firstLine="709"/>
        <w:jc w:val="both"/>
        <w:rPr>
          <w:sz w:val="28"/>
          <w:szCs w:val="28"/>
        </w:rPr>
      </w:pPr>
      <w:r w:rsidRPr="00382DF1">
        <w:rPr>
          <w:sz w:val="28"/>
          <w:szCs w:val="28"/>
        </w:rPr>
        <w:t>Профессиональная направленность представляет собой интегративное личностное образование, которое характеризует устойчивую ориентацию человека на определённую профессиональную деятельность. Она включает в себя интересы, склонности, способности, ценностные ориентации и мотивацию, связанные с выбором профессии и её реализацией. Этот феномен формируется на пересечении внутреннего мира человека и внешней среды, объединяя его индивидуальные психологические особенности, социальные влияния, образовательные условия и культурный контекст.</w:t>
      </w:r>
    </w:p>
    <w:p w:rsidR="00976688" w:rsidRPr="001D4AC2" w:rsidRDefault="008A640F" w:rsidP="00976688">
      <w:pPr>
        <w:pStyle w:val="a4"/>
        <w:spacing w:before="0" w:beforeAutospacing="0" w:after="0" w:afterAutospacing="0"/>
        <w:ind w:firstLine="709"/>
        <w:jc w:val="both"/>
        <w:rPr>
          <w:color w:val="FF0000"/>
          <w:sz w:val="28"/>
          <w:szCs w:val="28"/>
        </w:rPr>
      </w:pPr>
      <w:r w:rsidRPr="001D4AC2">
        <w:rPr>
          <w:color w:val="FF0000"/>
          <w:sz w:val="28"/>
          <w:szCs w:val="28"/>
        </w:rPr>
        <w:t>Термин профессиональная направленность тесно переплетается с термином профессиональная компетенция, они дополняют друг друга, но имеют принципиальные различия.</w:t>
      </w:r>
      <w:r w:rsidR="00976688" w:rsidRPr="001D4AC2">
        <w:rPr>
          <w:color w:val="FF0000"/>
          <w:sz w:val="28"/>
          <w:szCs w:val="28"/>
        </w:rPr>
        <w:t xml:space="preserve"> </w:t>
      </w:r>
    </w:p>
    <w:p w:rsidR="00976688" w:rsidRPr="001D4AC2" w:rsidRDefault="00976688" w:rsidP="00976688">
      <w:pPr>
        <w:spacing w:after="0" w:line="240" w:lineRule="auto"/>
        <w:ind w:firstLine="709"/>
        <w:jc w:val="both"/>
        <w:rPr>
          <w:rFonts w:ascii="Times New Roman" w:eastAsia="Times New Roman" w:hAnsi="Times New Roman" w:cs="Times New Roman"/>
          <w:color w:val="FF0000"/>
          <w:sz w:val="28"/>
          <w:szCs w:val="28"/>
          <w:lang w:eastAsia="ru-RU"/>
        </w:rPr>
      </w:pPr>
      <w:r w:rsidRPr="001D4AC2">
        <w:rPr>
          <w:rFonts w:ascii="Times New Roman" w:eastAsia="Times New Roman" w:hAnsi="Times New Roman" w:cs="Times New Roman"/>
          <w:color w:val="FF0000"/>
          <w:sz w:val="28"/>
          <w:szCs w:val="28"/>
          <w:lang w:eastAsia="ru-RU"/>
        </w:rPr>
        <w:t>Профессиональная компетентность отражает уровень подготовки специалиста, его знания, умения, навыки и способность применять их на практике. Это показатель профессиональной пригодности, который включает в себя как теоретическую базу, так и практический опыт. Человек с высокой компетентностью способен эффективно выполнять поставленные задачи, решать сложные профессиональные проблемы и адаптироваться к изменяющимся условиям.</w:t>
      </w:r>
    </w:p>
    <w:p w:rsidR="00976688" w:rsidRPr="001D4AC2" w:rsidRDefault="00976688" w:rsidP="00976688">
      <w:pPr>
        <w:spacing w:after="0" w:line="240" w:lineRule="auto"/>
        <w:ind w:firstLine="709"/>
        <w:jc w:val="both"/>
        <w:rPr>
          <w:rFonts w:ascii="Times New Roman" w:eastAsia="Times New Roman" w:hAnsi="Times New Roman" w:cs="Times New Roman"/>
          <w:color w:val="FF0000"/>
          <w:sz w:val="28"/>
          <w:szCs w:val="28"/>
          <w:lang w:eastAsia="ru-RU"/>
        </w:rPr>
      </w:pPr>
      <w:r w:rsidRPr="001D4AC2">
        <w:rPr>
          <w:rFonts w:ascii="Times New Roman" w:eastAsia="Times New Roman" w:hAnsi="Times New Roman" w:cs="Times New Roman"/>
          <w:color w:val="FF0000"/>
          <w:sz w:val="28"/>
          <w:szCs w:val="28"/>
          <w:lang w:eastAsia="ru-RU"/>
        </w:rPr>
        <w:t>Профессиональная направленность, в свою очередь, относится к мотивационно-ценностной сфере личности. Она определяет отношение человека к своей профессии, степень его вовлеченности, заинтересованности и стремление к профессиональному развитию. Человек с выраженной профессиональной направленностью испытывает удовлетворение от своей деятельности, осознает ее важность и стремится к самореализации в данной сфере.</w:t>
      </w:r>
    </w:p>
    <w:p w:rsidR="00976688" w:rsidRPr="001D4AC2" w:rsidRDefault="00976688" w:rsidP="00976688">
      <w:pPr>
        <w:spacing w:after="0" w:line="240" w:lineRule="auto"/>
        <w:ind w:firstLine="709"/>
        <w:jc w:val="both"/>
        <w:rPr>
          <w:rFonts w:ascii="Times New Roman" w:eastAsia="Times New Roman" w:hAnsi="Times New Roman" w:cs="Times New Roman"/>
          <w:color w:val="FF0000"/>
          <w:sz w:val="28"/>
          <w:szCs w:val="28"/>
          <w:lang w:eastAsia="ru-RU"/>
        </w:rPr>
      </w:pPr>
      <w:r w:rsidRPr="001D4AC2">
        <w:rPr>
          <w:rFonts w:ascii="Times New Roman" w:eastAsia="Times New Roman" w:hAnsi="Times New Roman" w:cs="Times New Roman"/>
          <w:color w:val="FF0000"/>
          <w:sz w:val="28"/>
          <w:szCs w:val="28"/>
          <w:lang w:eastAsia="ru-RU"/>
        </w:rPr>
        <w:t xml:space="preserve">Главное отличие между этими понятиями заключается в том, что профессиональная компетентность отражает уровень квалификации специалиста, а профессиональная направленность – его отношение к работе. </w:t>
      </w:r>
      <w:r w:rsidRPr="001D4AC2">
        <w:rPr>
          <w:rFonts w:ascii="Times New Roman" w:eastAsia="Times New Roman" w:hAnsi="Times New Roman" w:cs="Times New Roman"/>
          <w:color w:val="FF0000"/>
          <w:sz w:val="28"/>
          <w:szCs w:val="28"/>
          <w:lang w:eastAsia="ru-RU"/>
        </w:rPr>
        <w:lastRenderedPageBreak/>
        <w:t>Высокая компетентность без направленности может привести к тому, что человек будет выполнять работу формально, без инициативы и стремления к развитию. Напротив, сильная направленность без достаточной компетентности может выражаться в энтузиазме, но недостатке профессиональных навыков, что снизит эффективность труда.</w:t>
      </w:r>
    </w:p>
    <w:p w:rsidR="008A640F" w:rsidRPr="001D4AC2" w:rsidRDefault="00976688" w:rsidP="00976688">
      <w:pPr>
        <w:spacing w:after="0" w:line="240" w:lineRule="auto"/>
        <w:ind w:firstLine="709"/>
        <w:jc w:val="both"/>
        <w:rPr>
          <w:rFonts w:ascii="Times New Roman" w:eastAsia="Times New Roman" w:hAnsi="Times New Roman" w:cs="Times New Roman"/>
          <w:color w:val="FF0000"/>
          <w:sz w:val="28"/>
          <w:szCs w:val="28"/>
          <w:lang w:eastAsia="ru-RU"/>
        </w:rPr>
      </w:pPr>
      <w:r w:rsidRPr="001D4AC2">
        <w:rPr>
          <w:rFonts w:ascii="Times New Roman" w:eastAsia="Times New Roman" w:hAnsi="Times New Roman" w:cs="Times New Roman"/>
          <w:color w:val="FF0000"/>
          <w:sz w:val="28"/>
          <w:szCs w:val="28"/>
          <w:lang w:eastAsia="ru-RU"/>
        </w:rPr>
        <w:t>Таким образом, для полноценного профессионального становления важен баланс между компетентностью и направленностью. Когда человек обладает глубокими знаниями и высокой мотивацией, он не только успешно выполняет свою работу, но и стремится к постоянному совершенствованию, что делает его востребованным специалистом.</w:t>
      </w:r>
      <w:r w:rsidR="008A640F" w:rsidRPr="001D4AC2">
        <w:rPr>
          <w:color w:val="FF0000"/>
          <w:sz w:val="28"/>
          <w:szCs w:val="28"/>
        </w:rPr>
        <w:t xml:space="preserve"> </w:t>
      </w:r>
      <w:r w:rsidR="00420683">
        <w:rPr>
          <w:color w:val="FF0000"/>
          <w:sz w:val="28"/>
          <w:szCs w:val="28"/>
        </w:rPr>
        <w:t>(надо сделать рисунок)</w:t>
      </w:r>
    </w:p>
    <w:p w:rsidR="00261AF5" w:rsidRPr="00382DF1" w:rsidRDefault="00261AF5" w:rsidP="00976688">
      <w:pPr>
        <w:pStyle w:val="a4"/>
        <w:spacing w:before="0" w:beforeAutospacing="0" w:after="0" w:afterAutospacing="0"/>
        <w:ind w:firstLine="709"/>
        <w:jc w:val="both"/>
        <w:rPr>
          <w:sz w:val="28"/>
          <w:szCs w:val="28"/>
        </w:rPr>
      </w:pPr>
      <w:r w:rsidRPr="00976688">
        <w:rPr>
          <w:sz w:val="28"/>
          <w:szCs w:val="28"/>
        </w:rPr>
        <w:t>Изучение профессиональной направленности как сложного психологического и педагогического феномена началось в XX веке и продолжает</w:t>
      </w:r>
      <w:r w:rsidRPr="00382DF1">
        <w:rPr>
          <w:sz w:val="28"/>
          <w:szCs w:val="28"/>
        </w:rPr>
        <w:t xml:space="preserve"> активно развиваться. Исследователи сосредоточились на анализе структуры, факторов формирования, особенностей развития профессиональных интересов и мотивов, а также на практических аспектах профессионального самоопределения.</w:t>
      </w:r>
    </w:p>
    <w:p w:rsidR="00261AF5" w:rsidRPr="00382DF1" w:rsidRDefault="00261AF5" w:rsidP="00976688">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 xml:space="preserve">Исследования профессиональной направленности проводились в различных научных школах, включая американскую и советскую традиции. Учёные обеих стран внесли значительный вклад в понимание факторов, влияющих на выбор профессии, мотивацию и развитие личности в профессиональной деятельности. </w:t>
      </w:r>
      <w:r w:rsidRPr="00382DF1">
        <w:rPr>
          <w:rFonts w:ascii="Times New Roman" w:eastAsia="Times New Roman" w:hAnsi="Times New Roman" w:cs="Times New Roman"/>
          <w:sz w:val="28"/>
          <w:szCs w:val="28"/>
          <w:lang w:eastAsia="ru-RU"/>
        </w:rPr>
        <w:t xml:space="preserve"> </w:t>
      </w:r>
      <w:r w:rsidRPr="00382DF1">
        <w:rPr>
          <w:rFonts w:ascii="Times New Roman" w:hAnsi="Times New Roman" w:cs="Times New Roman"/>
          <w:sz w:val="28"/>
          <w:szCs w:val="28"/>
        </w:rPr>
        <w:t xml:space="preserve">Американские исследователи сосредоточились на индивидуальных особенностях личности и мотивационных факторах, влияющих на профессиональный выбор. </w:t>
      </w:r>
      <w:r w:rsidRPr="00382DF1">
        <w:rPr>
          <w:rFonts w:ascii="Times New Roman" w:eastAsia="Times New Roman" w:hAnsi="Times New Roman" w:cs="Times New Roman"/>
          <w:sz w:val="28"/>
          <w:szCs w:val="28"/>
          <w:lang w:eastAsia="ru-RU"/>
        </w:rPr>
        <w:t xml:space="preserve">Джон Голланд разработал типологию личности и профессиональных сред, определяя выбор профессии через соответствие личностных характеристик и особенностей деятельности. Дональд Супер рассмотрел профессиональное развитие как процесс, изменяющийся в течение жизни, выделяя стадии роста, исследования, закрепления, поддержания и спада. Эдвард Деци и Ричард Райан изучали влияние мотивации, утверждая, что профессиональный выбор наиболее успешен, когда основан на внутренних интересах и ценностях. Фредерик Херцберг разделил факторы профессиональной направленности на гигиенические (условия труда, зарплата) и мотивационные (признание, саморазвитие). Джордж Келли связал профессиональный выбор с когнитивным осмыслением человеком своих перспектив. </w:t>
      </w:r>
    </w:p>
    <w:p w:rsidR="00261AF5" w:rsidRPr="00382DF1" w:rsidRDefault="00261AF5" w:rsidP="00976688">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 xml:space="preserve">Советские исследователи изучали профессиональную направленность в контексте деятельности, социальной среды и формирования личности. </w:t>
      </w:r>
      <w:r w:rsidRPr="00382DF1">
        <w:rPr>
          <w:rFonts w:ascii="Times New Roman" w:eastAsia="Times New Roman" w:hAnsi="Times New Roman" w:cs="Times New Roman"/>
          <w:sz w:val="28"/>
          <w:szCs w:val="28"/>
          <w:lang w:eastAsia="ru-RU"/>
        </w:rPr>
        <w:t xml:space="preserve">Лев Выготский и его последователи исследовали влияние возрастных особенностей и социальной среды на формирование профессиональных интересов. А. Н. Леонтьев и С. Л. Рубинштейн акцентировали внимание на мотивационной структуре деятельности, подчеркивая, что профессиональная направленность развивается через осознание смыслов и целей. К. К. Платонов рассматривал её как характеристику личности, формируемую в процессе социальных взаимодействий. В. А. Крутецкий анализировал связь профессиональной мотивации с образовательной средой, подчёркивая значимость </w:t>
      </w:r>
      <w:r w:rsidRPr="00382DF1">
        <w:rPr>
          <w:rFonts w:ascii="Times New Roman" w:eastAsia="Times New Roman" w:hAnsi="Times New Roman" w:cs="Times New Roman"/>
          <w:sz w:val="28"/>
          <w:szCs w:val="28"/>
          <w:lang w:eastAsia="ru-RU"/>
        </w:rPr>
        <w:lastRenderedPageBreak/>
        <w:t>профессиональных проб и проектной деятельности для самоопределения учащихся.</w:t>
      </w:r>
    </w:p>
    <w:p w:rsidR="00261AF5" w:rsidRDefault="00261AF5" w:rsidP="00976688">
      <w:pPr>
        <w:spacing w:after="0" w:line="240" w:lineRule="auto"/>
        <w:ind w:firstLine="709"/>
        <w:jc w:val="both"/>
        <w:rPr>
          <w:rFonts w:ascii="Times New Roman" w:hAnsi="Times New Roman" w:cs="Times New Roman"/>
          <w:sz w:val="28"/>
          <w:szCs w:val="28"/>
        </w:rPr>
      </w:pPr>
      <w:r w:rsidRPr="00382DF1">
        <w:rPr>
          <w:rFonts w:ascii="Times New Roman" w:hAnsi="Times New Roman" w:cs="Times New Roman"/>
          <w:sz w:val="28"/>
          <w:szCs w:val="28"/>
        </w:rPr>
        <w:t>В приведенной таблице 1 представлен анализ содержания понятия профессиональная направленность и связанные с ним основные идеи и труды.</w:t>
      </w:r>
    </w:p>
    <w:p w:rsidR="00802B18" w:rsidRDefault="00802B18" w:rsidP="00261AF5">
      <w:pPr>
        <w:spacing w:after="0" w:line="240" w:lineRule="auto"/>
        <w:ind w:firstLine="851"/>
        <w:jc w:val="both"/>
        <w:rPr>
          <w:rFonts w:ascii="Times New Roman" w:hAnsi="Times New Roman" w:cs="Times New Roman"/>
          <w:sz w:val="28"/>
          <w:szCs w:val="28"/>
        </w:rPr>
      </w:pPr>
    </w:p>
    <w:p w:rsidR="00261AF5" w:rsidRDefault="00802B18" w:rsidP="00802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 – Интерпретация понятия «</w:t>
      </w:r>
      <w:r w:rsidRPr="00382DF1">
        <w:rPr>
          <w:rFonts w:ascii="Times New Roman" w:hAnsi="Times New Roman" w:cs="Times New Roman"/>
          <w:sz w:val="28"/>
          <w:szCs w:val="28"/>
        </w:rPr>
        <w:t>профессиональная направленность</w:t>
      </w:r>
      <w:r>
        <w:t>»</w:t>
      </w:r>
      <w:r w:rsidRPr="00802B18">
        <w:rPr>
          <w:rFonts w:ascii="Times New Roman" w:hAnsi="Times New Roman" w:cs="Times New Roman"/>
          <w:sz w:val="28"/>
          <w:szCs w:val="28"/>
        </w:rPr>
        <w:t xml:space="preserve"> различными авторами</w:t>
      </w:r>
      <w:r>
        <w:rPr>
          <w:rFonts w:ascii="Times New Roman" w:hAnsi="Times New Roman" w:cs="Times New Roman"/>
          <w:sz w:val="28"/>
          <w:szCs w:val="28"/>
        </w:rPr>
        <w:t>.</w:t>
      </w:r>
    </w:p>
    <w:p w:rsidR="00616F64" w:rsidRPr="00382DF1" w:rsidRDefault="00616F64" w:rsidP="00802B18">
      <w:pPr>
        <w:spacing w:after="0" w:line="240" w:lineRule="auto"/>
        <w:jc w:val="both"/>
        <w:rPr>
          <w:rFonts w:ascii="Times New Roman" w:hAnsi="Times New Roman" w:cs="Times New Roman"/>
          <w:sz w:val="28"/>
          <w:szCs w:val="28"/>
        </w:rPr>
      </w:pPr>
    </w:p>
    <w:tbl>
      <w:tblPr>
        <w:tblStyle w:val="a3"/>
        <w:tblW w:w="9634" w:type="dxa"/>
        <w:tblLayout w:type="fixed"/>
        <w:tblLook w:val="04A0" w:firstRow="1" w:lastRow="0" w:firstColumn="1" w:lastColumn="0" w:noHBand="0" w:noVBand="1"/>
      </w:tblPr>
      <w:tblGrid>
        <w:gridCol w:w="421"/>
        <w:gridCol w:w="1984"/>
        <w:gridCol w:w="4820"/>
        <w:gridCol w:w="2403"/>
        <w:gridCol w:w="6"/>
      </w:tblGrid>
      <w:tr w:rsidR="00261AF5" w:rsidRPr="00382DF1" w:rsidTr="00DF7AF5">
        <w:tc>
          <w:tcPr>
            <w:tcW w:w="421" w:type="dxa"/>
          </w:tcPr>
          <w:p w:rsidR="00261AF5" w:rsidRPr="00382DF1" w:rsidRDefault="00261AF5" w:rsidP="00382DF1">
            <w:pPr>
              <w:jc w:val="both"/>
              <w:rPr>
                <w:rFonts w:ascii="Times New Roman" w:hAnsi="Times New Roman" w:cs="Times New Roman"/>
                <w:sz w:val="28"/>
                <w:szCs w:val="28"/>
                <w:lang w:val="kk-KZ"/>
              </w:rPr>
            </w:pPr>
            <w:r w:rsidRPr="00382DF1">
              <w:rPr>
                <w:rFonts w:ascii="Times New Roman" w:hAnsi="Times New Roman" w:cs="Times New Roman"/>
                <w:sz w:val="28"/>
                <w:szCs w:val="28"/>
              </w:rPr>
              <w:t>№</w:t>
            </w:r>
          </w:p>
        </w:tc>
        <w:tc>
          <w:tcPr>
            <w:tcW w:w="1984" w:type="dxa"/>
          </w:tcPr>
          <w:p w:rsidR="00261AF5" w:rsidRPr="00382DF1" w:rsidRDefault="00261AF5" w:rsidP="00382DF1">
            <w:pPr>
              <w:jc w:val="both"/>
              <w:rPr>
                <w:rFonts w:ascii="Times New Roman" w:hAnsi="Times New Roman" w:cs="Times New Roman"/>
                <w:sz w:val="28"/>
                <w:szCs w:val="28"/>
                <w:lang w:val="kk-KZ"/>
              </w:rPr>
            </w:pPr>
            <w:r w:rsidRPr="00382DF1">
              <w:rPr>
                <w:rFonts w:ascii="Times New Roman" w:hAnsi="Times New Roman" w:cs="Times New Roman"/>
                <w:sz w:val="28"/>
                <w:szCs w:val="28"/>
                <w:lang w:val="kk-KZ"/>
              </w:rPr>
              <w:t>Исследователь</w:t>
            </w:r>
          </w:p>
        </w:tc>
        <w:tc>
          <w:tcPr>
            <w:tcW w:w="4820"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Основная идея</w:t>
            </w:r>
          </w:p>
        </w:tc>
        <w:tc>
          <w:tcPr>
            <w:tcW w:w="2409" w:type="dxa"/>
            <w:gridSpan w:val="2"/>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Ключевые работы</w:t>
            </w:r>
          </w:p>
        </w:tc>
      </w:tr>
      <w:tr w:rsidR="00261AF5" w:rsidRPr="00382DF1" w:rsidTr="00DF7AF5">
        <w:tc>
          <w:tcPr>
            <w:tcW w:w="421" w:type="dxa"/>
          </w:tcPr>
          <w:p w:rsidR="00261AF5" w:rsidRPr="00382DF1" w:rsidRDefault="00261AF5" w:rsidP="00382DF1">
            <w:pPr>
              <w:jc w:val="both"/>
              <w:rPr>
                <w:rFonts w:ascii="Times New Roman" w:hAnsi="Times New Roman" w:cs="Times New Roman"/>
                <w:sz w:val="28"/>
                <w:szCs w:val="28"/>
                <w:lang w:val="kk-KZ"/>
              </w:rPr>
            </w:pPr>
            <w:r w:rsidRPr="00382DF1">
              <w:rPr>
                <w:rFonts w:ascii="Times New Roman" w:hAnsi="Times New Roman" w:cs="Times New Roman"/>
                <w:sz w:val="28"/>
                <w:szCs w:val="28"/>
                <w:lang w:val="kk-KZ"/>
              </w:rPr>
              <w:t>1</w:t>
            </w:r>
          </w:p>
        </w:tc>
        <w:tc>
          <w:tcPr>
            <w:tcW w:w="1984"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Джон Голланд</w:t>
            </w:r>
          </w:p>
        </w:tc>
        <w:tc>
          <w:tcPr>
            <w:tcW w:w="4820" w:type="dxa"/>
          </w:tcPr>
          <w:p w:rsidR="00261AF5" w:rsidRPr="00382DF1" w:rsidRDefault="00261AF5" w:rsidP="00382DF1">
            <w:pPr>
              <w:jc w:val="both"/>
              <w:rPr>
                <w:rFonts w:ascii="Times New Roman" w:hAnsi="Times New Roman" w:cs="Times New Roman"/>
                <w:sz w:val="28"/>
                <w:szCs w:val="28"/>
              </w:rPr>
            </w:pPr>
            <w:r w:rsidRPr="00382DF1">
              <w:rPr>
                <w:rStyle w:val="hljs-string"/>
                <w:rFonts w:ascii="Times New Roman" w:hAnsi="Times New Roman" w:cs="Times New Roman"/>
                <w:sz w:val="28"/>
                <w:szCs w:val="28"/>
              </w:rPr>
              <w:t>Соответствие личности и профессиональной среды; 6 типов личности (реалистический, исследовательский, артистический, социальный, предприимчивый, конвенциональный) [2]</w:t>
            </w:r>
          </w:p>
        </w:tc>
        <w:tc>
          <w:tcPr>
            <w:tcW w:w="2409" w:type="dxa"/>
            <w:gridSpan w:val="2"/>
          </w:tcPr>
          <w:p w:rsidR="00261AF5" w:rsidRPr="00382DF1" w:rsidRDefault="00261AF5" w:rsidP="00382DF1">
            <w:pPr>
              <w:jc w:val="both"/>
              <w:rPr>
                <w:rFonts w:ascii="Times New Roman" w:hAnsi="Times New Roman" w:cs="Times New Roman"/>
                <w:sz w:val="28"/>
                <w:szCs w:val="28"/>
                <w:lang w:val="en-US"/>
              </w:rPr>
            </w:pPr>
            <w:r w:rsidRPr="00382DF1">
              <w:rPr>
                <w:rFonts w:ascii="Times New Roman" w:hAnsi="Times New Roman" w:cs="Times New Roman"/>
                <w:sz w:val="28"/>
                <w:szCs w:val="28"/>
              </w:rPr>
              <w:t xml:space="preserve">Теория типов личности </w:t>
            </w:r>
          </w:p>
        </w:tc>
      </w:tr>
      <w:tr w:rsidR="00261AF5" w:rsidRPr="00382DF1" w:rsidTr="00DF7AF5">
        <w:tc>
          <w:tcPr>
            <w:tcW w:w="421"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2</w:t>
            </w:r>
          </w:p>
        </w:tc>
        <w:tc>
          <w:tcPr>
            <w:tcW w:w="1984"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Дональд Супер</w:t>
            </w:r>
          </w:p>
        </w:tc>
        <w:tc>
          <w:tcPr>
            <w:tcW w:w="4820" w:type="dxa"/>
          </w:tcPr>
          <w:p w:rsidR="00261AF5" w:rsidRPr="00382DF1" w:rsidRDefault="00261AF5" w:rsidP="00382DF1">
            <w:pPr>
              <w:jc w:val="both"/>
              <w:rPr>
                <w:rFonts w:ascii="Times New Roman" w:hAnsi="Times New Roman" w:cs="Times New Roman"/>
                <w:sz w:val="28"/>
                <w:szCs w:val="28"/>
              </w:rPr>
            </w:pPr>
            <w:r w:rsidRPr="00382DF1">
              <w:rPr>
                <w:rStyle w:val="hljs-string"/>
                <w:rFonts w:ascii="Times New Roman" w:hAnsi="Times New Roman" w:cs="Times New Roman"/>
                <w:sz w:val="28"/>
                <w:szCs w:val="28"/>
              </w:rPr>
              <w:t>Профессиональное развитие через жизненные стадии (рост, исследование, закрепление, поддержание, спад) [3]</w:t>
            </w:r>
          </w:p>
        </w:tc>
        <w:tc>
          <w:tcPr>
            <w:tcW w:w="2409" w:type="dxa"/>
            <w:gridSpan w:val="2"/>
          </w:tcPr>
          <w:p w:rsidR="00261AF5" w:rsidRPr="00382DF1" w:rsidRDefault="00261AF5" w:rsidP="00382DF1">
            <w:pPr>
              <w:jc w:val="both"/>
              <w:rPr>
                <w:rFonts w:ascii="Times New Roman" w:hAnsi="Times New Roman" w:cs="Times New Roman"/>
                <w:sz w:val="28"/>
                <w:szCs w:val="28"/>
                <w:lang w:val="en-US"/>
              </w:rPr>
            </w:pPr>
            <w:r w:rsidRPr="00382DF1">
              <w:rPr>
                <w:rFonts w:ascii="Times New Roman" w:hAnsi="Times New Roman" w:cs="Times New Roman"/>
                <w:sz w:val="28"/>
                <w:szCs w:val="28"/>
              </w:rPr>
              <w:t>Психология профессионального развития</w:t>
            </w:r>
            <w:r w:rsidRPr="00382DF1">
              <w:rPr>
                <w:rFonts w:ascii="Times New Roman" w:hAnsi="Times New Roman" w:cs="Times New Roman"/>
                <w:sz w:val="28"/>
                <w:szCs w:val="28"/>
                <w:lang w:val="en-US"/>
              </w:rPr>
              <w:t xml:space="preserve"> </w:t>
            </w:r>
          </w:p>
        </w:tc>
      </w:tr>
      <w:tr w:rsidR="00261AF5" w:rsidRPr="00CA4F98" w:rsidTr="00DF7AF5">
        <w:tc>
          <w:tcPr>
            <w:tcW w:w="421"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3</w:t>
            </w:r>
          </w:p>
        </w:tc>
        <w:tc>
          <w:tcPr>
            <w:tcW w:w="1984"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Эдвард Деци, Ричард Райан</w:t>
            </w:r>
          </w:p>
        </w:tc>
        <w:tc>
          <w:tcPr>
            <w:tcW w:w="4820" w:type="dxa"/>
          </w:tcPr>
          <w:p w:rsidR="00261AF5" w:rsidRPr="00382DF1" w:rsidRDefault="00261AF5" w:rsidP="00382DF1">
            <w:pPr>
              <w:jc w:val="both"/>
              <w:rPr>
                <w:rFonts w:ascii="Times New Roman" w:hAnsi="Times New Roman" w:cs="Times New Roman"/>
                <w:sz w:val="28"/>
                <w:szCs w:val="28"/>
              </w:rPr>
            </w:pPr>
            <w:r w:rsidRPr="00382DF1">
              <w:rPr>
                <w:rStyle w:val="hljs-string"/>
                <w:rFonts w:ascii="Times New Roman" w:hAnsi="Times New Roman" w:cs="Times New Roman"/>
                <w:sz w:val="28"/>
                <w:szCs w:val="28"/>
              </w:rPr>
              <w:t>Влияние внутренней и внешней мотивации на профессиональный выбор; акцент на личных ценностях [4]</w:t>
            </w:r>
          </w:p>
        </w:tc>
        <w:tc>
          <w:tcPr>
            <w:tcW w:w="2409" w:type="dxa"/>
            <w:gridSpan w:val="2"/>
          </w:tcPr>
          <w:p w:rsidR="00261AF5" w:rsidRPr="00382DF1" w:rsidRDefault="00261AF5" w:rsidP="00382DF1">
            <w:pPr>
              <w:jc w:val="both"/>
              <w:rPr>
                <w:rFonts w:ascii="Times New Roman" w:hAnsi="Times New Roman" w:cs="Times New Roman"/>
                <w:sz w:val="28"/>
                <w:szCs w:val="28"/>
                <w:lang w:val="en-US"/>
              </w:rPr>
            </w:pPr>
            <w:r w:rsidRPr="00382DF1">
              <w:rPr>
                <w:rFonts w:ascii="Times New Roman" w:hAnsi="Times New Roman" w:cs="Times New Roman"/>
                <w:sz w:val="28"/>
                <w:szCs w:val="28"/>
                <w:lang w:val="en-US"/>
              </w:rPr>
              <w:t>Intrinsic Motivation and Self-Determination in Human Behavior</w:t>
            </w:r>
          </w:p>
        </w:tc>
      </w:tr>
      <w:tr w:rsidR="00261AF5" w:rsidRPr="00382DF1" w:rsidTr="00DF7AF5">
        <w:tc>
          <w:tcPr>
            <w:tcW w:w="421"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4</w:t>
            </w:r>
          </w:p>
        </w:tc>
        <w:tc>
          <w:tcPr>
            <w:tcW w:w="1984"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Фредерик Херцберг</w:t>
            </w:r>
          </w:p>
        </w:tc>
        <w:tc>
          <w:tcPr>
            <w:tcW w:w="4820" w:type="dxa"/>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Гигиенические и мотивационные факторы как ключ к профессиональной удовлетворенности [5]</w:t>
            </w:r>
          </w:p>
        </w:tc>
        <w:tc>
          <w:tcPr>
            <w:tcW w:w="2409" w:type="dxa"/>
            <w:gridSpan w:val="2"/>
          </w:tcPr>
          <w:p w:rsidR="00261AF5" w:rsidRPr="00382DF1" w:rsidRDefault="00261AF5" w:rsidP="00382DF1">
            <w:pPr>
              <w:jc w:val="both"/>
              <w:rPr>
                <w:rFonts w:ascii="Times New Roman" w:hAnsi="Times New Roman" w:cs="Times New Roman"/>
                <w:sz w:val="28"/>
                <w:szCs w:val="28"/>
              </w:rPr>
            </w:pPr>
            <w:r w:rsidRPr="00382DF1">
              <w:rPr>
                <w:rFonts w:ascii="Times New Roman" w:hAnsi="Times New Roman" w:cs="Times New Roman"/>
                <w:sz w:val="28"/>
                <w:szCs w:val="28"/>
              </w:rPr>
              <w:t>Теория мотивации (гигиенические и мотивационные факторы)</w:t>
            </w:r>
          </w:p>
        </w:tc>
      </w:tr>
      <w:tr w:rsidR="00B61B49" w:rsidTr="00DF7AF5">
        <w:trPr>
          <w:gridAfter w:val="1"/>
          <w:wAfter w:w="6" w:type="dxa"/>
        </w:trPr>
        <w:tc>
          <w:tcPr>
            <w:tcW w:w="421"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5</w:t>
            </w:r>
          </w:p>
        </w:tc>
        <w:tc>
          <w:tcPr>
            <w:tcW w:w="1984"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Джордж Келли</w:t>
            </w:r>
          </w:p>
        </w:tc>
        <w:tc>
          <w:tcPr>
            <w:tcW w:w="4820" w:type="dxa"/>
          </w:tcPr>
          <w:p w:rsidR="00B61B49" w:rsidRPr="00382DF1" w:rsidRDefault="00B61B49" w:rsidP="00B61B49">
            <w:pPr>
              <w:jc w:val="both"/>
              <w:rPr>
                <w:rFonts w:ascii="Times New Roman" w:hAnsi="Times New Roman" w:cs="Times New Roman"/>
                <w:sz w:val="28"/>
                <w:szCs w:val="28"/>
              </w:rPr>
            </w:pPr>
            <w:r w:rsidRPr="00382DF1">
              <w:rPr>
                <w:rStyle w:val="hljs-string"/>
                <w:rFonts w:ascii="Times New Roman" w:hAnsi="Times New Roman" w:cs="Times New Roman"/>
                <w:sz w:val="28"/>
                <w:szCs w:val="28"/>
              </w:rPr>
              <w:t>Профессиональный выбор через когнитивное осмысление возможностей и прогнозирование [6]</w:t>
            </w:r>
          </w:p>
        </w:tc>
        <w:tc>
          <w:tcPr>
            <w:tcW w:w="2403"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Теория личностных конструктов</w:t>
            </w:r>
          </w:p>
        </w:tc>
      </w:tr>
      <w:tr w:rsidR="00B61B49" w:rsidTr="00DF7AF5">
        <w:trPr>
          <w:gridAfter w:val="1"/>
          <w:wAfter w:w="6" w:type="dxa"/>
        </w:trPr>
        <w:tc>
          <w:tcPr>
            <w:tcW w:w="421"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6</w:t>
            </w:r>
          </w:p>
        </w:tc>
        <w:tc>
          <w:tcPr>
            <w:tcW w:w="1984"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Л. С. Выготский</w:t>
            </w:r>
          </w:p>
        </w:tc>
        <w:tc>
          <w:tcPr>
            <w:tcW w:w="4820" w:type="dxa"/>
          </w:tcPr>
          <w:p w:rsidR="00B61B49" w:rsidRPr="00382DF1" w:rsidRDefault="00B61B49" w:rsidP="00B61B49">
            <w:pPr>
              <w:jc w:val="both"/>
              <w:rPr>
                <w:rFonts w:ascii="Times New Roman" w:hAnsi="Times New Roman" w:cs="Times New Roman"/>
                <w:sz w:val="28"/>
                <w:szCs w:val="28"/>
              </w:rPr>
            </w:pPr>
            <w:r w:rsidRPr="00382DF1">
              <w:rPr>
                <w:rStyle w:val="hljs-string"/>
                <w:rFonts w:ascii="Times New Roman" w:hAnsi="Times New Roman" w:cs="Times New Roman"/>
                <w:sz w:val="28"/>
                <w:szCs w:val="28"/>
              </w:rPr>
              <w:t>Связь профессиональной направленности с возрастными особенностями и социальной средой [7]</w:t>
            </w:r>
          </w:p>
        </w:tc>
        <w:tc>
          <w:tcPr>
            <w:tcW w:w="2403"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Педология подростка, Мышление и речь</w:t>
            </w:r>
          </w:p>
        </w:tc>
      </w:tr>
      <w:tr w:rsidR="00B61B49" w:rsidTr="00DF7AF5">
        <w:trPr>
          <w:gridAfter w:val="1"/>
          <w:wAfter w:w="6" w:type="dxa"/>
        </w:trPr>
        <w:tc>
          <w:tcPr>
            <w:tcW w:w="421"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7</w:t>
            </w:r>
          </w:p>
        </w:tc>
        <w:tc>
          <w:tcPr>
            <w:tcW w:w="1984" w:type="dxa"/>
          </w:tcPr>
          <w:p w:rsidR="00B61B49" w:rsidRDefault="00B61B49" w:rsidP="00B61B49">
            <w:pPr>
              <w:jc w:val="both"/>
              <w:rPr>
                <w:rFonts w:ascii="Times New Roman" w:hAnsi="Times New Roman" w:cs="Times New Roman"/>
                <w:sz w:val="28"/>
                <w:szCs w:val="28"/>
              </w:rPr>
            </w:pPr>
            <w:r>
              <w:rPr>
                <w:rFonts w:ascii="Times New Roman" w:hAnsi="Times New Roman" w:cs="Times New Roman"/>
                <w:sz w:val="28"/>
                <w:szCs w:val="28"/>
              </w:rPr>
              <w:t xml:space="preserve">А. Н. Леонтьев, </w:t>
            </w:r>
          </w:p>
          <w:p w:rsidR="00B61B49" w:rsidRPr="00382DF1" w:rsidRDefault="00B61B49" w:rsidP="00B61B49">
            <w:pPr>
              <w:jc w:val="both"/>
              <w:rPr>
                <w:rFonts w:ascii="Times New Roman" w:hAnsi="Times New Roman" w:cs="Times New Roman"/>
                <w:sz w:val="28"/>
                <w:szCs w:val="28"/>
              </w:rPr>
            </w:pPr>
            <w:r>
              <w:rPr>
                <w:rFonts w:ascii="Times New Roman" w:hAnsi="Times New Roman" w:cs="Times New Roman"/>
                <w:sz w:val="28"/>
                <w:szCs w:val="28"/>
              </w:rPr>
              <w:t xml:space="preserve">С. Л. </w:t>
            </w:r>
            <w:r w:rsidRPr="00382DF1">
              <w:rPr>
                <w:rFonts w:ascii="Times New Roman" w:hAnsi="Times New Roman" w:cs="Times New Roman"/>
                <w:sz w:val="28"/>
                <w:szCs w:val="28"/>
              </w:rPr>
              <w:t>Рубинштейн</w:t>
            </w:r>
          </w:p>
        </w:tc>
        <w:tc>
          <w:tcPr>
            <w:tcW w:w="4820" w:type="dxa"/>
          </w:tcPr>
          <w:p w:rsidR="00B61B49" w:rsidRPr="00382DF1" w:rsidRDefault="00B61B49" w:rsidP="00B61B49">
            <w:pPr>
              <w:jc w:val="both"/>
              <w:rPr>
                <w:rFonts w:ascii="Times New Roman" w:hAnsi="Times New Roman" w:cs="Times New Roman"/>
                <w:sz w:val="28"/>
                <w:szCs w:val="28"/>
              </w:rPr>
            </w:pPr>
            <w:r w:rsidRPr="00382DF1">
              <w:rPr>
                <w:rStyle w:val="hljs-string"/>
                <w:rFonts w:ascii="Times New Roman" w:hAnsi="Times New Roman" w:cs="Times New Roman"/>
                <w:sz w:val="28"/>
                <w:szCs w:val="28"/>
              </w:rPr>
              <w:t>Мотивация и деятельность как основа профессиональной направленности [8,9]</w:t>
            </w:r>
          </w:p>
        </w:tc>
        <w:tc>
          <w:tcPr>
            <w:tcW w:w="2403"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Деятельность. Сознание. Личность</w:t>
            </w:r>
          </w:p>
        </w:tc>
      </w:tr>
      <w:tr w:rsidR="00B61B49" w:rsidTr="00DF7AF5">
        <w:trPr>
          <w:gridAfter w:val="1"/>
          <w:wAfter w:w="6" w:type="dxa"/>
        </w:trPr>
        <w:tc>
          <w:tcPr>
            <w:tcW w:w="421"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8</w:t>
            </w:r>
          </w:p>
        </w:tc>
        <w:tc>
          <w:tcPr>
            <w:tcW w:w="1984"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К. К. Платонов</w:t>
            </w:r>
          </w:p>
        </w:tc>
        <w:tc>
          <w:tcPr>
            <w:tcW w:w="4820" w:type="dxa"/>
          </w:tcPr>
          <w:p w:rsidR="00B61B49" w:rsidRPr="00382DF1" w:rsidRDefault="00B61B49" w:rsidP="00B61B49">
            <w:pPr>
              <w:jc w:val="both"/>
              <w:rPr>
                <w:rFonts w:ascii="Times New Roman" w:hAnsi="Times New Roman" w:cs="Times New Roman"/>
                <w:sz w:val="28"/>
                <w:szCs w:val="28"/>
              </w:rPr>
            </w:pPr>
            <w:r w:rsidRPr="00382DF1">
              <w:rPr>
                <w:rStyle w:val="hljs-string"/>
                <w:rFonts w:ascii="Times New Roman" w:hAnsi="Times New Roman" w:cs="Times New Roman"/>
                <w:sz w:val="28"/>
                <w:szCs w:val="28"/>
              </w:rPr>
              <w:t>Профессиональная направленность как характеристика личности, связанная с ценностями и социальными взаимодействиями [10]</w:t>
            </w:r>
          </w:p>
        </w:tc>
        <w:tc>
          <w:tcPr>
            <w:tcW w:w="2403" w:type="dxa"/>
          </w:tcPr>
          <w:p w:rsidR="00B61B49" w:rsidRPr="00382DF1" w:rsidRDefault="00B61B49" w:rsidP="00B61B49">
            <w:pPr>
              <w:jc w:val="both"/>
              <w:rPr>
                <w:rFonts w:ascii="Times New Roman" w:hAnsi="Times New Roman" w:cs="Times New Roman"/>
                <w:sz w:val="28"/>
                <w:szCs w:val="28"/>
              </w:rPr>
            </w:pPr>
            <w:r w:rsidRPr="00382DF1">
              <w:rPr>
                <w:rFonts w:ascii="Times New Roman" w:hAnsi="Times New Roman" w:cs="Times New Roman"/>
                <w:sz w:val="28"/>
                <w:szCs w:val="28"/>
              </w:rPr>
              <w:t>Структура и развитие личности</w:t>
            </w:r>
          </w:p>
        </w:tc>
      </w:tr>
    </w:tbl>
    <w:p w:rsidR="00B61B49" w:rsidRDefault="00B61B49" w:rsidP="00261AF5">
      <w:pPr>
        <w:spacing w:after="0" w:line="240" w:lineRule="auto"/>
        <w:ind w:firstLine="851"/>
        <w:jc w:val="both"/>
        <w:rPr>
          <w:rFonts w:ascii="Times New Roman" w:hAnsi="Times New Roman" w:cs="Times New Roman"/>
          <w:sz w:val="28"/>
          <w:szCs w:val="28"/>
        </w:rPr>
      </w:pPr>
    </w:p>
    <w:p w:rsidR="00DF7AF5" w:rsidRDefault="00DF7AF5" w:rsidP="00261AF5">
      <w:pPr>
        <w:spacing w:after="0" w:line="240" w:lineRule="auto"/>
        <w:ind w:firstLine="851"/>
        <w:jc w:val="both"/>
        <w:rPr>
          <w:rFonts w:ascii="Times New Roman" w:hAnsi="Times New Roman" w:cs="Times New Roman"/>
          <w:sz w:val="28"/>
          <w:szCs w:val="28"/>
        </w:rPr>
      </w:pPr>
    </w:p>
    <w:p w:rsidR="00DF7AF5" w:rsidRDefault="00DF7AF5" w:rsidP="00DF7A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Продолжение таблицы 1</w:t>
      </w:r>
    </w:p>
    <w:p w:rsidR="00616F64" w:rsidRDefault="00616F64" w:rsidP="00DF7AF5">
      <w:pPr>
        <w:spacing w:after="0" w:line="240" w:lineRule="auto"/>
        <w:ind w:firstLine="851"/>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21"/>
        <w:gridCol w:w="1984"/>
        <w:gridCol w:w="4836"/>
        <w:gridCol w:w="2387"/>
      </w:tblGrid>
      <w:tr w:rsidR="00DF7AF5" w:rsidTr="00DF7AF5">
        <w:tc>
          <w:tcPr>
            <w:tcW w:w="421" w:type="dxa"/>
          </w:tcPr>
          <w:p w:rsidR="00DF7AF5" w:rsidRPr="00382DF1" w:rsidRDefault="00DF7AF5" w:rsidP="00DF7AF5">
            <w:pPr>
              <w:jc w:val="both"/>
              <w:rPr>
                <w:rFonts w:ascii="Times New Roman" w:hAnsi="Times New Roman" w:cs="Times New Roman"/>
                <w:sz w:val="28"/>
                <w:szCs w:val="28"/>
              </w:rPr>
            </w:pPr>
            <w:r w:rsidRPr="00382DF1">
              <w:rPr>
                <w:rFonts w:ascii="Times New Roman" w:hAnsi="Times New Roman" w:cs="Times New Roman"/>
                <w:sz w:val="28"/>
                <w:szCs w:val="28"/>
              </w:rPr>
              <w:t>9</w:t>
            </w:r>
          </w:p>
        </w:tc>
        <w:tc>
          <w:tcPr>
            <w:tcW w:w="1984" w:type="dxa"/>
          </w:tcPr>
          <w:p w:rsidR="00DF7AF5" w:rsidRPr="00382DF1" w:rsidRDefault="00DF7AF5" w:rsidP="00DF7AF5">
            <w:pPr>
              <w:jc w:val="both"/>
              <w:rPr>
                <w:rFonts w:ascii="Times New Roman" w:hAnsi="Times New Roman" w:cs="Times New Roman"/>
                <w:sz w:val="28"/>
                <w:szCs w:val="28"/>
              </w:rPr>
            </w:pPr>
            <w:r w:rsidRPr="00382DF1">
              <w:rPr>
                <w:rFonts w:ascii="Times New Roman" w:hAnsi="Times New Roman" w:cs="Times New Roman"/>
                <w:sz w:val="28"/>
                <w:szCs w:val="28"/>
              </w:rPr>
              <w:t>В. А. Крутецкий</w:t>
            </w:r>
          </w:p>
        </w:tc>
        <w:tc>
          <w:tcPr>
            <w:tcW w:w="4836" w:type="dxa"/>
          </w:tcPr>
          <w:p w:rsidR="00DF7AF5" w:rsidRPr="00382DF1" w:rsidRDefault="00DF7AF5" w:rsidP="00DF7AF5">
            <w:pPr>
              <w:jc w:val="both"/>
              <w:rPr>
                <w:rFonts w:ascii="Times New Roman" w:hAnsi="Times New Roman" w:cs="Times New Roman"/>
                <w:sz w:val="28"/>
                <w:szCs w:val="28"/>
              </w:rPr>
            </w:pPr>
            <w:r w:rsidRPr="00382DF1">
              <w:rPr>
                <w:rFonts w:ascii="Times New Roman" w:hAnsi="Times New Roman" w:cs="Times New Roman"/>
                <w:sz w:val="28"/>
                <w:szCs w:val="28"/>
              </w:rPr>
              <w:t>Значимость профессиональных проб и проектной деятельности в школьном возрасте [11]</w:t>
            </w:r>
          </w:p>
        </w:tc>
        <w:tc>
          <w:tcPr>
            <w:tcW w:w="2387" w:type="dxa"/>
          </w:tcPr>
          <w:p w:rsidR="00DF7AF5" w:rsidRPr="00382DF1" w:rsidRDefault="00DF7AF5" w:rsidP="00DF7AF5">
            <w:pPr>
              <w:jc w:val="both"/>
              <w:rPr>
                <w:rFonts w:ascii="Times New Roman" w:hAnsi="Times New Roman" w:cs="Times New Roman"/>
                <w:sz w:val="28"/>
                <w:szCs w:val="28"/>
              </w:rPr>
            </w:pPr>
            <w:r w:rsidRPr="00382DF1">
              <w:rPr>
                <w:rFonts w:ascii="Times New Roman" w:hAnsi="Times New Roman" w:cs="Times New Roman"/>
                <w:sz w:val="28"/>
                <w:szCs w:val="28"/>
              </w:rPr>
              <w:t>Психология обучения и воспитания школьников</w:t>
            </w:r>
          </w:p>
        </w:tc>
      </w:tr>
    </w:tbl>
    <w:p w:rsidR="00DF7AF5" w:rsidRPr="00382DF1" w:rsidRDefault="00DF7AF5" w:rsidP="00261AF5">
      <w:pPr>
        <w:spacing w:after="0" w:line="240" w:lineRule="auto"/>
        <w:ind w:firstLine="851"/>
        <w:jc w:val="both"/>
        <w:rPr>
          <w:rFonts w:ascii="Times New Roman" w:hAnsi="Times New Roman" w:cs="Times New Roman"/>
          <w:sz w:val="28"/>
          <w:szCs w:val="28"/>
        </w:rPr>
      </w:pPr>
    </w:p>
    <w:p w:rsidR="00261AF5" w:rsidRPr="00382DF1" w:rsidRDefault="00261AF5" w:rsidP="00261AF5">
      <w:pPr>
        <w:spacing w:after="0" w:line="240" w:lineRule="auto"/>
        <w:ind w:firstLine="851"/>
        <w:jc w:val="both"/>
        <w:rPr>
          <w:rFonts w:ascii="Times New Roman" w:eastAsia="Times New Roman" w:hAnsi="Times New Roman" w:cs="Times New Roman"/>
          <w:b/>
          <w:bCs/>
          <w:sz w:val="28"/>
          <w:szCs w:val="28"/>
          <w:lang w:eastAsia="ru-RU"/>
        </w:rPr>
      </w:pPr>
      <w:r w:rsidRPr="00382DF1">
        <w:rPr>
          <w:rFonts w:ascii="Times New Roman" w:hAnsi="Times New Roman" w:cs="Times New Roman"/>
          <w:sz w:val="28"/>
          <w:szCs w:val="28"/>
        </w:rPr>
        <w:t>Таким образом, труды зарубежных учёных демонстрируют многоаспектность профессиональной направленности, подчёркивая её связь с мотивацией, когнитивным развитием, личностными особенностями и социальным контекстом. Эти исследования формируют научную базу для разработки методов диагностики и формирования профессиональной направленности, а также программ профориентации и карьерного консультирования.</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Современные исследования уделяют значительное внимание тому, как профессиональная направленность развивается в зависимости от возраста. В школьный период основные факторы формирования профессиональной направленности связаны с влиянием семьи, школы и окружения.</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 Подростковый возраст характеризуется активным поиском интересов, экспериментированием с разными ролями, а юношеский – углублённым анализом своих способностей и возможностей. Взрослые люди также могут испытывать изменение профессиональной направленности в связи с изменением условий жизни, работы или потребностей. </w:t>
      </w:r>
      <w:r w:rsidRPr="00382DF1">
        <w:rPr>
          <w:rFonts w:ascii="Times New Roman" w:hAnsi="Times New Roman" w:cs="Times New Roman"/>
          <w:sz w:val="28"/>
          <w:szCs w:val="28"/>
        </w:rPr>
        <w:t>Исследования, посвящённые возрастным особенностям формирования профессиональной направленности, подчёркивают необходимость учёта специфики каждого этапа. Так, в работе «Возрастные особенности профессиональной направленности школьников на разных этапах онтогенеза» [12] рассматриваются теоретико-методологические проблемы профессиональной направленности школьников и представлены результаты эмпирического исследования особенностей профессиональной направленности на разных возрастных этапах. Данные исследования позволяют оптимизировать профориентационную работу в школах и повысить её эффективность.</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Исследования показывают, что профессиональная направленность формируется под воздействием внутренних (индивидуально-психологических) и внешних (социально-экономических) факторов. Внутренние факторы включают личные интересы, ценности, способности, тип темперамента и уровень развития самосознания. Внешние факторы связаны с влиянием семьи, школьного обучения, образовательной политики, рынка труда и культурных традиций. </w:t>
      </w:r>
      <w:r w:rsidRPr="00382DF1">
        <w:rPr>
          <w:rFonts w:ascii="Times New Roman" w:hAnsi="Times New Roman" w:cs="Times New Roman"/>
          <w:sz w:val="28"/>
          <w:szCs w:val="28"/>
        </w:rPr>
        <w:t xml:space="preserve">Исследованием факторов, влияющих на профессиональную направленность, занимались многие учёные. В статье «Факторы профессионального самоопределения личности в современных условиях» [13] подчёркивается, что выбор профессии следует рассматривать как одно из важнейших жизненных событий, на которое влияют как субъективные </w:t>
      </w:r>
      <w:r w:rsidRPr="00382DF1">
        <w:rPr>
          <w:rFonts w:ascii="Times New Roman" w:hAnsi="Times New Roman" w:cs="Times New Roman"/>
          <w:sz w:val="28"/>
          <w:szCs w:val="28"/>
        </w:rPr>
        <w:lastRenderedPageBreak/>
        <w:t>(интересы, способности, особенности темперамента и характера), так и объективные факторы (уровень подготовки, состояние здоровья, информированность о мире профессий). Автор отмечает, что «современный профессионал должен видеть свою профессию во всей совокупности её широких социальных связей, знать предъявляемые к ней и её представителям требования, понимать содержание и специфику своей профессиональной деятельности».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Особое внимание уделяется изучению мотивации как ключевого компонента профессиональной направленности. Исследования показывают, что внутренне мотивированные индивиды более успешно реализуются в выбранной профессиональной области. Влияние внешней мотивации (материальные вознаграждения, социальный престиж) рассматривается как поддерживающий фактор, который усиливает стремление человека к профессиональному успеху. Исследования подтверждают взаимосвязь между профессиональной направленностью и мотивацией. В работе «Профессиональная направленность: сущность и структура» [14] авторы подчёркивают, что направленность личности включает потребности, интересы и идеалы, определяющие активность в профессиональной сфере. Они отмечают, что направленность личности выражается в многообразных тенденциях, служащих источником разносторонней деятельности, в процессе которой мотивы изменяются и обогащаются новым содержанием. В исследовании «Взаимосвязь учебной мотивации и профессиональной направленности врача на этапе обучения в вузе» [15] рассматривается влияние учебной мотивации на формирование профессиональной направленности у студентов-медиков. Авторы приходят к выводу, что высокая учебная мотивация способствует развитию профессиональной направленности, что, в свою очередь, влияет на успешность профессионального становления будущих врачей. </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С развитием технологий исследователи изучают влияние цифровой среды на профессиональную направленность молодёжи. Интерактивные профориентационные тесты, онлайн-курсы и виртуальные стажировки предоставляют новые возможности для самопознания и изучения профессий. Образовательные программы, включающие профессиональные пробы, проектную деятельность и встречи с профессионалами, способствуют формированию осознанной направленности. В статье «Роль образовательной среды в формировании общепрофессиональных компетенций будущих учителей» [16] подчёркивается, что образовательная среда вуза оказывает существенное влияние на формирование общепрофессиональных компетенций будущих педагогов. Развитие образовательной среды, её преобразование и насыщение электронными образовательными ресурсами являются приоритетными задачами для повышения личной активности обучающихся в собственном профессиональном развитии и саморазвитии. В статье «Роль современных информационных технологий в формировании инновационной образовательной среды вуза» [17] отмечается, что инновационная образовательная среда должна базироваться на научно обоснованном использовании информационных технологий, быть открытой и обеспечивать </w:t>
      </w:r>
      <w:r w:rsidRPr="00382DF1">
        <w:rPr>
          <w:rFonts w:ascii="Times New Roman" w:eastAsia="Times New Roman" w:hAnsi="Times New Roman" w:cs="Times New Roman"/>
          <w:sz w:val="28"/>
          <w:szCs w:val="28"/>
          <w:lang w:eastAsia="ru-RU"/>
        </w:rPr>
        <w:lastRenderedPageBreak/>
        <w:t>эффективное управление знаниями. В работе «Технологизация образовательного процесса при реализации компетентностного подхода» [18] подчёркивается, что технологизация обучения исследует и открывает закономерности и принципы, оптимальные способы и средства эффективного достижения образовательных целей на основе технологического подхода к процессу обучения и развития обучающихся.</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Исследования профессиональной направленности уделяют внимание гендерным и социальным аспектам. Традиционные гендерные стереотипы могут влиять на выбор профессии, особенно в культурах с ярко выраженными ролями для мужчин и женщин. Социальное происхождение, доступность образования и экономические условия также играют ключевую роль в формировании профессиональной направленности.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Гендерные различия</w:t>
      </w:r>
      <w:r w:rsidRPr="00382DF1">
        <w:rPr>
          <w:rFonts w:ascii="Times New Roman" w:eastAsia="Times New Roman" w:hAnsi="Times New Roman" w:cs="Times New Roman"/>
          <w:sz w:val="28"/>
          <w:szCs w:val="28"/>
          <w:lang w:eastAsia="ru-RU"/>
        </w:rPr>
        <w:t xml:space="preserve"> проявляются в том, что мужчины и женщины часто выбирают профессии, соответствующие традиционным гендерным ролям. Это связано с социальными стереотипами и ожиданиями, которые формируются с раннего возраста. В статье «Особенности гендерного аспекта в профессиональной карьере» [19] отмечается, что женщины, испытывая вину перед семьёй, на подсознательном уровне отказываются от профессиональной карьеры, не стремясь достичь большего успеха по сравнению с мужчинами. Однако страх успеха возможен и у мужчин, когда род их деятельности не соответствует их гендерной роли. Мужчины даже больше боятся успеха, чем их коллеги женского пола. </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Социальные различия</w:t>
      </w:r>
      <w:r w:rsidRPr="00382DF1">
        <w:rPr>
          <w:rFonts w:ascii="Times New Roman" w:eastAsia="Times New Roman" w:hAnsi="Times New Roman" w:cs="Times New Roman"/>
          <w:sz w:val="28"/>
          <w:szCs w:val="28"/>
          <w:lang w:eastAsia="ru-RU"/>
        </w:rPr>
        <w:t xml:space="preserve"> включают влияние социально-экономического статуса, культурных норм и уровня образования на профессиональный выбор. Люди из разных социальных слоёв могут иметь различные возможности доступа к образованию и информации о профессиях, что влияет на их профессиональную направленность. В исследовании «Особенности социального самочувствия и профессиональной идентичности у студентов разных направлений профессиональной подготовки» [20] рассматриваются характеристики, особенности и тенденции социального самочувствия и профессиональной идентичности, проведён сравнительный анализ социального самочувствия и профессиональной идентичности у студентов-лингвистов и студентов-архитекторов, выявлены взаимосвязи социального самочувствия по отношению к статусам профессиональной идентичности. </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Методы диагностики профессиональной направленности включают тесты интересов, опросники мотивации, интервью и наблюдения. На их основе разрабатываются рекомендации по развитию профессиональных интересов, поддержанию мотивации и улучшению навыков. Коррекционные программы включают тренинги, профориентационные консультации и специальные образовательные модули. Диагностика и коррекция профессиональной направленности являются ключевыми аспектами в процессе профессионального самоопределения личности. Эти процессы направлены на выявление и развитие профессиональных интересов, склонностей и мотивов, что способствует осознанному выбору профессии и успешной профессиональной деятельности.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lastRenderedPageBreak/>
        <w:t>Диагностика профессиональной направленности</w:t>
      </w:r>
      <w:r w:rsidRPr="00382DF1">
        <w:rPr>
          <w:rFonts w:ascii="Times New Roman" w:eastAsia="Times New Roman" w:hAnsi="Times New Roman" w:cs="Times New Roman"/>
          <w:sz w:val="28"/>
          <w:szCs w:val="28"/>
          <w:lang w:eastAsia="ru-RU"/>
        </w:rPr>
        <w:t xml:space="preserve"> включает использование различных методик и инструментов для оценки профессиональных предпочтений и мотивов личности. Среди наиболее распространённых методов диагностики можно выделить:</w:t>
      </w:r>
    </w:p>
    <w:p w:rsidR="00261AF5" w:rsidRPr="00382DF1" w:rsidRDefault="00261AF5" w:rsidP="00C53B4C">
      <w:pPr>
        <w:numPr>
          <w:ilvl w:val="0"/>
          <w:numId w:val="6"/>
        </w:numPr>
        <w:tabs>
          <w:tab w:val="clear" w:pos="720"/>
          <w:tab w:val="left" w:pos="284"/>
          <w:tab w:val="num" w:pos="851"/>
        </w:tabs>
        <w:spacing w:after="0" w:line="240" w:lineRule="auto"/>
        <w:ind w:left="0" w:hanging="1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Опросники и анкеты</w:t>
      </w:r>
      <w:r w:rsidRPr="00382DF1">
        <w:rPr>
          <w:rFonts w:ascii="Times New Roman" w:eastAsia="Times New Roman" w:hAnsi="Times New Roman" w:cs="Times New Roman"/>
          <w:sz w:val="28"/>
          <w:szCs w:val="28"/>
          <w:lang w:eastAsia="ru-RU"/>
        </w:rPr>
        <w:t xml:space="preserve">. Например, методика «Определение направленности личности» (ориентационная анкета Б. Басса) позволяет выявить общую направленность личности и определить её профессиональные предпочтения. </w:t>
      </w:r>
    </w:p>
    <w:p w:rsidR="00261AF5" w:rsidRPr="00382DF1" w:rsidRDefault="00261AF5" w:rsidP="00C53B4C">
      <w:pPr>
        <w:numPr>
          <w:ilvl w:val="0"/>
          <w:numId w:val="6"/>
        </w:numPr>
        <w:tabs>
          <w:tab w:val="clear" w:pos="720"/>
          <w:tab w:val="left" w:pos="284"/>
          <w:tab w:val="num" w:pos="851"/>
        </w:tabs>
        <w:spacing w:after="0" w:line="240" w:lineRule="auto"/>
        <w:ind w:left="0" w:hanging="1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Тесты профессиональных интересов</w:t>
      </w:r>
      <w:r w:rsidRPr="00382DF1">
        <w:rPr>
          <w:rFonts w:ascii="Times New Roman" w:eastAsia="Times New Roman" w:hAnsi="Times New Roman" w:cs="Times New Roman"/>
          <w:sz w:val="28"/>
          <w:szCs w:val="28"/>
          <w:lang w:eastAsia="ru-RU"/>
        </w:rPr>
        <w:t xml:space="preserve">. Опросник Е. А. Климова (Дифференциально-диагностический опросник) и методика Дж. Холланда «Тип личности» направлены на определение типов профессиональной направленности и соответствующих профессиональных сфер. </w:t>
      </w:r>
    </w:p>
    <w:p w:rsidR="00261AF5" w:rsidRPr="00382DF1" w:rsidRDefault="00261AF5" w:rsidP="00C53B4C">
      <w:pPr>
        <w:numPr>
          <w:ilvl w:val="0"/>
          <w:numId w:val="6"/>
        </w:numPr>
        <w:tabs>
          <w:tab w:val="clear" w:pos="720"/>
          <w:tab w:val="left" w:pos="284"/>
          <w:tab w:val="num" w:pos="851"/>
        </w:tabs>
        <w:spacing w:after="0" w:line="240" w:lineRule="auto"/>
        <w:ind w:left="0" w:hanging="1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Методики изучения профессиональных склонностей</w:t>
      </w:r>
      <w:r w:rsidRPr="00382DF1">
        <w:rPr>
          <w:rFonts w:ascii="Times New Roman" w:eastAsia="Times New Roman" w:hAnsi="Times New Roman" w:cs="Times New Roman"/>
          <w:sz w:val="28"/>
          <w:szCs w:val="28"/>
          <w:lang w:eastAsia="ru-RU"/>
        </w:rPr>
        <w:t xml:space="preserve">. Например, методика «Сфера профессиональных предпочтений учащихся» (опросник Йовайши) помогает определить профессиональные предпочтения и склонности личности. </w:t>
      </w:r>
    </w:p>
    <w:p w:rsidR="00261AF5" w:rsidRPr="00382DF1" w:rsidRDefault="00261AF5" w:rsidP="00261AF5">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Эти методы позволяют получить комплексное представление о профессиональной направленности личности, что является основой для дальнейшей коррекционной работы.</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Коррекция профессиональной направленности</w:t>
      </w:r>
      <w:r w:rsidRPr="00382DF1">
        <w:rPr>
          <w:rFonts w:ascii="Times New Roman" w:eastAsia="Times New Roman" w:hAnsi="Times New Roman" w:cs="Times New Roman"/>
          <w:sz w:val="28"/>
          <w:szCs w:val="28"/>
          <w:lang w:eastAsia="ru-RU"/>
        </w:rPr>
        <w:t xml:space="preserve"> направлена на развитие и формирование профессиональных интересов, мотивов и ценностных ориентаций, соответствующих личностным особенностям и требованиям выбранной профессии. Основными методами коррекции являются:</w:t>
      </w:r>
    </w:p>
    <w:p w:rsidR="00261AF5" w:rsidRPr="00382DF1" w:rsidRDefault="00261AF5" w:rsidP="00C53B4C">
      <w:pPr>
        <w:numPr>
          <w:ilvl w:val="0"/>
          <w:numId w:val="7"/>
        </w:numPr>
        <w:tabs>
          <w:tab w:val="clear" w:pos="720"/>
          <w:tab w:val="left" w:pos="284"/>
          <w:tab w:val="num" w:pos="993"/>
        </w:tabs>
        <w:spacing w:after="0" w:line="240" w:lineRule="auto"/>
        <w:ind w:left="0" w:hanging="1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Профессиональные тренинги</w:t>
      </w:r>
      <w:r w:rsidRPr="00382DF1">
        <w:rPr>
          <w:rFonts w:ascii="Times New Roman" w:eastAsia="Times New Roman" w:hAnsi="Times New Roman" w:cs="Times New Roman"/>
          <w:sz w:val="28"/>
          <w:szCs w:val="28"/>
          <w:lang w:eastAsia="ru-RU"/>
        </w:rPr>
        <w:t xml:space="preserve">. Они направлены на развитие необходимых профессиональных качеств и навыков, способствуя формированию профессиональной направленности. </w:t>
      </w:r>
    </w:p>
    <w:p w:rsidR="00261AF5" w:rsidRPr="00382DF1" w:rsidRDefault="00261AF5" w:rsidP="00C53B4C">
      <w:pPr>
        <w:numPr>
          <w:ilvl w:val="0"/>
          <w:numId w:val="7"/>
        </w:numPr>
        <w:tabs>
          <w:tab w:val="clear" w:pos="720"/>
          <w:tab w:val="left" w:pos="284"/>
          <w:tab w:val="num" w:pos="993"/>
        </w:tabs>
        <w:spacing w:after="0" w:line="240" w:lineRule="auto"/>
        <w:ind w:left="0" w:hanging="1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Консультирование и наставничество</w:t>
      </w:r>
      <w:r w:rsidRPr="00382DF1">
        <w:rPr>
          <w:rFonts w:ascii="Times New Roman" w:eastAsia="Times New Roman" w:hAnsi="Times New Roman" w:cs="Times New Roman"/>
          <w:sz w:val="28"/>
          <w:szCs w:val="28"/>
          <w:lang w:eastAsia="ru-RU"/>
        </w:rPr>
        <w:t>. Индивидуальные и групповые консультации помогают осознать свои профессиональные интересы и мотивы, а также скорректировать их в соответствии с личностными особенностями и профессиональными требованиями.</w:t>
      </w:r>
    </w:p>
    <w:p w:rsidR="00261AF5" w:rsidRPr="00382DF1" w:rsidRDefault="00261AF5" w:rsidP="00C53B4C">
      <w:pPr>
        <w:numPr>
          <w:ilvl w:val="0"/>
          <w:numId w:val="7"/>
        </w:numPr>
        <w:tabs>
          <w:tab w:val="clear" w:pos="720"/>
          <w:tab w:val="left" w:pos="284"/>
          <w:tab w:val="num" w:pos="993"/>
        </w:tabs>
        <w:spacing w:after="0" w:line="240" w:lineRule="auto"/>
        <w:ind w:left="0" w:hanging="1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Практическая деятельность</w:t>
      </w:r>
      <w:r w:rsidRPr="00382DF1">
        <w:rPr>
          <w:rFonts w:ascii="Times New Roman" w:eastAsia="Times New Roman" w:hAnsi="Times New Roman" w:cs="Times New Roman"/>
          <w:sz w:val="28"/>
          <w:szCs w:val="28"/>
          <w:lang w:eastAsia="ru-RU"/>
        </w:rPr>
        <w:t>. Участие в профессионально-ориентированных мероприятиях, стажировках и практиках способствует формированию устойчивой профессиональной направленности.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Исследованием диагностики и коррекции профессиональной направленности занимались многие учёные. В пособии Ю. А. Полещука «Профессиональная направленность личности: теория и практика» [21] представлены различные диагностические методики по изучению профессиональной направленности личности, включая определение общей направленности личности, изучение типов профессиональной направленности и профессиональных качеств, интересов и склонностей. </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диагностика и коррекция профессиональной направленности являются важными инструментами в процессе профессионального самоопределения, способствуя осознанному выбору профессии и успешной профессиональной реализации личности.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 xml:space="preserve">Все вышесказанное позволяет нам сформировать основу для построения схемы современных исследований в области профессиональной </w:t>
      </w:r>
      <w:r w:rsidRPr="00382DF1">
        <w:rPr>
          <w:rFonts w:ascii="Times New Roman" w:hAnsi="Times New Roman" w:cs="Times New Roman"/>
          <w:sz w:val="28"/>
          <w:szCs w:val="28"/>
        </w:rPr>
        <w:lastRenderedPageBreak/>
        <w:t>направленности, объединяя ключевые аспекты, влияющие на профессиональное развитие личности.</w:t>
      </w:r>
    </w:p>
    <w:p w:rsidR="00261AF5" w:rsidRPr="00382DF1" w:rsidRDefault="00864C9C" w:rsidP="00261AF5">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1</w:t>
      </w:r>
      <w:r w:rsidR="00261AF5" w:rsidRPr="00382DF1">
        <w:rPr>
          <w:rFonts w:ascii="Times New Roman" w:eastAsia="Times New Roman" w:hAnsi="Times New Roman" w:cs="Times New Roman"/>
          <w:sz w:val="28"/>
          <w:szCs w:val="28"/>
          <w:lang w:eastAsia="ru-RU"/>
        </w:rPr>
        <w:t xml:space="preserve"> представлена схема содержания </w:t>
      </w:r>
      <w:r w:rsidR="00261AF5" w:rsidRPr="00382DF1">
        <w:rPr>
          <w:rFonts w:ascii="Times New Roman" w:hAnsi="Times New Roman" w:cs="Times New Roman"/>
          <w:sz w:val="28"/>
          <w:szCs w:val="28"/>
        </w:rPr>
        <w:t>современных направлений исследований профессиональной направленности</w:t>
      </w:r>
      <w:r w:rsidR="00261AF5" w:rsidRPr="00382DF1">
        <w:rPr>
          <w:rFonts w:ascii="Times New Roman" w:eastAsia="Times New Roman" w:hAnsi="Times New Roman" w:cs="Times New Roman"/>
          <w:sz w:val="28"/>
          <w:szCs w:val="28"/>
          <w:lang w:eastAsia="ru-RU"/>
        </w:rPr>
        <w:t>.</w:t>
      </w:r>
    </w:p>
    <w:p w:rsidR="00261AF5" w:rsidRDefault="00984B9F" w:rsidP="00C53B4C">
      <w:pPr>
        <w:spacing w:after="0" w:line="240" w:lineRule="auto"/>
        <w:jc w:val="center"/>
        <w:rPr>
          <w:rFonts w:ascii="Times New Roman" w:eastAsia="Times New Roman" w:hAnsi="Times New Roman" w:cs="Times New Roman"/>
          <w:sz w:val="28"/>
          <w:szCs w:val="28"/>
          <w:lang w:eastAsia="ru-RU"/>
        </w:rPr>
      </w:pPr>
      <w:r w:rsidRPr="00984B9F">
        <w:rPr>
          <w:rFonts w:ascii="Times New Roman" w:eastAsia="Times New Roman" w:hAnsi="Times New Roman" w:cs="Times New Roman"/>
          <w:noProof/>
          <w:sz w:val="28"/>
          <w:szCs w:val="28"/>
          <w:lang w:eastAsia="ru-RU"/>
        </w:rPr>
        <w:drawing>
          <wp:inline distT="0" distB="0" distL="0" distR="0">
            <wp:extent cx="5990280" cy="7737764"/>
            <wp:effectExtent l="0" t="0" r="0" b="0"/>
            <wp:docPr id="33" name="Рисунок 33" descr="C:\Users\Huawei\OneDrive\Рабочий стол\Презентация109898775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awei\OneDrive\Рабочий стол\Презентация109898775к.jpg"/>
                    <pic:cNvPicPr>
                      <a:picLocks noChangeAspect="1" noChangeArrowheads="1"/>
                    </pic:cNvPicPr>
                  </pic:nvPicPr>
                  <pic:blipFill rotWithShape="1">
                    <a:blip r:embed="rId6">
                      <a:extLst>
                        <a:ext uri="{28A0092B-C50C-407E-A947-70E740481C1C}">
                          <a14:useLocalDpi xmlns:a14="http://schemas.microsoft.com/office/drawing/2010/main" val="0"/>
                        </a:ext>
                      </a:extLst>
                    </a:blip>
                    <a:srcRect b="5728"/>
                    <a:stretch/>
                  </pic:blipFill>
                  <pic:spPr bwMode="auto">
                    <a:xfrm>
                      <a:off x="0" y="0"/>
                      <a:ext cx="6011005" cy="7764535"/>
                    </a:xfrm>
                    <a:prstGeom prst="rect">
                      <a:avLst/>
                    </a:prstGeom>
                    <a:noFill/>
                    <a:ln>
                      <a:noFill/>
                    </a:ln>
                    <a:extLst>
                      <a:ext uri="{53640926-AAD7-44D8-BBD7-CCE9431645EC}">
                        <a14:shadowObscured xmlns:a14="http://schemas.microsoft.com/office/drawing/2010/main"/>
                      </a:ext>
                    </a:extLst>
                  </pic:spPr>
                </pic:pic>
              </a:graphicData>
            </a:graphic>
          </wp:inline>
        </w:drawing>
      </w:r>
    </w:p>
    <w:p w:rsidR="00DF7AF5" w:rsidRDefault="00DF7AF5" w:rsidP="00C53B4C">
      <w:pPr>
        <w:spacing w:after="0" w:line="240" w:lineRule="auto"/>
        <w:jc w:val="center"/>
        <w:rPr>
          <w:rFonts w:ascii="Times New Roman" w:eastAsia="Times New Roman" w:hAnsi="Times New Roman" w:cs="Times New Roman"/>
          <w:sz w:val="28"/>
          <w:szCs w:val="28"/>
          <w:lang w:eastAsia="ru-RU"/>
        </w:rPr>
      </w:pPr>
    </w:p>
    <w:p w:rsidR="00B61B49" w:rsidRPr="00382DF1" w:rsidRDefault="00B61B49" w:rsidP="00C53B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 </w:t>
      </w:r>
      <w:r w:rsidR="00395B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95B24">
        <w:rPr>
          <w:rFonts w:ascii="Times New Roman" w:eastAsia="Times New Roman" w:hAnsi="Times New Roman" w:cs="Times New Roman"/>
          <w:sz w:val="28"/>
          <w:szCs w:val="28"/>
          <w:lang w:eastAsia="ru-RU"/>
        </w:rPr>
        <w:t>С</w:t>
      </w:r>
      <w:r w:rsidR="00395B24" w:rsidRPr="00382DF1">
        <w:rPr>
          <w:rFonts w:ascii="Times New Roman" w:eastAsia="Times New Roman" w:hAnsi="Times New Roman" w:cs="Times New Roman"/>
          <w:sz w:val="28"/>
          <w:szCs w:val="28"/>
          <w:lang w:eastAsia="ru-RU"/>
        </w:rPr>
        <w:t>хема</w:t>
      </w:r>
      <w:r w:rsidR="00395B24">
        <w:rPr>
          <w:rFonts w:ascii="Times New Roman" w:eastAsia="Times New Roman" w:hAnsi="Times New Roman" w:cs="Times New Roman"/>
          <w:sz w:val="28"/>
          <w:szCs w:val="28"/>
          <w:lang w:eastAsia="ru-RU"/>
        </w:rPr>
        <w:t xml:space="preserve"> </w:t>
      </w:r>
      <w:r w:rsidR="00395B24" w:rsidRPr="00382DF1">
        <w:rPr>
          <w:rFonts w:ascii="Times New Roman" w:eastAsia="Times New Roman" w:hAnsi="Times New Roman" w:cs="Times New Roman"/>
          <w:sz w:val="28"/>
          <w:szCs w:val="28"/>
          <w:lang w:eastAsia="ru-RU"/>
        </w:rPr>
        <w:t xml:space="preserve">содержания </w:t>
      </w:r>
      <w:r w:rsidR="00395B24" w:rsidRPr="00382DF1">
        <w:rPr>
          <w:rFonts w:ascii="Times New Roman" w:hAnsi="Times New Roman" w:cs="Times New Roman"/>
          <w:sz w:val="28"/>
          <w:szCs w:val="28"/>
        </w:rPr>
        <w:t>современных направлений исследований профессиональной направленности</w:t>
      </w:r>
    </w:p>
    <w:p w:rsidR="00616F64" w:rsidRDefault="00616F64" w:rsidP="00261AF5">
      <w:pPr>
        <w:spacing w:after="0" w:line="240" w:lineRule="auto"/>
        <w:ind w:firstLine="851"/>
        <w:jc w:val="both"/>
        <w:rPr>
          <w:rFonts w:ascii="Times New Roman" w:eastAsia="Times New Roman" w:hAnsi="Times New Roman" w:cs="Times New Roman"/>
          <w:sz w:val="28"/>
          <w:szCs w:val="28"/>
          <w:lang w:eastAsia="ru-RU"/>
        </w:rPr>
      </w:pP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Казахстане исследования профессиональной направленности получили широкое развитие благодаря трудам учёных, которые сосредоточились на изучении различных аспектов этого феномена. Одним из ключевых исследователей стал С. Ж. Мадиев, который акцентировал внимание на психологических аспектах профессиональной направленности студентов. В своих работах он исследовал, как личностные качества, мотивация и внутренние установки влияют на выбор профессии. Мадиев подчёркивал, что осознанный подход к профессиональному самоопределению является основой успешной профессиональной деятельности и личностного роста.</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Г. К. Нургалиева внесла значительный вклад в изучение вопросов формирования профессиональной направленности у школьников. Её исследования сосредоточены на роли образовательной среды, семьи и социальной группы в развитии профессиональных интересов у детей и подростков. Нургалиева подчёркивала важность раннего выявления склонностей и интересов учащихся для успешного выбора ими будущей профессии. Она также занималась разработкой практических рекомендаций для учителей и родителей, которые могут способствовать формированию профессиональной направленности у молодёжи.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А. Б. Сулейменова сосредоточила свои исследования на изучении гендерных аспектов профессиональной направленности, рассматривая влияние культурных и социальных стереотипов на выбор профессии мужчинами и женщинами в Казахстане. В своих работах она отмечала, что традиционные гендерные роли в обществе часто ограничивают возможности выбора профессии, особенно для женщин. Её исследования стали основой для разработки программ, направленных на поддержку равных возможностей в профессиональном образовании и карьере.</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 Т. Тажибаева в своих трудах уделяла особое внимание влиянию этнокультурных особенностей на процесс формирования профессиональной направленности. Она подчёркивала, что национальные традиции, культурные ценности и историческое наследие играют важную роль в профессиональном самоопределении молодёжи Казахстана. Её работы были направлены на разработку рекомендаций для учёта этнокультурного контекста в программах профориентации.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Е. А. Абдрахманова занималась исследованием методов диагностики и коррекции профессиональной направленности у студентов высших учебных заведений. Она разрабатывала программы, направленные на развитие осознанного выбора профессии, повышение профессиональной мотивации и формирование готовности к профессиональной деятельности. Её исследования оказали значительное влияние на развитие практических подходов в области профориентации в Казахстане.</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Эти исследования способствовали формированию уникального подхода к изучению профессиональной направленности, который учитывает культурные, социальные и экономические особенности Казахстана. Труды казахстанских учёных имеют не только теоретическое значение, но и широкое </w:t>
      </w:r>
      <w:r w:rsidRPr="00382DF1">
        <w:rPr>
          <w:rFonts w:ascii="Times New Roman" w:eastAsia="Times New Roman" w:hAnsi="Times New Roman" w:cs="Times New Roman"/>
          <w:sz w:val="28"/>
          <w:szCs w:val="28"/>
          <w:lang w:eastAsia="ru-RU"/>
        </w:rPr>
        <w:lastRenderedPageBreak/>
        <w:t>практическое применение, помогая образовательным учреждениям, родителям и карьерным консультантам более эффективно сопровождать молодёжь на пути её профессионального самоопределения.</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В Казахстане исследование профессиональной направленности активно развивается благодаря вкладу ряда учёных, которые сосредоточились на различных аспектах этого феномена. Среди них можно отметить специалистов, занимающихся разработкой уникальных систем профориентации, направленных на помощь людям в осознанном выборе будущей профессии в зависимости от их психологических склонностей. </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Однако, несмотря на значительные достижения в этой области, подробная информация о конкретных учёных и их трудах в открытых источниках ограничена. Это подчёркивает необходимость дальнейших исследований и публикаций, чтобы более полно отразить вклад казахстанских специалистов в изучение и развитие профессиональной направленности.</w:t>
      </w:r>
    </w:p>
    <w:p w:rsidR="00261AF5" w:rsidRPr="002D6630" w:rsidRDefault="00261AF5" w:rsidP="00261AF5">
      <w:pPr>
        <w:pStyle w:val="a4"/>
        <w:spacing w:before="0" w:beforeAutospacing="0" w:after="0" w:afterAutospacing="0"/>
        <w:ind w:firstLine="851"/>
        <w:jc w:val="both"/>
        <w:rPr>
          <w:color w:val="FF0000"/>
          <w:sz w:val="28"/>
          <w:szCs w:val="28"/>
        </w:rPr>
      </w:pPr>
      <w:r w:rsidRPr="002D6630">
        <w:rPr>
          <w:color w:val="FF0000"/>
          <w:sz w:val="28"/>
          <w:szCs w:val="28"/>
        </w:rPr>
        <w:t>Говоря о профессиональной направленности нельзя не упомянуть о структуре. Структура профессиональной направленности представляет собой систему взаимосвязанных компонентов, которые отражают различные аспекты мотивации, когнитивной сферы и практического опыта личности, направленных на выбор, освоение и реализацию профессиональной деятельности. Профессиональная направленность как многогранное личностное образование включает следующие основные компоненты:</w:t>
      </w:r>
    </w:p>
    <w:p w:rsidR="00261AF5" w:rsidRPr="002D6630" w:rsidRDefault="00261AF5" w:rsidP="00261AF5">
      <w:pPr>
        <w:pStyle w:val="a4"/>
        <w:spacing w:before="0" w:beforeAutospacing="0" w:after="0" w:afterAutospacing="0"/>
        <w:ind w:firstLine="851"/>
        <w:jc w:val="both"/>
        <w:rPr>
          <w:color w:val="FF0000"/>
          <w:sz w:val="28"/>
          <w:szCs w:val="28"/>
        </w:rPr>
      </w:pPr>
    </w:p>
    <w:p w:rsidR="00261AF5" w:rsidRPr="002D6630" w:rsidRDefault="005F144C" w:rsidP="00DD48D0">
      <w:pPr>
        <w:pStyle w:val="a4"/>
        <w:spacing w:before="0" w:beforeAutospacing="0" w:after="0" w:afterAutospacing="0"/>
        <w:jc w:val="both"/>
        <w:rPr>
          <w:color w:val="FF0000"/>
          <w:sz w:val="28"/>
          <w:szCs w:val="28"/>
        </w:rPr>
      </w:pPr>
      <w:r w:rsidRPr="002D6630">
        <w:rPr>
          <w:noProof/>
          <w:color w:val="FF0000"/>
          <w:sz w:val="28"/>
          <w:szCs w:val="28"/>
        </w:rPr>
        <w:drawing>
          <wp:inline distT="0" distB="0" distL="0" distR="0" wp14:anchorId="0E09F807" wp14:editId="2F7CCC08">
            <wp:extent cx="6118877" cy="24591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65631" cy="2477973"/>
                    </a:xfrm>
                    <a:prstGeom prst="rect">
                      <a:avLst/>
                    </a:prstGeom>
                  </pic:spPr>
                </pic:pic>
              </a:graphicData>
            </a:graphic>
          </wp:inline>
        </w:drawing>
      </w:r>
    </w:p>
    <w:p w:rsidR="00F26042" w:rsidRPr="002D6630" w:rsidRDefault="00F26042" w:rsidP="00DD48D0">
      <w:pPr>
        <w:pStyle w:val="a4"/>
        <w:spacing w:before="0" w:beforeAutospacing="0" w:after="0" w:afterAutospacing="0"/>
        <w:jc w:val="both"/>
        <w:rPr>
          <w:color w:val="FF0000"/>
          <w:sz w:val="28"/>
          <w:szCs w:val="28"/>
        </w:rPr>
      </w:pPr>
    </w:p>
    <w:p w:rsidR="00F26042" w:rsidRPr="002D6630" w:rsidRDefault="00F26042" w:rsidP="00F26042">
      <w:pPr>
        <w:pStyle w:val="a4"/>
        <w:spacing w:before="0" w:beforeAutospacing="0" w:after="0" w:afterAutospacing="0"/>
        <w:jc w:val="center"/>
        <w:rPr>
          <w:color w:val="FF0000"/>
          <w:sz w:val="28"/>
          <w:szCs w:val="28"/>
        </w:rPr>
      </w:pPr>
      <w:r w:rsidRPr="002D6630">
        <w:rPr>
          <w:color w:val="FF0000"/>
          <w:sz w:val="28"/>
          <w:szCs w:val="28"/>
        </w:rPr>
        <w:t>Рисунок 2 – Структура профессиональной направленности</w:t>
      </w:r>
    </w:p>
    <w:p w:rsidR="00F26042" w:rsidRPr="002D6630" w:rsidRDefault="00F26042" w:rsidP="00DD48D0">
      <w:pPr>
        <w:pStyle w:val="a4"/>
        <w:spacing w:before="0" w:beforeAutospacing="0" w:after="0" w:afterAutospacing="0"/>
        <w:jc w:val="both"/>
        <w:rPr>
          <w:color w:val="FF0000"/>
          <w:sz w:val="28"/>
          <w:szCs w:val="28"/>
        </w:rPr>
      </w:pPr>
    </w:p>
    <w:p w:rsidR="00261AF5" w:rsidRPr="002D6630" w:rsidRDefault="00261AF5" w:rsidP="00261AF5">
      <w:pPr>
        <w:spacing w:after="0" w:line="240" w:lineRule="auto"/>
        <w:ind w:firstLine="851"/>
        <w:jc w:val="both"/>
        <w:rPr>
          <w:rFonts w:ascii="Times New Roman" w:eastAsia="Times New Roman" w:hAnsi="Times New Roman" w:cs="Times New Roman"/>
          <w:color w:val="FF0000"/>
          <w:sz w:val="28"/>
          <w:szCs w:val="28"/>
          <w:lang w:eastAsia="ru-RU"/>
        </w:rPr>
      </w:pPr>
      <w:r w:rsidRPr="002D6630">
        <w:rPr>
          <w:rFonts w:ascii="Times New Roman" w:eastAsia="Times New Roman" w:hAnsi="Times New Roman" w:cs="Times New Roman"/>
          <w:color w:val="FF0000"/>
          <w:sz w:val="28"/>
          <w:szCs w:val="28"/>
          <w:lang w:eastAsia="ru-RU"/>
        </w:rPr>
        <w:t>Мотивационно-ценностный компонент профессиональной направленности представляет собой совокупность мотивов, ценностей и установок, определяющих отношение личности к профессиональной деятельности и её выбору. Этот компонент отражает внутренние побуждения человека, его стремления, интересы и ценностные ориентации, связанные с профессиональной сферой. Он играет ключевую роль в формировании профессиональной идентичности и влияет на удовлетворённость трудом, эффективность деятельности и профессиональный рост. Мотивационно-</w:t>
      </w:r>
      <w:r w:rsidRPr="002D6630">
        <w:rPr>
          <w:rFonts w:ascii="Times New Roman" w:eastAsia="Times New Roman" w:hAnsi="Times New Roman" w:cs="Times New Roman"/>
          <w:color w:val="FF0000"/>
          <w:sz w:val="28"/>
          <w:szCs w:val="28"/>
          <w:lang w:eastAsia="ru-RU"/>
        </w:rPr>
        <w:lastRenderedPageBreak/>
        <w:t>ценностный компонент профессиональной направленности является ключевым элементом, определяющим выбор профессии, отношение к ней и успешность профессиональной деятельности. Его изучение позволяет глубже понять внутренние побуждения личности и разработать эффективные методы профессиональной ориентации и подготовки.</w:t>
      </w:r>
    </w:p>
    <w:p w:rsidR="00261AF5" w:rsidRPr="002D6630" w:rsidRDefault="00261AF5" w:rsidP="00261AF5">
      <w:pPr>
        <w:spacing w:after="0" w:line="240" w:lineRule="auto"/>
        <w:ind w:firstLine="851"/>
        <w:jc w:val="both"/>
        <w:rPr>
          <w:rFonts w:ascii="Times New Roman" w:eastAsia="Times New Roman" w:hAnsi="Times New Roman" w:cs="Times New Roman"/>
          <w:color w:val="FF0000"/>
          <w:sz w:val="28"/>
          <w:szCs w:val="28"/>
          <w:lang w:eastAsia="ru-RU"/>
        </w:rPr>
      </w:pPr>
      <w:r w:rsidRPr="002D6630">
        <w:rPr>
          <w:rFonts w:ascii="Times New Roman" w:eastAsia="Times New Roman" w:hAnsi="Times New Roman" w:cs="Times New Roman"/>
          <w:color w:val="FF0000"/>
          <w:sz w:val="28"/>
          <w:szCs w:val="28"/>
          <w:lang w:eastAsia="ru-RU"/>
        </w:rPr>
        <w:t>Когнитивный компонент профессиональной направленности представляет собой совокупность знаний, представлений и убеждений личности о выбранной профессии, её специфике, требованиях и перспективах развития. Этот компонент включает осознание собственных способностей и их соответствия профессиональным задачам, а также понимание роли и значимости профессии в обществе. Когнитивный компонент формируется через образовательный процесс, профессиональную подготовку и личный опыт, обеспечивая осознанный и информированный подход к выбору и осуществлению профессиональной деятельности. Когнитивный компонент профессиональной направленности является ключевым элементом, определяющим осознанность и информированность личности при выборе и осуществлении профессиональной деятельности. Его изучение позволяет глубже понять процессы профессионального самоопределения и разработать эффективные методы профессиональной ориентации и подготовки.</w:t>
      </w:r>
    </w:p>
    <w:p w:rsidR="00261AF5" w:rsidRPr="002D6630" w:rsidRDefault="00261AF5" w:rsidP="00261AF5">
      <w:pPr>
        <w:spacing w:after="0" w:line="240" w:lineRule="auto"/>
        <w:ind w:firstLine="851"/>
        <w:jc w:val="both"/>
        <w:rPr>
          <w:rFonts w:ascii="Times New Roman" w:eastAsia="Times New Roman" w:hAnsi="Times New Roman" w:cs="Times New Roman"/>
          <w:color w:val="FF0000"/>
          <w:sz w:val="28"/>
          <w:szCs w:val="28"/>
          <w:lang w:eastAsia="ru-RU"/>
        </w:rPr>
      </w:pPr>
      <w:r w:rsidRPr="002D6630">
        <w:rPr>
          <w:rFonts w:ascii="Times New Roman" w:eastAsia="Times New Roman" w:hAnsi="Times New Roman" w:cs="Times New Roman"/>
          <w:color w:val="FF0000"/>
          <w:sz w:val="28"/>
          <w:szCs w:val="28"/>
          <w:lang w:eastAsia="ru-RU"/>
        </w:rPr>
        <w:t>Эмоционально-волевой компонент профессиональной направленности представляет собой совокупность эмоциональных и волевых качеств личности, определяющих её отношение к профессиональной деятельности, способность преодолевать трудности и достигать поставленных целей. Этот компонент включает эмоциональную устойчивость, саморегуляцию, мотивацию, целеустремлённость, настойчивость и ответственность. Он обеспечивает способность личности к самоконтролю, самостоятельному выбору линии поведения и принятию ответственности за результаты своей деятельности. Эмоционально-волевой компонент профессиональной направленности является ключевым элементом, определяющим способность личности к эффективной и устойчивой профессиональной деятельности. Его изучение позволяет глубже понять механизмы профессионального поведения и разработать методы развития необходимых эмоционально-волевых качеств у специалистов.</w:t>
      </w:r>
    </w:p>
    <w:p w:rsidR="00261AF5" w:rsidRPr="002D6630" w:rsidRDefault="00261AF5" w:rsidP="00261AF5">
      <w:pPr>
        <w:spacing w:after="0" w:line="240" w:lineRule="auto"/>
        <w:ind w:firstLine="851"/>
        <w:jc w:val="both"/>
        <w:rPr>
          <w:rFonts w:ascii="Times New Roman" w:eastAsia="Times New Roman" w:hAnsi="Times New Roman" w:cs="Times New Roman"/>
          <w:color w:val="FF0000"/>
          <w:sz w:val="28"/>
          <w:szCs w:val="28"/>
          <w:lang w:eastAsia="ru-RU"/>
        </w:rPr>
      </w:pPr>
      <w:r w:rsidRPr="002D6630">
        <w:rPr>
          <w:rFonts w:ascii="Times New Roman" w:eastAsia="Times New Roman" w:hAnsi="Times New Roman" w:cs="Times New Roman"/>
          <w:color w:val="FF0000"/>
          <w:sz w:val="28"/>
          <w:szCs w:val="28"/>
          <w:lang w:eastAsia="ru-RU"/>
        </w:rPr>
        <w:t xml:space="preserve">Практический компонент профессиональной направленности представляет собой совокупность навыков, умений и опыта, которые формируются в процессе непосредственной деятельности и направлены на эффективное выполнение профессиональных задач. Этот компонент отражает способность личности применять теоретические знания на практике, адаптироваться к реальным условиям труда и совершенствовать свои профессиональные компетенции. Он включает в себя практическую подготовку, участие в профессиональных пробах, стажировках, проектной деятельности и других формах активного освоения профессии. Практический компонент профессиональной направленности является ключевым элементом, определяющим способность личности к эффективной профессиональной деятельности. Его изучение и развитие позволяют обеспечить готовность специалистов к выполнению профессиональных задач, повысить качество </w:t>
      </w:r>
      <w:r w:rsidRPr="002D6630">
        <w:rPr>
          <w:rFonts w:ascii="Times New Roman" w:eastAsia="Times New Roman" w:hAnsi="Times New Roman" w:cs="Times New Roman"/>
          <w:color w:val="FF0000"/>
          <w:sz w:val="28"/>
          <w:szCs w:val="28"/>
          <w:lang w:eastAsia="ru-RU"/>
        </w:rPr>
        <w:lastRenderedPageBreak/>
        <w:t>профессиональной подготовки и способствовать успешной профессиональной адаптации.</w:t>
      </w:r>
    </w:p>
    <w:p w:rsidR="00261AF5" w:rsidRPr="002D6630" w:rsidRDefault="00261AF5" w:rsidP="00261AF5">
      <w:pPr>
        <w:spacing w:after="0" w:line="240" w:lineRule="auto"/>
        <w:ind w:firstLine="851"/>
        <w:jc w:val="both"/>
        <w:rPr>
          <w:rFonts w:ascii="Times New Roman" w:eastAsia="Times New Roman" w:hAnsi="Times New Roman" w:cs="Times New Roman"/>
          <w:color w:val="FF0000"/>
          <w:sz w:val="28"/>
          <w:szCs w:val="28"/>
          <w:lang w:eastAsia="ru-RU"/>
        </w:rPr>
      </w:pPr>
      <w:r w:rsidRPr="002D6630">
        <w:rPr>
          <w:rFonts w:ascii="Times New Roman" w:eastAsia="Times New Roman" w:hAnsi="Times New Roman" w:cs="Times New Roman"/>
          <w:color w:val="FF0000"/>
          <w:sz w:val="28"/>
          <w:szCs w:val="28"/>
          <w:lang w:eastAsia="ru-RU"/>
        </w:rPr>
        <w:t>Интегративный компонент профессиональной направленности представляет собой синтез различных аспектов личности, таких как знания, умения, навыки, ценности и мотивация, объединённых в целостную систему, направленную на эффективное выполнение профессиональной деятельности. Этот компонент обеспечивает гармоничное взаимодействие всех составляющих профессиональной направленности, способствуя успешной адаптации и самореализации в выбранной профессии. Интегративный компонент профессиональной направленности является ключевым элементом, обеспечивающим целостность и гармоничность профессионального развития личности. Его изучение позволяет глубже понять механизмы формирования профессиональной компетентности и разработать эффективные методы подготовки специалистов, способных успешно адаптироваться к требованиям современной профессиональной среды.</w:t>
      </w:r>
    </w:p>
    <w:p w:rsidR="00261AF5" w:rsidRPr="002D6630" w:rsidRDefault="00261AF5" w:rsidP="00261AF5">
      <w:pPr>
        <w:pStyle w:val="a4"/>
        <w:spacing w:before="0" w:beforeAutospacing="0" w:after="0" w:afterAutospacing="0"/>
        <w:ind w:firstLine="851"/>
        <w:jc w:val="both"/>
        <w:rPr>
          <w:color w:val="FF0000"/>
          <w:sz w:val="28"/>
          <w:szCs w:val="28"/>
        </w:rPr>
      </w:pPr>
      <w:r w:rsidRPr="002D6630">
        <w:rPr>
          <w:color w:val="FF0000"/>
          <w:sz w:val="28"/>
          <w:szCs w:val="28"/>
        </w:rPr>
        <w:t xml:space="preserve">Компоненты профессиональной направленности взаимосвязаны и взаимозависимы. Например, мотивация (мотивационно-ценностный компонент) может усиливаться благодаря успешному освоению новых знаний (когнитивный компонент) или позитивному опыту практической деятельности (практический компонент). Эмоциональная стабильность и волевые качества способствуют эффективному преодолению сложностей на пути к профессиональной реализации. </w:t>
      </w:r>
      <w:r w:rsidR="002D6630">
        <w:rPr>
          <w:color w:val="FF0000"/>
          <w:sz w:val="28"/>
          <w:szCs w:val="28"/>
        </w:rPr>
        <w:t>(пересмотреть)</w:t>
      </w:r>
    </w:p>
    <w:p w:rsidR="00261AF5" w:rsidRPr="00382DF1" w:rsidRDefault="00261AF5" w:rsidP="00261AF5">
      <w:pPr>
        <w:pStyle w:val="a4"/>
        <w:spacing w:before="0" w:beforeAutospacing="0" w:after="0" w:afterAutospacing="0"/>
        <w:ind w:firstLine="851"/>
        <w:jc w:val="both"/>
        <w:rPr>
          <w:sz w:val="28"/>
          <w:szCs w:val="28"/>
        </w:rPr>
      </w:pPr>
      <w:r w:rsidRPr="00382DF1">
        <w:rPr>
          <w:sz w:val="28"/>
          <w:szCs w:val="28"/>
        </w:rPr>
        <w:t>Еще одной частью вопроса о профессиональной направленности являются критерии. Критерии профессиональной направленности представляют собой показатели, по которым можно оценить уровень сформированности профессиональной направленности личности. Эти критерии используются для диагностики, анализа и мониторинга развития профессиональных интересов, мотивов и готовности к профессиональной деятельности. Выделяют несколько ключевых критериев, отражающих различные аспекты профессиональной направленности:</w:t>
      </w:r>
    </w:p>
    <w:p w:rsidR="00261AF5" w:rsidRDefault="005F144C" w:rsidP="00261AF5">
      <w:pPr>
        <w:pStyle w:val="a4"/>
        <w:spacing w:before="0" w:beforeAutospacing="0" w:after="0" w:afterAutospacing="0"/>
        <w:jc w:val="both"/>
        <w:rPr>
          <w:sz w:val="28"/>
          <w:szCs w:val="28"/>
        </w:rPr>
      </w:pPr>
      <w:r w:rsidRPr="005F144C">
        <w:rPr>
          <w:noProof/>
          <w:sz w:val="28"/>
          <w:szCs w:val="28"/>
        </w:rPr>
        <w:drawing>
          <wp:inline distT="0" distB="0" distL="0" distR="0" wp14:anchorId="539F8FB0" wp14:editId="54705356">
            <wp:extent cx="6120130" cy="290252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3033" cy="2913390"/>
                    </a:xfrm>
                    <a:prstGeom prst="rect">
                      <a:avLst/>
                    </a:prstGeom>
                  </pic:spPr>
                </pic:pic>
              </a:graphicData>
            </a:graphic>
          </wp:inline>
        </w:drawing>
      </w:r>
    </w:p>
    <w:p w:rsidR="003B72F2" w:rsidRPr="00382DF1" w:rsidRDefault="003B72F2" w:rsidP="003B72F2">
      <w:pPr>
        <w:pStyle w:val="a4"/>
        <w:spacing w:before="0" w:beforeAutospacing="0" w:after="0" w:afterAutospacing="0"/>
        <w:jc w:val="center"/>
        <w:rPr>
          <w:sz w:val="28"/>
          <w:szCs w:val="28"/>
        </w:rPr>
      </w:pPr>
      <w:r>
        <w:rPr>
          <w:sz w:val="28"/>
          <w:szCs w:val="28"/>
        </w:rPr>
        <w:t>Рисунок 3 – Критерии профессиональной направленности</w:t>
      </w:r>
    </w:p>
    <w:p w:rsidR="003B72F2" w:rsidRDefault="003B72F2" w:rsidP="00261AF5">
      <w:pPr>
        <w:spacing w:after="0" w:line="240" w:lineRule="auto"/>
        <w:ind w:firstLine="851"/>
        <w:jc w:val="both"/>
        <w:rPr>
          <w:rFonts w:ascii="Times New Roman" w:eastAsia="Times New Roman" w:hAnsi="Times New Roman" w:cs="Times New Roman"/>
          <w:sz w:val="28"/>
          <w:szCs w:val="28"/>
          <w:lang w:eastAsia="ru-RU"/>
        </w:rPr>
      </w:pP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Мотивационные критерии профессиональной направленности отражают степень выраженности и устойчивости мотивов, побуждающих личность к выбору и осуществлению определённой профессиональной деятельности. Они включают в себя внутренние и внешние факторы, определяющие направленность активности человека в профессиональной сфере.</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Внутренние мотивы</w:t>
      </w:r>
      <w:r w:rsidRPr="00382DF1">
        <w:rPr>
          <w:rFonts w:ascii="Times New Roman" w:eastAsia="Times New Roman" w:hAnsi="Times New Roman" w:cs="Times New Roman"/>
          <w:sz w:val="28"/>
          <w:szCs w:val="28"/>
          <w:lang w:eastAsia="ru-RU"/>
        </w:rPr>
        <w:t xml:space="preserve"> связаны с личными интересами, стремлением к самореализации, удовлетворением от процесса и результатов труда. </w:t>
      </w:r>
      <w:r w:rsidRPr="00382DF1">
        <w:rPr>
          <w:rFonts w:ascii="Times New Roman" w:eastAsia="Times New Roman" w:hAnsi="Times New Roman" w:cs="Times New Roman"/>
          <w:b/>
          <w:bCs/>
          <w:sz w:val="28"/>
          <w:szCs w:val="28"/>
          <w:lang w:eastAsia="ru-RU"/>
        </w:rPr>
        <w:t>Внешние мотивы</w:t>
      </w:r>
      <w:r w:rsidRPr="00382DF1">
        <w:rPr>
          <w:rFonts w:ascii="Times New Roman" w:eastAsia="Times New Roman" w:hAnsi="Times New Roman" w:cs="Times New Roman"/>
          <w:sz w:val="28"/>
          <w:szCs w:val="28"/>
          <w:lang w:eastAsia="ru-RU"/>
        </w:rPr>
        <w:t xml:space="preserve"> включают социальные ожидания, материальные вознаграждения и другие внешние стимулы.</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Мотивационные критерии профессиональной направленности являются ключевыми показателями, определяющими выбор профессии и успешность профессиональной деятельности. Их изучение позволяет глубже понять внутренние и внешние факторы, влияющие на профессиональное самоопределение личности, и разработать эффективные методы профессиональной ориентации и подготовки.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Когнитивные критерии профессиональной направленности отражают уровень знаний, осведомлённости и понимания личности относительно выбранной профессии, её специфики, требований и перспектив развития. Они включают осознание собственных способностей и их соответствия профессиональным задачам, а также понимание роли и значимости профессии в обществе. Когнитивные критерии формируются через образовательный процесс, профессиональную подготовку и личный опыт, обеспечивая осознанный и информированный подход к выбору и осуществлению профессиональной деятельности. Когнитивные критерии профессиональной направленности являются ключевыми показателями, определяющими осознанность и информированность личности при выборе и осуществлении профессиональной деятельности. Их изучение позволяет глубже понять процессы профессионального самоопределения и разработать эффективные методы профессиональной ориентации и подготовки.</w:t>
      </w:r>
    </w:p>
    <w:p w:rsidR="00261AF5" w:rsidRPr="00382DF1" w:rsidRDefault="00261AF5" w:rsidP="00261AF5">
      <w:pPr>
        <w:pStyle w:val="a4"/>
        <w:spacing w:before="0" w:beforeAutospacing="0" w:after="0" w:afterAutospacing="0"/>
        <w:ind w:firstLine="851"/>
        <w:jc w:val="both"/>
        <w:rPr>
          <w:sz w:val="28"/>
          <w:szCs w:val="28"/>
        </w:rPr>
      </w:pPr>
      <w:r w:rsidRPr="00382DF1">
        <w:rPr>
          <w:sz w:val="28"/>
          <w:szCs w:val="28"/>
        </w:rPr>
        <w:t>Эмоционально-волевые критерии профессиональной направленности отражают способность личности управлять своими эмоциями и волевыми процессами в профессиональной деятельности. Они включают эмоциональную устойчивость, саморегуляцию, целеустремлённость, настойчивость и ответственность. Эти качества обеспечивают эффективное выполнение профессиональных обязанностей, преодоление трудностей и достижение поставленных целей. Эмоционально-волевые критерии профессиональной направленности являются ключевыми показателями, определяющими способность личности к эффективной профессиональной деятельности. Их изучение позволяет глубже понять механизмы профессионального поведения и разработать методы развития необходимых эмоционально-волевых качеств у специалистов.</w:t>
      </w:r>
    </w:p>
    <w:p w:rsidR="00261AF5" w:rsidRPr="00382DF1" w:rsidRDefault="00261AF5" w:rsidP="00261AF5">
      <w:pPr>
        <w:pStyle w:val="a4"/>
        <w:spacing w:before="0" w:beforeAutospacing="0" w:after="0" w:afterAutospacing="0"/>
        <w:ind w:firstLine="851"/>
        <w:jc w:val="both"/>
        <w:rPr>
          <w:sz w:val="28"/>
          <w:szCs w:val="28"/>
        </w:rPr>
      </w:pPr>
      <w:r w:rsidRPr="00382DF1">
        <w:rPr>
          <w:sz w:val="28"/>
          <w:szCs w:val="28"/>
        </w:rPr>
        <w:t xml:space="preserve">Практические критерии профессиональной направленности отражают степень готовности и способности личности эффективно выполнять профессиональные задачи, применяя приобретённые знания, умения и навыки в </w:t>
      </w:r>
      <w:r w:rsidRPr="00382DF1">
        <w:rPr>
          <w:sz w:val="28"/>
          <w:szCs w:val="28"/>
        </w:rPr>
        <w:lastRenderedPageBreak/>
        <w:t>реальных условиях труда. Они включают уровень сформированности профессиональных компетенций, практического опыта, а также способность к адаптации и самостоятельному решению профессиональных задач. Практические критерии профессиональной направленности являются ключевыми показателями готовности личности к профессиональной деятельности. Их изучение и развитие способствуют повышению качества профессиональной подготовки и успешной адаптации специалистов в профессиональной среде.</w:t>
      </w:r>
    </w:p>
    <w:p w:rsidR="00261AF5" w:rsidRPr="00382DF1" w:rsidRDefault="00261AF5" w:rsidP="00261AF5">
      <w:pPr>
        <w:pStyle w:val="a4"/>
        <w:spacing w:before="0" w:beforeAutospacing="0" w:after="0" w:afterAutospacing="0"/>
        <w:ind w:firstLine="851"/>
        <w:jc w:val="both"/>
        <w:rPr>
          <w:sz w:val="28"/>
          <w:szCs w:val="28"/>
        </w:rPr>
      </w:pPr>
      <w:r w:rsidRPr="00382DF1">
        <w:rPr>
          <w:sz w:val="28"/>
          <w:szCs w:val="28"/>
        </w:rPr>
        <w:t>Ценностные критерии профессиональной направленности отражают систему ценностей и ценностных ориентаций личности, определяющих её отношение к профессиональной деятельности, выбору профессии и способам её осуществления. Они включают осознание значимости профессиональной деятельности, её соответствие личным и общественным ценностям, а также степень внутренней мотивации, основанной на этих ценностях. Ценностные критерии профессиональной направленности являются ключевыми показателями, определяющими осознанность и глубину профессионального самоопределения личности. Их изучение позволяет понять, насколько выбранная профессия соответствует внутренним убеждениям и ценностям человека, что способствует более эффективной профессиональной деятельности и удовлетворённости ею.</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Деятельностные критерии профессиональной направленности отражают степень активности и вовлечённости личности в профессиональную деятельность, а также её способность эффективно реализовывать свои знания, умения и навыки на практике. Они включают в себя такие показатели, как инициативность, самостоятельность, продуктивность, ответственность и стремление к профессиональному развитию. Эти критерии позволяют оценить, насколько успешно человек способен применять свои компетенции в реальных профессиональных ситуациях и достигать поставленных целей. Деятельностные критерии профессиональной направленности являются ключевыми показателями, определяющими успешность и эффективность профессиональной деятельности личности. Их изучение позволяет глубже понять механизмы профессионального поведения и разработать методы развития необходимых качеств у специалистов для достижения высоких результатов в своей профессиональной сфере.</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Социальные критерии профессиональной направленности отражают степень осознания личностью социальной значимости своей профессиональной деятельности, её влияния на общество и соответствия социальным ожиданиям. Они включают понимание общественной роли профессии, стремление вносить вклад в социальное развитие, а также способность к взаимодействию и сотрудничеству в профессиональной среде. Социальные критерии профессиональной направленности являются важными показателями, определяющими осознанность и ответственность личности в профессиональной деятельности. Их изучение позволяет глубже понять, насколько выбранная профессия соответствует социальным ценностям и ожиданиям, что </w:t>
      </w:r>
      <w:r w:rsidRPr="00382DF1">
        <w:rPr>
          <w:rFonts w:ascii="Times New Roman" w:eastAsia="Times New Roman" w:hAnsi="Times New Roman" w:cs="Times New Roman"/>
          <w:sz w:val="28"/>
          <w:szCs w:val="28"/>
          <w:lang w:eastAsia="ru-RU"/>
        </w:rPr>
        <w:lastRenderedPageBreak/>
        <w:t>способствует более эффективной профессиональной реализации и удовлетворённости трудом.</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Критерии профессиональной направленности играют ключевую роль в понимании и оценке готовности личности к выбору и осуществлению профессиональной деятельности. Они позволяют определить, насколько индивидуальные особенности, мотивация, ценностные ориентации и способности человека соответствуют требованиям конкретной профессии.</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Значение критериев профессиональной направленности</w:t>
      </w:r>
      <w:r w:rsidRPr="00382DF1">
        <w:rPr>
          <w:rFonts w:ascii="Times New Roman" w:eastAsia="Times New Roman" w:hAnsi="Times New Roman" w:cs="Times New Roman"/>
          <w:sz w:val="28"/>
          <w:szCs w:val="28"/>
          <w:lang w:eastAsia="ru-RU"/>
        </w:rPr>
        <w:t xml:space="preserve"> заключается в следующем:</w:t>
      </w:r>
    </w:p>
    <w:p w:rsidR="00261AF5" w:rsidRPr="00382DF1" w:rsidRDefault="00261AF5" w:rsidP="00261AF5">
      <w:pPr>
        <w:numPr>
          <w:ilvl w:val="0"/>
          <w:numId w:val="5"/>
        </w:numPr>
        <w:tabs>
          <w:tab w:val="clear" w:pos="720"/>
          <w:tab w:val="left" w:pos="426"/>
          <w:tab w:val="num" w:pos="851"/>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Оценка соответствия личности профессии</w:t>
      </w:r>
      <w:r w:rsidRPr="00382DF1">
        <w:rPr>
          <w:rFonts w:ascii="Times New Roman" w:eastAsia="Times New Roman" w:hAnsi="Times New Roman" w:cs="Times New Roman"/>
          <w:sz w:val="28"/>
          <w:szCs w:val="28"/>
          <w:lang w:eastAsia="ru-RU"/>
        </w:rPr>
        <w:t>: Критерии помогают выявить, насколько личностные качества, интересы и способности индивида соответствуют специфике и требованиям выбранной профессиональной деятельности.</w:t>
      </w:r>
    </w:p>
    <w:p w:rsidR="00261AF5" w:rsidRPr="00382DF1" w:rsidRDefault="00261AF5" w:rsidP="00261AF5">
      <w:pPr>
        <w:numPr>
          <w:ilvl w:val="0"/>
          <w:numId w:val="5"/>
        </w:numPr>
        <w:tabs>
          <w:tab w:val="clear" w:pos="720"/>
          <w:tab w:val="left" w:pos="426"/>
          <w:tab w:val="num" w:pos="851"/>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Прогнозирование профессионального успеха</w:t>
      </w:r>
      <w:r w:rsidRPr="00382DF1">
        <w:rPr>
          <w:rFonts w:ascii="Times New Roman" w:eastAsia="Times New Roman" w:hAnsi="Times New Roman" w:cs="Times New Roman"/>
          <w:sz w:val="28"/>
          <w:szCs w:val="28"/>
          <w:lang w:eastAsia="ru-RU"/>
        </w:rPr>
        <w:t>: На основе критериев можно предсказать успешность профессиональной адаптации и эффективности деятельности, что способствует снижению риска профессиональных ошибок и повышению удовлетворённости трудом.</w:t>
      </w:r>
    </w:p>
    <w:p w:rsidR="00261AF5" w:rsidRPr="00382DF1" w:rsidRDefault="00261AF5" w:rsidP="00261AF5">
      <w:pPr>
        <w:numPr>
          <w:ilvl w:val="0"/>
          <w:numId w:val="5"/>
        </w:numPr>
        <w:tabs>
          <w:tab w:val="clear" w:pos="720"/>
          <w:tab w:val="left" w:pos="426"/>
          <w:tab w:val="num" w:pos="851"/>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Разработка программ профессионального обучения и развития</w:t>
      </w:r>
      <w:r w:rsidRPr="00382DF1">
        <w:rPr>
          <w:rFonts w:ascii="Times New Roman" w:eastAsia="Times New Roman" w:hAnsi="Times New Roman" w:cs="Times New Roman"/>
          <w:sz w:val="28"/>
          <w:szCs w:val="28"/>
          <w:lang w:eastAsia="ru-RU"/>
        </w:rPr>
        <w:t>: Понимание критериев позволяет создавать образовательные программы, направленные на формирование и развитие необходимых профессиональных качеств и компетенций.</w:t>
      </w:r>
    </w:p>
    <w:p w:rsidR="00261AF5" w:rsidRPr="00382DF1" w:rsidRDefault="00261AF5" w:rsidP="00261AF5">
      <w:pPr>
        <w:numPr>
          <w:ilvl w:val="0"/>
          <w:numId w:val="5"/>
        </w:numPr>
        <w:tabs>
          <w:tab w:val="clear" w:pos="720"/>
          <w:tab w:val="left" w:pos="426"/>
          <w:tab w:val="num" w:pos="851"/>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Содействие профессиональному самоопределению</w:t>
      </w:r>
      <w:r w:rsidRPr="00382DF1">
        <w:rPr>
          <w:rFonts w:ascii="Times New Roman" w:eastAsia="Times New Roman" w:hAnsi="Times New Roman" w:cs="Times New Roman"/>
          <w:sz w:val="28"/>
          <w:szCs w:val="28"/>
          <w:lang w:eastAsia="ru-RU"/>
        </w:rPr>
        <w:t>: Критерии служат ориентиром для личности в процессе выбора профессии, помогая осознать свои сильные и слабые стороны, а также определить направления для личностного и профессионального роста.</w:t>
      </w:r>
    </w:p>
    <w:p w:rsidR="00261AF5" w:rsidRPr="00382DF1" w:rsidRDefault="00261AF5" w:rsidP="00261AF5">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критерии профессиональной направленности являются фундаментальными показателями, определяющими готовность и способность личности к профессиональной деятельности. Их изучение и применение способствуют более осознанному выбору профессии, эффективной профессиональной подготовке и успешной реализации в выбранной сфере деятельности.</w:t>
      </w:r>
    </w:p>
    <w:p w:rsidR="00261AF5" w:rsidRPr="00382DF1" w:rsidRDefault="00261AF5" w:rsidP="00261AF5">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Из всего вышеперечисленного мы можем дать свое определение профессиональной направленности: профессиональная направленность – это устойчивая система мотивов, интересов, ценностных ориентаций, когнитивных представлений и волевых качеств личности, формирующая её стремление к определённой профессиональной деятельности. Она определяется сочетанием внутренних психологических факторов (мотивов, способностей, интересов, установок) и внешних социальных условий (образовательной среды, культурных традиций, рынка труда), влияющих на процесс профессионального самоопределения и реализацию личности в профессии.</w:t>
      </w:r>
    </w:p>
    <w:p w:rsidR="00261AF5" w:rsidRPr="00382DF1" w:rsidRDefault="00261AF5" w:rsidP="00261AF5">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 xml:space="preserve">Ознакомившись с исследованиями учёных, можно сделать вывод, что профессиональная направленность является сложным и многокомпонентным феноменом, формирующимся под влиянием как внутренних психологических факторов, так и внешних социальных условий. Она развивается на протяжении жизни, проходя различные этапы от осознания интересов в детстве до </w:t>
      </w:r>
      <w:r w:rsidRPr="00382DF1">
        <w:rPr>
          <w:rFonts w:ascii="Times New Roman" w:hAnsi="Times New Roman" w:cs="Times New Roman"/>
          <w:sz w:val="28"/>
          <w:szCs w:val="28"/>
        </w:rPr>
        <w:lastRenderedPageBreak/>
        <w:t>профессионального самоопределения и адаптации во взрослом возрасте. Исследования подтверждают, что успешная профессиональная деятельность во многом зависит от внутренней мотивации, осознанности выбора и соответствия индивидуальных качеств требованиям профессии. Современные методики профориентации, диагностики и образовательные технологии играют важную роль в развитии профессиональной направленности, способствуя осознанному выбору профессии и повышению эффективности профессионального становления.</w:t>
      </w:r>
    </w:p>
    <w:p w:rsidR="00261AF5" w:rsidRPr="00382DF1" w:rsidRDefault="00261AF5" w:rsidP="00D07862">
      <w:pPr>
        <w:spacing w:after="0" w:line="240" w:lineRule="auto"/>
        <w:ind w:firstLine="851"/>
        <w:jc w:val="both"/>
        <w:rPr>
          <w:rFonts w:ascii="Times New Roman" w:hAnsi="Times New Roman" w:cs="Times New Roman"/>
          <w:sz w:val="28"/>
          <w:szCs w:val="28"/>
        </w:rPr>
      </w:pPr>
    </w:p>
    <w:p w:rsidR="00481756" w:rsidRPr="00382DF1" w:rsidRDefault="00481756" w:rsidP="00481756">
      <w:pPr>
        <w:ind w:firstLine="851"/>
        <w:jc w:val="both"/>
        <w:rPr>
          <w:rFonts w:ascii="Times New Roman" w:hAnsi="Times New Roman" w:cs="Times New Roman"/>
          <w:b/>
          <w:sz w:val="28"/>
          <w:szCs w:val="28"/>
        </w:rPr>
      </w:pPr>
      <w:r w:rsidRPr="00382DF1">
        <w:rPr>
          <w:rFonts w:ascii="Times New Roman" w:hAnsi="Times New Roman" w:cs="Times New Roman"/>
          <w:b/>
          <w:sz w:val="28"/>
          <w:szCs w:val="28"/>
        </w:rPr>
        <w:t>1.2. Психолого-педагогические условия формирования профессиональной направленности в образовательной среде.</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Формирование профессиональной направленности студентов представляет собой одну из ключевых задач современного образования. Этот процесс предполагает развитие у обучающихся устойчивого интереса к выбранной профессии, формирование мотивации к ее освоению и выполнение профессиональных обязанностей. В условиях стремительно меняющегося мира и внедрения новых технологий особенно важно создавать образовательную среду, которая стимулирует активное вовлечение студентов в учебный процесс и обеспечивает их готовность к профессиональной деятельности. Одним из перспективных подходов для достижения этих целей является применение стохастико-игровых упражнений, способных формировать не только профессиональные знания и навыки, но и развивать креативное мышление, адаптивность и способность принимать решения в условиях неопределенности.</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Психолого-педагогические условия реализации данной системы упражнений играют определяющую роль в ее эффективности. Для успешного внедрения стохастико-игровых методов необходимо учитывать особенности образовательного процесса, личностные и когнитивные характеристики студентов, а также создавать условия, способствующие их мотивации и активному участию. Эффективность формирования профессиональной направленности во многом зависит от уровня вовлеченности студентов, их способности осознавать значимость своей будущей профессии и видеть перспективы профессионального роста. Поэтому образовательная среда должна быть организована таким образом, чтобы стимулировать интерес к стохастико-игровым упражнениям, интегрировать их в учебный процесс и обеспечивать их тесную связь с реальными профессиональными задачами.</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 xml:space="preserve">Использование стохастических методов и игровых подходов позволяет преподавателям моделировать ситуации, в которых студент сталкивается с выбором и вынужден принимать решения на основе анализа данных, прогнозирования и оценки вероятностей. Такие упражнения создают условия, максимально приближенные к реальным профессиональным вызовам, где неопределенность и многовариантность являются нормой. В этом контексте стохастико-игровые упражнения способствуют развитию у студентов аналитического мышления, стратегического планирования и навыков коллективного взаимодействия. При этом важно учитывать, что успешное </w:t>
      </w:r>
      <w:r w:rsidRPr="00382DF1">
        <w:rPr>
          <w:sz w:val="28"/>
          <w:szCs w:val="28"/>
        </w:rPr>
        <w:lastRenderedPageBreak/>
        <w:t>освоение таких упражнений требует особой организации образовательной среды, которая бы поддерживала интерес студентов, помогала преодолевать возможные трудности и предоставляла необходимую поддержку.</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Кроме того, центральным элементом системы является личность преподавателя, который выполняет роль не только наставника, но и модератора, направляющего образовательный процесс. Преподаватель должен создавать условия, способствующие свободному обмену мнениями, стимулировать студентов к поиску решений и обеспечивать обратную связь, которая помогает корректировать действия обучающихся. Сочетание традиционных педагогических подходов с современными интерактивными методами позволяет создать образовательную среду, способную эффективно формировать профессиональную направленность студентов.</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Реализация стохастико-игровых упражнений требует учета множества психолого-педагогических факторов, которые включают в себя как организационные аспекты образовательного процесса, так и индивидуальные особенности студентов. В этой главе будут рассмотрены ключевые условия, способствующие успешному формированию профессиональной направленности, а также особенности применения стохастико-игровых упражнений в образовательной среде.</w:t>
      </w:r>
    </w:p>
    <w:p w:rsidR="00481756" w:rsidRPr="00382DF1" w:rsidRDefault="00481756" w:rsidP="00481756">
      <w:pPr>
        <w:ind w:firstLine="851"/>
        <w:jc w:val="both"/>
        <w:rPr>
          <w:rFonts w:ascii="Times New Roman" w:hAnsi="Times New Roman" w:cs="Times New Roman"/>
          <w:sz w:val="28"/>
          <w:szCs w:val="28"/>
        </w:rPr>
      </w:pPr>
      <w:r w:rsidRPr="00382DF1">
        <w:rPr>
          <w:rFonts w:ascii="Times New Roman" w:hAnsi="Times New Roman" w:cs="Times New Roman"/>
          <w:sz w:val="28"/>
          <w:szCs w:val="28"/>
        </w:rPr>
        <w:t>На рисунке 2 приведем схему психолого-педагогических условий формирования профессиональной направленности студентов через систему стохастико-игровых упражнений в образовательной среде.</w:t>
      </w:r>
    </w:p>
    <w:p w:rsidR="00481756" w:rsidRPr="00382DF1" w:rsidRDefault="008B1D1A" w:rsidP="00481756">
      <w:pPr>
        <w:jc w:val="both"/>
        <w:rPr>
          <w:rFonts w:ascii="Times New Roman" w:hAnsi="Times New Roman" w:cs="Times New Roman"/>
          <w:sz w:val="28"/>
          <w:szCs w:val="28"/>
        </w:rPr>
      </w:pPr>
      <w:r w:rsidRPr="008B1D1A">
        <w:rPr>
          <w:rFonts w:ascii="Times New Roman" w:hAnsi="Times New Roman" w:cs="Times New Roman"/>
          <w:noProof/>
          <w:sz w:val="28"/>
          <w:szCs w:val="28"/>
          <w:lang w:eastAsia="ru-RU"/>
        </w:rPr>
        <w:drawing>
          <wp:inline distT="0" distB="0" distL="0" distR="0" wp14:anchorId="1531D008" wp14:editId="3D3D5DFC">
            <wp:extent cx="6119271" cy="4184073"/>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1625" cy="4192520"/>
                    </a:xfrm>
                    <a:prstGeom prst="rect">
                      <a:avLst/>
                    </a:prstGeom>
                  </pic:spPr>
                </pic:pic>
              </a:graphicData>
            </a:graphic>
          </wp:inline>
        </w:drawing>
      </w:r>
    </w:p>
    <w:p w:rsidR="00481756" w:rsidRPr="00382DF1" w:rsidRDefault="008B1D1A" w:rsidP="004A45C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4 – </w:t>
      </w:r>
      <w:r w:rsidR="004A45CB">
        <w:rPr>
          <w:rFonts w:ascii="Times New Roman" w:hAnsi="Times New Roman" w:cs="Times New Roman"/>
          <w:sz w:val="28"/>
          <w:szCs w:val="28"/>
        </w:rPr>
        <w:t>П</w:t>
      </w:r>
      <w:r>
        <w:rPr>
          <w:rFonts w:ascii="Times New Roman" w:hAnsi="Times New Roman" w:cs="Times New Roman"/>
          <w:sz w:val="28"/>
          <w:szCs w:val="28"/>
        </w:rPr>
        <w:t xml:space="preserve">сихолого – педагогические условия </w:t>
      </w:r>
      <w:r w:rsidR="004A45CB">
        <w:rPr>
          <w:rFonts w:ascii="Times New Roman" w:hAnsi="Times New Roman" w:cs="Times New Roman"/>
          <w:sz w:val="28"/>
          <w:szCs w:val="28"/>
        </w:rPr>
        <w:t>формирования профессиональной напрвленности</w:t>
      </w:r>
    </w:p>
    <w:p w:rsidR="00481756" w:rsidRPr="00382DF1" w:rsidRDefault="00481756" w:rsidP="004A45CB">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b/>
          <w:bCs/>
          <w:sz w:val="28"/>
          <w:szCs w:val="28"/>
        </w:rPr>
        <w:t>Учет когнитивных и личностных особенностей студентов</w:t>
      </w:r>
      <w:r w:rsidRPr="00382DF1">
        <w:rPr>
          <w:rFonts w:ascii="Times New Roman" w:hAnsi="Times New Roman" w:cs="Times New Roman"/>
          <w:sz w:val="28"/>
          <w:szCs w:val="28"/>
        </w:rPr>
        <w:t xml:space="preserve"> является одним из важнейших факторов, обеспечивающих эффективность образовательного процесса. Каждая группа студентов отличается индивидуальными способностями, стилями восприятия и уровнями мотивации, что напрямую влияет на их успех в изучении сложных концепций, таких как стохастика и теория игр. Преподавателю необходимо учитывать эти различия и адаптировать образовательные стратегии для максимального раскрытия потенциала каждого обучающегося.</w:t>
      </w:r>
    </w:p>
    <w:p w:rsidR="00481756" w:rsidRPr="00382DF1" w:rsidRDefault="00481756" w:rsidP="004A45CB">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 xml:space="preserve">Учет когнитивных и личностных особенностей студентов в образовательном процессе является ключевым фактором, влияющим на эффективность обучения. Исследователи изучали различные аспекты этой проблемы, включая индивидуальные различия в восприятии вероятностных концепций, развитие критического мышления и учет мотивации студентов. </w:t>
      </w:r>
    </w:p>
    <w:p w:rsidR="00481756" w:rsidRDefault="00481756" w:rsidP="004A45CB">
      <w:pPr>
        <w:spacing w:after="0" w:line="240" w:lineRule="auto"/>
        <w:ind w:firstLine="851"/>
        <w:jc w:val="both"/>
        <w:rPr>
          <w:rFonts w:ascii="Times New Roman" w:hAnsi="Times New Roman" w:cs="Times New Roman"/>
          <w:sz w:val="28"/>
          <w:szCs w:val="28"/>
        </w:rPr>
      </w:pPr>
    </w:p>
    <w:p w:rsidR="004A45CB" w:rsidRDefault="004A45CB" w:rsidP="001118B7">
      <w:pPr>
        <w:spacing w:after="0" w:line="240" w:lineRule="auto"/>
        <w:jc w:val="both"/>
        <w:rPr>
          <w:rFonts w:ascii="Times New Roman" w:hAnsi="Times New Roman" w:cs="Times New Roman"/>
          <w:sz w:val="28"/>
          <w:szCs w:val="28"/>
        </w:rPr>
      </w:pPr>
      <w:r w:rsidRPr="001118B7">
        <w:rPr>
          <w:rFonts w:ascii="Times New Roman" w:hAnsi="Times New Roman" w:cs="Times New Roman"/>
          <w:sz w:val="28"/>
          <w:szCs w:val="28"/>
        </w:rPr>
        <w:t xml:space="preserve">Таблица 2 </w:t>
      </w:r>
      <w:r w:rsidR="001118B7" w:rsidRPr="001118B7">
        <w:rPr>
          <w:rFonts w:ascii="Times New Roman" w:hAnsi="Times New Roman" w:cs="Times New Roman"/>
          <w:sz w:val="28"/>
          <w:szCs w:val="28"/>
        </w:rPr>
        <w:t>–</w:t>
      </w:r>
      <w:r w:rsidRPr="001118B7">
        <w:rPr>
          <w:rFonts w:ascii="Times New Roman" w:hAnsi="Times New Roman" w:cs="Times New Roman"/>
          <w:sz w:val="28"/>
          <w:szCs w:val="28"/>
        </w:rPr>
        <w:t xml:space="preserve"> </w:t>
      </w:r>
      <w:r w:rsidR="001118B7" w:rsidRPr="001118B7">
        <w:rPr>
          <w:rFonts w:ascii="Times New Roman" w:hAnsi="Times New Roman" w:cs="Times New Roman"/>
          <w:sz w:val="28"/>
          <w:szCs w:val="28"/>
        </w:rPr>
        <w:t>Анализ научных исследований по когнитивным и личностным особенностям студентов в образовательном процессе</w:t>
      </w:r>
    </w:p>
    <w:p w:rsidR="00F177F5" w:rsidRPr="001118B7" w:rsidRDefault="00F177F5" w:rsidP="001118B7">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803"/>
        <w:gridCol w:w="2804"/>
        <w:gridCol w:w="4247"/>
      </w:tblGrid>
      <w:tr w:rsidR="00481756" w:rsidRPr="00382DF1" w:rsidTr="00382DF1">
        <w:tc>
          <w:tcPr>
            <w:tcW w:w="0" w:type="auto"/>
            <w:hideMark/>
          </w:tcPr>
          <w:p w:rsidR="00481756" w:rsidRPr="00382DF1" w:rsidRDefault="00481756" w:rsidP="004A45CB">
            <w:pPr>
              <w:jc w:val="both"/>
              <w:rPr>
                <w:rFonts w:ascii="Times New Roman" w:hAnsi="Times New Roman" w:cs="Times New Roman"/>
                <w:b/>
                <w:bCs/>
                <w:sz w:val="28"/>
                <w:szCs w:val="28"/>
              </w:rPr>
            </w:pPr>
            <w:r w:rsidRPr="00382DF1">
              <w:rPr>
                <w:rFonts w:ascii="Times New Roman" w:hAnsi="Times New Roman" w:cs="Times New Roman"/>
                <w:b/>
                <w:bCs/>
                <w:sz w:val="28"/>
                <w:szCs w:val="28"/>
              </w:rPr>
              <w:t>Исследователь</w:t>
            </w:r>
          </w:p>
        </w:tc>
        <w:tc>
          <w:tcPr>
            <w:tcW w:w="2804" w:type="dxa"/>
            <w:hideMark/>
          </w:tcPr>
          <w:p w:rsidR="00481756" w:rsidRPr="00382DF1" w:rsidRDefault="00481756" w:rsidP="004A45CB">
            <w:pPr>
              <w:jc w:val="both"/>
              <w:rPr>
                <w:rFonts w:ascii="Times New Roman" w:hAnsi="Times New Roman" w:cs="Times New Roman"/>
                <w:b/>
                <w:bCs/>
                <w:sz w:val="28"/>
                <w:szCs w:val="28"/>
              </w:rPr>
            </w:pPr>
            <w:r w:rsidRPr="00382DF1">
              <w:rPr>
                <w:rFonts w:ascii="Times New Roman" w:hAnsi="Times New Roman" w:cs="Times New Roman"/>
                <w:b/>
                <w:bCs/>
                <w:sz w:val="28"/>
                <w:szCs w:val="28"/>
              </w:rPr>
              <w:t xml:space="preserve">Труды </w:t>
            </w:r>
          </w:p>
        </w:tc>
        <w:tc>
          <w:tcPr>
            <w:tcW w:w="4247" w:type="dxa"/>
            <w:hideMark/>
          </w:tcPr>
          <w:p w:rsidR="00481756" w:rsidRPr="00382DF1" w:rsidRDefault="00481756" w:rsidP="004A45CB">
            <w:pPr>
              <w:jc w:val="both"/>
              <w:rPr>
                <w:rFonts w:ascii="Times New Roman" w:hAnsi="Times New Roman" w:cs="Times New Roman"/>
                <w:b/>
                <w:bCs/>
                <w:sz w:val="28"/>
                <w:szCs w:val="28"/>
              </w:rPr>
            </w:pPr>
            <w:r w:rsidRPr="00382DF1">
              <w:rPr>
                <w:rFonts w:ascii="Times New Roman" w:hAnsi="Times New Roman" w:cs="Times New Roman"/>
                <w:b/>
                <w:bCs/>
                <w:sz w:val="28"/>
                <w:szCs w:val="28"/>
              </w:rPr>
              <w:t>Анализ вклада</w:t>
            </w:r>
          </w:p>
        </w:tc>
      </w:tr>
      <w:tr w:rsidR="00481756" w:rsidRPr="00382DF1" w:rsidTr="00382DF1">
        <w:tc>
          <w:tcPr>
            <w:tcW w:w="0" w:type="auto"/>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bCs/>
                <w:sz w:val="28"/>
                <w:szCs w:val="28"/>
              </w:rPr>
              <w:t>С.Б. Малых, Т.Н. Тихомирова, Ю.В. Ковас</w:t>
            </w:r>
          </w:p>
        </w:tc>
        <w:tc>
          <w:tcPr>
            <w:tcW w:w="2804" w:type="dxa"/>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«Индивидуальные различия в способностях к обучению: возможности и перспективы психогенетических исследований» [22] </w:t>
            </w:r>
          </w:p>
        </w:tc>
        <w:tc>
          <w:tcPr>
            <w:tcW w:w="4247" w:type="dxa"/>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акцентируют внимание на необходимости учета генетических и средовых факторов, определяющих индивидуальные различия в обучении, что важно для разработки персонализированных образовательных стратегий.</w:t>
            </w:r>
          </w:p>
        </w:tc>
      </w:tr>
      <w:tr w:rsidR="00481756" w:rsidRPr="00382DF1" w:rsidTr="00382DF1">
        <w:tc>
          <w:tcPr>
            <w:tcW w:w="0" w:type="auto"/>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bCs/>
                <w:sz w:val="28"/>
                <w:szCs w:val="28"/>
              </w:rPr>
              <w:t>А.А. Кузьмина</w:t>
            </w:r>
          </w:p>
        </w:tc>
        <w:tc>
          <w:tcPr>
            <w:tcW w:w="2804" w:type="dxa"/>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sz w:val="28"/>
                <w:szCs w:val="28"/>
              </w:rPr>
              <w:t>Статья «Психолого-педагогические аспекты развития критического мышления студентов» [23]</w:t>
            </w:r>
          </w:p>
        </w:tc>
        <w:tc>
          <w:tcPr>
            <w:tcW w:w="4247" w:type="dxa"/>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sz w:val="28"/>
                <w:szCs w:val="28"/>
              </w:rPr>
              <w:t>Кузьмина подчеркивает значимость создания условий, способствующих развитию критического мышления, и предлагает практические рекомендации для преподавателей по организации образовательного процесса.</w:t>
            </w:r>
          </w:p>
        </w:tc>
      </w:tr>
      <w:tr w:rsidR="00481756" w:rsidRPr="00382DF1" w:rsidTr="00382DF1">
        <w:tc>
          <w:tcPr>
            <w:tcW w:w="0" w:type="auto"/>
            <w:hideMark/>
          </w:tcPr>
          <w:p w:rsidR="00481756" w:rsidRPr="00382DF1" w:rsidRDefault="00481756" w:rsidP="004A45CB">
            <w:pPr>
              <w:jc w:val="both"/>
              <w:rPr>
                <w:rFonts w:ascii="Times New Roman" w:hAnsi="Times New Roman" w:cs="Times New Roman"/>
                <w:bCs/>
                <w:sz w:val="28"/>
                <w:szCs w:val="28"/>
              </w:rPr>
            </w:pPr>
            <w:r w:rsidRPr="00382DF1">
              <w:rPr>
                <w:rFonts w:ascii="Times New Roman" w:hAnsi="Times New Roman" w:cs="Times New Roman"/>
                <w:bCs/>
                <w:sz w:val="28"/>
                <w:szCs w:val="28"/>
              </w:rPr>
              <w:t>Е. А. Авдеева</w:t>
            </w:r>
          </w:p>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bCs/>
                <w:sz w:val="28"/>
                <w:szCs w:val="28"/>
              </w:rPr>
              <w:t>Ю.Н. Корешникова</w:t>
            </w:r>
          </w:p>
        </w:tc>
        <w:tc>
          <w:tcPr>
            <w:tcW w:w="2804" w:type="dxa"/>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«Заинтересовать нельзя заставить. Роль академической мотивации и стилей преподавания в развитии </w:t>
            </w:r>
            <w:r w:rsidRPr="00382DF1">
              <w:rPr>
                <w:rFonts w:ascii="Times New Roman" w:hAnsi="Times New Roman" w:cs="Times New Roman"/>
                <w:sz w:val="28"/>
                <w:szCs w:val="28"/>
              </w:rPr>
              <w:lastRenderedPageBreak/>
              <w:t>критического мышления студентов» [24]</w:t>
            </w:r>
          </w:p>
        </w:tc>
        <w:tc>
          <w:tcPr>
            <w:tcW w:w="4247" w:type="dxa"/>
            <w:hideMark/>
          </w:tcPr>
          <w:p w:rsidR="00481756" w:rsidRPr="00382DF1" w:rsidRDefault="00481756" w:rsidP="004A45CB">
            <w:pPr>
              <w:jc w:val="both"/>
              <w:rPr>
                <w:rFonts w:ascii="Times New Roman" w:hAnsi="Times New Roman" w:cs="Times New Roman"/>
                <w:sz w:val="28"/>
                <w:szCs w:val="28"/>
              </w:rPr>
            </w:pPr>
            <w:r w:rsidRPr="00382DF1">
              <w:rPr>
                <w:rFonts w:ascii="Times New Roman" w:hAnsi="Times New Roman" w:cs="Times New Roman"/>
                <w:sz w:val="28"/>
                <w:szCs w:val="28"/>
              </w:rPr>
              <w:lastRenderedPageBreak/>
              <w:t xml:space="preserve">Авдеева отмечает, что академическая мотивация и конструктивистский стиль преподавания положительно влияют на развитие критического мышления, подчеркивая необходимость </w:t>
            </w:r>
            <w:r w:rsidRPr="00382DF1">
              <w:rPr>
                <w:rFonts w:ascii="Times New Roman" w:hAnsi="Times New Roman" w:cs="Times New Roman"/>
                <w:sz w:val="28"/>
                <w:szCs w:val="28"/>
              </w:rPr>
              <w:lastRenderedPageBreak/>
              <w:t>создания мотивирующей образовательной среды.</w:t>
            </w:r>
          </w:p>
        </w:tc>
      </w:tr>
    </w:tbl>
    <w:p w:rsidR="00EA4CC7" w:rsidRDefault="00EA4CC7" w:rsidP="00EA4CC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p w:rsidR="00F177F5" w:rsidRDefault="00F177F5" w:rsidP="00EA4CC7">
      <w:pPr>
        <w:spacing w:after="0" w:line="240" w:lineRule="auto"/>
        <w:ind w:firstLine="851"/>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547"/>
        <w:gridCol w:w="2835"/>
        <w:gridCol w:w="4246"/>
      </w:tblGrid>
      <w:tr w:rsidR="00EA4CC7" w:rsidTr="00EA4CC7">
        <w:tc>
          <w:tcPr>
            <w:tcW w:w="2547"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bCs/>
                <w:sz w:val="28"/>
                <w:szCs w:val="28"/>
              </w:rPr>
              <w:t>И.А. Мороченкова</w:t>
            </w:r>
          </w:p>
        </w:tc>
        <w:tc>
          <w:tcPr>
            <w:tcW w:w="2835"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Диссертация «Формирование критического мышления студентов в образовательном процессе вуза» [25]</w:t>
            </w:r>
          </w:p>
        </w:tc>
        <w:tc>
          <w:tcPr>
            <w:tcW w:w="4246"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Мороченкова предлагает структурно-функциональную модель формирования критического мышления и подчеркивает значимость учебно-исследовательской среды в этом процессе.</w:t>
            </w:r>
          </w:p>
        </w:tc>
      </w:tr>
      <w:tr w:rsidR="00EA4CC7" w:rsidTr="00EA4CC7">
        <w:tc>
          <w:tcPr>
            <w:tcW w:w="2547"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bCs/>
                <w:sz w:val="28"/>
                <w:szCs w:val="28"/>
              </w:rPr>
              <w:t>Н.Н. Волкова, А.Н. Гусев</w:t>
            </w:r>
          </w:p>
        </w:tc>
        <w:tc>
          <w:tcPr>
            <w:tcW w:w="2835"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Статья «Когнитивные стили: дискуссионные вопросы и проблемы изучения» [26]</w:t>
            </w:r>
          </w:p>
        </w:tc>
        <w:tc>
          <w:tcPr>
            <w:tcW w:w="4246"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анализируют проблемы теории и методологии изучения когнитивных стилей, подчеркивая их роль в индивидуализации образовательного процесса и необходимости дальнейших исследований в этой области.</w:t>
            </w:r>
          </w:p>
        </w:tc>
      </w:tr>
      <w:tr w:rsidR="00EA4CC7" w:rsidTr="00EA4CC7">
        <w:tc>
          <w:tcPr>
            <w:tcW w:w="2547" w:type="dxa"/>
          </w:tcPr>
          <w:p w:rsidR="00EA4CC7" w:rsidRPr="00382DF1" w:rsidRDefault="00EA4CC7" w:rsidP="00EA4CC7">
            <w:pPr>
              <w:jc w:val="both"/>
              <w:rPr>
                <w:rFonts w:ascii="Times New Roman" w:hAnsi="Times New Roman" w:cs="Times New Roman"/>
                <w:bCs/>
                <w:sz w:val="28"/>
                <w:szCs w:val="28"/>
              </w:rPr>
            </w:pPr>
            <w:r w:rsidRPr="00382DF1">
              <w:rPr>
                <w:rFonts w:ascii="Times New Roman" w:hAnsi="Times New Roman" w:cs="Times New Roman"/>
                <w:sz w:val="28"/>
                <w:szCs w:val="28"/>
              </w:rPr>
              <w:t>И.Б. Афанасьева</w:t>
            </w:r>
          </w:p>
        </w:tc>
        <w:tc>
          <w:tcPr>
            <w:tcW w:w="2835"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Статья «Учет когнитивно-стилевых особенностей студентов в обучении» [27]</w:t>
            </w:r>
          </w:p>
        </w:tc>
        <w:tc>
          <w:tcPr>
            <w:tcW w:w="4246"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Афанасьева подчеркивает необходимость адаптации образовательных технологий к индивидуальным когнитивным стилям студентов для повышения эффективности обучения.</w:t>
            </w:r>
          </w:p>
        </w:tc>
      </w:tr>
      <w:tr w:rsidR="00EA4CC7" w:rsidTr="00EA4CC7">
        <w:tc>
          <w:tcPr>
            <w:tcW w:w="2547" w:type="dxa"/>
          </w:tcPr>
          <w:p w:rsidR="00EA4CC7" w:rsidRPr="00382DF1" w:rsidRDefault="00EA4CC7" w:rsidP="00EA4CC7">
            <w:pPr>
              <w:jc w:val="both"/>
              <w:rPr>
                <w:rFonts w:ascii="Times New Roman" w:hAnsi="Times New Roman" w:cs="Times New Roman"/>
                <w:bCs/>
                <w:sz w:val="28"/>
                <w:szCs w:val="28"/>
              </w:rPr>
            </w:pPr>
            <w:r w:rsidRPr="00382DF1">
              <w:rPr>
                <w:rFonts w:ascii="Times New Roman" w:hAnsi="Times New Roman" w:cs="Times New Roman"/>
                <w:sz w:val="28"/>
                <w:szCs w:val="28"/>
              </w:rPr>
              <w:t>Н.В. Дроздова, И.С. Журавкина, А.П. Лобанов</w:t>
            </w:r>
          </w:p>
        </w:tc>
        <w:tc>
          <w:tcPr>
            <w:tcW w:w="2835"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Работа «Style mix: стили обучения и когнитивные стили студентов» [28]</w:t>
            </w:r>
          </w:p>
        </w:tc>
        <w:tc>
          <w:tcPr>
            <w:tcW w:w="4246"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акцентируют внимание на важности учета разнообразия стилей обучения и когнитивных стилей при разработке образовательных программ для студентов гуманитарных специальностей.</w:t>
            </w:r>
          </w:p>
        </w:tc>
      </w:tr>
      <w:tr w:rsidR="00EA4CC7" w:rsidTr="00EA4CC7">
        <w:tc>
          <w:tcPr>
            <w:tcW w:w="2547" w:type="dxa"/>
          </w:tcPr>
          <w:p w:rsidR="00EA4CC7" w:rsidRPr="00382DF1" w:rsidRDefault="00EA4CC7" w:rsidP="00EA4CC7">
            <w:pPr>
              <w:jc w:val="both"/>
              <w:rPr>
                <w:rFonts w:ascii="Times New Roman" w:hAnsi="Times New Roman" w:cs="Times New Roman"/>
                <w:bCs/>
                <w:sz w:val="28"/>
                <w:szCs w:val="28"/>
              </w:rPr>
            </w:pPr>
            <w:r w:rsidRPr="00382DF1">
              <w:rPr>
                <w:rFonts w:ascii="Times New Roman" w:hAnsi="Times New Roman" w:cs="Times New Roman"/>
                <w:sz w:val="28"/>
                <w:szCs w:val="28"/>
              </w:rPr>
              <w:t>Т.С. Плотникова</w:t>
            </w:r>
          </w:p>
        </w:tc>
        <w:tc>
          <w:tcPr>
            <w:tcW w:w="2835"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Статья «Формирование критического мышления учащихся и студентов: модель и технология» [29]</w:t>
            </w:r>
          </w:p>
        </w:tc>
        <w:tc>
          <w:tcPr>
            <w:tcW w:w="4246"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Плотникова предлагает практические модели и технологии для формирования критического мышления, адаптированные к современным образовательным требованиям.</w:t>
            </w:r>
          </w:p>
        </w:tc>
      </w:tr>
      <w:tr w:rsidR="00EA4CC7" w:rsidTr="00EA4CC7">
        <w:tc>
          <w:tcPr>
            <w:tcW w:w="2547" w:type="dxa"/>
          </w:tcPr>
          <w:p w:rsidR="00EA4CC7" w:rsidRPr="00382DF1" w:rsidRDefault="00EA4CC7" w:rsidP="00EA4CC7">
            <w:pPr>
              <w:jc w:val="both"/>
              <w:rPr>
                <w:rFonts w:ascii="Times New Roman" w:hAnsi="Times New Roman" w:cs="Times New Roman"/>
                <w:bCs/>
                <w:sz w:val="28"/>
                <w:szCs w:val="28"/>
              </w:rPr>
            </w:pPr>
            <w:r w:rsidRPr="00382DF1">
              <w:rPr>
                <w:rFonts w:ascii="Times New Roman" w:hAnsi="Times New Roman" w:cs="Times New Roman"/>
                <w:sz w:val="28"/>
                <w:szCs w:val="28"/>
              </w:rPr>
              <w:t>Н.В. Попова, З.В. Сенук, А.В. Пономарев, И.С.Крутько</w:t>
            </w:r>
          </w:p>
        </w:tc>
        <w:tc>
          <w:tcPr>
            <w:tcW w:w="2835"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«Взаимосвязь успешности обучения с когнитивными и </w:t>
            </w:r>
            <w:r w:rsidRPr="00382DF1">
              <w:rPr>
                <w:rFonts w:ascii="Times New Roman" w:hAnsi="Times New Roman" w:cs="Times New Roman"/>
                <w:sz w:val="28"/>
                <w:szCs w:val="28"/>
              </w:rPr>
              <w:lastRenderedPageBreak/>
              <w:t>личностными компонентами студентов-превентологов: психологический аспект» [30]</w:t>
            </w:r>
          </w:p>
        </w:tc>
        <w:tc>
          <w:tcPr>
            <w:tcW w:w="4246" w:type="dxa"/>
          </w:tcPr>
          <w:p w:rsidR="00EA4CC7" w:rsidRPr="00382DF1" w:rsidRDefault="00EA4CC7" w:rsidP="00EA4CC7">
            <w:pPr>
              <w:jc w:val="both"/>
              <w:rPr>
                <w:rFonts w:ascii="Times New Roman" w:hAnsi="Times New Roman" w:cs="Times New Roman"/>
                <w:sz w:val="28"/>
                <w:szCs w:val="28"/>
              </w:rPr>
            </w:pPr>
            <w:r w:rsidRPr="00382DF1">
              <w:rPr>
                <w:rFonts w:ascii="Times New Roman" w:hAnsi="Times New Roman" w:cs="Times New Roman"/>
                <w:sz w:val="28"/>
                <w:szCs w:val="28"/>
              </w:rPr>
              <w:lastRenderedPageBreak/>
              <w:t xml:space="preserve">Авторы подчеркивают значимость когнитивных и личностных факторов в достижении академической </w:t>
            </w:r>
            <w:r w:rsidRPr="00382DF1">
              <w:rPr>
                <w:rFonts w:ascii="Times New Roman" w:hAnsi="Times New Roman" w:cs="Times New Roman"/>
                <w:sz w:val="28"/>
                <w:szCs w:val="28"/>
              </w:rPr>
              <w:lastRenderedPageBreak/>
              <w:t>успешности и рекомендуют учитывать эти особенности при организации учебного процесса.</w:t>
            </w:r>
          </w:p>
        </w:tc>
      </w:tr>
    </w:tbl>
    <w:p w:rsidR="00481756" w:rsidRPr="00382DF1" w:rsidRDefault="00481756" w:rsidP="00CE7301">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lastRenderedPageBreak/>
        <w:t>Анализ этих трудов показывает, что учет когнитивных и личностных особенностей студентов, развитие их критического мышления и мотивации являются ключевыми аспектами, требующими комплексного подхода в образовательной практике. Индивидуализация обучения с учетом когнитивных стилей, создание мотивирующей среды и применение активных методов преподавания способствуют повышению эффективности образовательного процесса и развитию необходимых компетенций у студентов.</w:t>
      </w:r>
    </w:p>
    <w:p w:rsidR="00481756" w:rsidRPr="00382DF1" w:rsidRDefault="00481756" w:rsidP="00CE7301">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b/>
          <w:bCs/>
          <w:sz w:val="28"/>
          <w:szCs w:val="28"/>
        </w:rPr>
        <w:t>Создание стимулирующей образовательной среды</w:t>
      </w:r>
      <w:r w:rsidRPr="00382DF1">
        <w:rPr>
          <w:rFonts w:ascii="Times New Roman" w:hAnsi="Times New Roman" w:cs="Times New Roman"/>
          <w:sz w:val="28"/>
          <w:szCs w:val="28"/>
        </w:rPr>
        <w:t xml:space="preserve"> является ключевым аспектом эффективного обучения, направленным на активное вовлечение студентов в учебный процесс, развитие их навыков и формирование положительного отношения к обучению. Такая среда обеспечивает комфортные условия для приобретения знаний, способствует раскрытию потенциала каждого студента и помогает справляться с трудностями, возникающими в процессе освоения сложных концепций. Для достижения этой цели важно учитывать эмоциональные, социальные и когнитивные потребности обучающихся.</w:t>
      </w:r>
    </w:p>
    <w:p w:rsidR="00481756" w:rsidRPr="00382DF1" w:rsidRDefault="00481756" w:rsidP="00CE7301">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 xml:space="preserve">Создание стимулирующей образовательной среды, включающей эмоциональную поддержку, интерактивность и использование интересных задач, изучалось многими учеными. </w:t>
      </w:r>
    </w:p>
    <w:p w:rsidR="00481756" w:rsidRDefault="00481756" w:rsidP="00CE7301">
      <w:pPr>
        <w:spacing w:after="0" w:line="240" w:lineRule="auto"/>
        <w:ind w:firstLine="851"/>
        <w:jc w:val="both"/>
        <w:rPr>
          <w:rFonts w:ascii="Times New Roman" w:hAnsi="Times New Roman" w:cs="Times New Roman"/>
          <w:sz w:val="28"/>
          <w:szCs w:val="28"/>
        </w:rPr>
      </w:pPr>
    </w:p>
    <w:p w:rsidR="00CE7301" w:rsidRDefault="00CE7301" w:rsidP="00CE7301">
      <w:pPr>
        <w:spacing w:after="0" w:line="240" w:lineRule="auto"/>
        <w:jc w:val="both"/>
        <w:rPr>
          <w:rFonts w:ascii="Times New Roman" w:hAnsi="Times New Roman" w:cs="Times New Roman"/>
          <w:sz w:val="28"/>
          <w:szCs w:val="28"/>
        </w:rPr>
      </w:pPr>
      <w:r w:rsidRPr="001118B7">
        <w:rPr>
          <w:rFonts w:ascii="Times New Roman" w:hAnsi="Times New Roman" w:cs="Times New Roman"/>
          <w:sz w:val="28"/>
          <w:szCs w:val="28"/>
        </w:rPr>
        <w:t xml:space="preserve">Таблица </w:t>
      </w:r>
      <w:r>
        <w:rPr>
          <w:rFonts w:ascii="Times New Roman" w:hAnsi="Times New Roman" w:cs="Times New Roman"/>
          <w:sz w:val="28"/>
          <w:szCs w:val="28"/>
        </w:rPr>
        <w:t>3</w:t>
      </w:r>
      <w:r w:rsidRPr="001118B7">
        <w:rPr>
          <w:rFonts w:ascii="Times New Roman" w:hAnsi="Times New Roman" w:cs="Times New Roman"/>
          <w:sz w:val="28"/>
          <w:szCs w:val="28"/>
        </w:rPr>
        <w:t xml:space="preserve"> – Анализ научных исследований по </w:t>
      </w:r>
      <w:r>
        <w:rPr>
          <w:rFonts w:ascii="Times New Roman" w:hAnsi="Times New Roman" w:cs="Times New Roman"/>
          <w:sz w:val="28"/>
          <w:szCs w:val="28"/>
        </w:rPr>
        <w:t>созданию</w:t>
      </w:r>
      <w:r w:rsidRPr="00382DF1">
        <w:rPr>
          <w:rFonts w:ascii="Times New Roman" w:hAnsi="Times New Roman" w:cs="Times New Roman"/>
          <w:sz w:val="28"/>
          <w:szCs w:val="28"/>
        </w:rPr>
        <w:t xml:space="preserve"> стимулирующей образовательной среды</w:t>
      </w:r>
    </w:p>
    <w:p w:rsidR="00F177F5" w:rsidRPr="001118B7" w:rsidRDefault="00F177F5" w:rsidP="00CE7301">
      <w:pPr>
        <w:spacing w:after="0" w:line="240" w:lineRule="auto"/>
        <w:jc w:val="both"/>
        <w:rPr>
          <w:rFonts w:ascii="Times New Roman" w:hAnsi="Times New Roman" w:cs="Times New Roman"/>
          <w:sz w:val="28"/>
          <w:szCs w:val="28"/>
        </w:rPr>
      </w:pPr>
    </w:p>
    <w:tbl>
      <w:tblPr>
        <w:tblStyle w:val="a3"/>
        <w:tblW w:w="9634" w:type="dxa"/>
        <w:tblLook w:val="04A0" w:firstRow="1" w:lastRow="0" w:firstColumn="1" w:lastColumn="0" w:noHBand="0" w:noVBand="1"/>
      </w:tblPr>
      <w:tblGrid>
        <w:gridCol w:w="2120"/>
        <w:gridCol w:w="2944"/>
        <w:gridCol w:w="4570"/>
      </w:tblGrid>
      <w:tr w:rsidR="00481756" w:rsidRPr="00382DF1" w:rsidTr="00CE7301">
        <w:tc>
          <w:tcPr>
            <w:tcW w:w="2120" w:type="dxa"/>
            <w:hideMark/>
          </w:tcPr>
          <w:p w:rsidR="00481756" w:rsidRPr="00382DF1" w:rsidRDefault="00481756" w:rsidP="00CE7301">
            <w:pPr>
              <w:jc w:val="both"/>
              <w:rPr>
                <w:rFonts w:ascii="Times New Roman" w:hAnsi="Times New Roman" w:cs="Times New Roman"/>
                <w:b/>
                <w:bCs/>
                <w:sz w:val="28"/>
                <w:szCs w:val="28"/>
              </w:rPr>
            </w:pPr>
            <w:r w:rsidRPr="00382DF1">
              <w:rPr>
                <w:rFonts w:ascii="Times New Roman" w:hAnsi="Times New Roman" w:cs="Times New Roman"/>
                <w:b/>
                <w:bCs/>
                <w:sz w:val="28"/>
                <w:szCs w:val="28"/>
              </w:rPr>
              <w:t>Исследователь</w:t>
            </w:r>
          </w:p>
        </w:tc>
        <w:tc>
          <w:tcPr>
            <w:tcW w:w="2944" w:type="dxa"/>
            <w:hideMark/>
          </w:tcPr>
          <w:p w:rsidR="00481756" w:rsidRPr="00382DF1" w:rsidRDefault="00481756" w:rsidP="00CE7301">
            <w:pPr>
              <w:jc w:val="both"/>
              <w:rPr>
                <w:rFonts w:ascii="Times New Roman" w:hAnsi="Times New Roman" w:cs="Times New Roman"/>
                <w:b/>
                <w:bCs/>
                <w:sz w:val="28"/>
                <w:szCs w:val="28"/>
              </w:rPr>
            </w:pPr>
            <w:r w:rsidRPr="00382DF1">
              <w:rPr>
                <w:rFonts w:ascii="Times New Roman" w:hAnsi="Times New Roman" w:cs="Times New Roman"/>
                <w:b/>
                <w:bCs/>
                <w:sz w:val="28"/>
                <w:szCs w:val="28"/>
              </w:rPr>
              <w:t>Труды</w:t>
            </w:r>
          </w:p>
        </w:tc>
        <w:tc>
          <w:tcPr>
            <w:tcW w:w="4570" w:type="dxa"/>
            <w:hideMark/>
          </w:tcPr>
          <w:p w:rsidR="00481756" w:rsidRPr="00382DF1" w:rsidRDefault="00481756" w:rsidP="00CE7301">
            <w:pPr>
              <w:jc w:val="both"/>
              <w:rPr>
                <w:rFonts w:ascii="Times New Roman" w:hAnsi="Times New Roman" w:cs="Times New Roman"/>
                <w:b/>
                <w:bCs/>
                <w:sz w:val="28"/>
                <w:szCs w:val="28"/>
              </w:rPr>
            </w:pPr>
            <w:r w:rsidRPr="00382DF1">
              <w:rPr>
                <w:rFonts w:ascii="Times New Roman" w:hAnsi="Times New Roman" w:cs="Times New Roman"/>
                <w:b/>
                <w:bCs/>
                <w:sz w:val="28"/>
                <w:szCs w:val="28"/>
              </w:rPr>
              <w:t>Анализ вклада</w:t>
            </w:r>
          </w:p>
        </w:tc>
      </w:tr>
      <w:tr w:rsidR="00481756" w:rsidRPr="00382DF1" w:rsidTr="00CE7301">
        <w:tc>
          <w:tcPr>
            <w:tcW w:w="2120" w:type="dxa"/>
            <w:hideMark/>
          </w:tcPr>
          <w:p w:rsidR="00481756" w:rsidRPr="00382DF1" w:rsidRDefault="00481756" w:rsidP="00CE7301">
            <w:pPr>
              <w:jc w:val="both"/>
              <w:rPr>
                <w:rFonts w:ascii="Times New Roman" w:hAnsi="Times New Roman" w:cs="Times New Roman"/>
                <w:sz w:val="28"/>
                <w:szCs w:val="28"/>
              </w:rPr>
            </w:pPr>
            <w:r w:rsidRPr="00382DF1">
              <w:rPr>
                <w:rFonts w:ascii="Times New Roman" w:hAnsi="Times New Roman" w:cs="Times New Roman"/>
                <w:sz w:val="28"/>
                <w:szCs w:val="28"/>
              </w:rPr>
              <w:t>Рафикова А.С.</w:t>
            </w:r>
          </w:p>
        </w:tc>
        <w:tc>
          <w:tcPr>
            <w:tcW w:w="2944" w:type="dxa"/>
            <w:hideMark/>
          </w:tcPr>
          <w:p w:rsidR="00481756" w:rsidRPr="00382DF1" w:rsidRDefault="00481756" w:rsidP="00CE7301">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«Социоэмоциональная регуляция в условиях коллаборативного обучения: обзор исследований» [31] </w:t>
            </w:r>
          </w:p>
        </w:tc>
        <w:tc>
          <w:tcPr>
            <w:tcW w:w="4570" w:type="dxa"/>
            <w:hideMark/>
          </w:tcPr>
          <w:p w:rsidR="00481756" w:rsidRPr="00382DF1" w:rsidRDefault="00481756" w:rsidP="00CE7301">
            <w:pPr>
              <w:jc w:val="both"/>
              <w:rPr>
                <w:rFonts w:ascii="Times New Roman" w:hAnsi="Times New Roman" w:cs="Times New Roman"/>
                <w:sz w:val="28"/>
                <w:szCs w:val="28"/>
              </w:rPr>
            </w:pPr>
            <w:r w:rsidRPr="00382DF1">
              <w:rPr>
                <w:rFonts w:ascii="Times New Roman" w:hAnsi="Times New Roman" w:cs="Times New Roman"/>
                <w:sz w:val="28"/>
                <w:szCs w:val="28"/>
              </w:rPr>
              <w:t>Автор акцентирует внимание на значимости эмоциональной поддержки в образовательной среде, особенно в контексте совместного обучения, что способствует гармоничному функционированию группы и улучшению учебных результатов.</w:t>
            </w:r>
          </w:p>
        </w:tc>
      </w:tr>
      <w:tr w:rsidR="00481756" w:rsidRPr="00382DF1" w:rsidTr="00CE7301">
        <w:tc>
          <w:tcPr>
            <w:tcW w:w="212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bCs/>
                <w:sz w:val="28"/>
                <w:szCs w:val="28"/>
              </w:rPr>
              <w:t>Бободжанова С</w:t>
            </w:r>
            <w:r w:rsidRPr="00382DF1">
              <w:rPr>
                <w:rFonts w:ascii="Times New Roman" w:hAnsi="Times New Roman" w:cs="Times New Roman"/>
                <w:bCs/>
                <w:sz w:val="28"/>
                <w:szCs w:val="28"/>
                <w:lang w:val="en-US"/>
              </w:rPr>
              <w:t>.</w:t>
            </w:r>
          </w:p>
        </w:tc>
        <w:tc>
          <w:tcPr>
            <w:tcW w:w="2944"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«Применение интерактивных методов обучения в образовательном процессе вуза» [32]</w:t>
            </w:r>
          </w:p>
        </w:tc>
        <w:tc>
          <w:tcPr>
            <w:tcW w:w="457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Бободжанова подчеркивает, что интерактивные методы обучения способствуют формированию профессиональных компетенций, повышению активности студентов и их вовлеченности в учебный процесс.</w:t>
            </w:r>
          </w:p>
        </w:tc>
      </w:tr>
      <w:tr w:rsidR="00481756" w:rsidRPr="00382DF1" w:rsidTr="00CE7301">
        <w:tc>
          <w:tcPr>
            <w:tcW w:w="212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bCs/>
                <w:sz w:val="28"/>
                <w:szCs w:val="28"/>
              </w:rPr>
              <w:lastRenderedPageBreak/>
              <w:t>Перепёлкина</w:t>
            </w:r>
            <w:r w:rsidRPr="00382DF1">
              <w:rPr>
                <w:rFonts w:ascii="Times New Roman" w:hAnsi="Times New Roman" w:cs="Times New Roman"/>
                <w:bCs/>
                <w:sz w:val="28"/>
                <w:szCs w:val="28"/>
                <w:lang w:val="en-US"/>
              </w:rPr>
              <w:t xml:space="preserve"> </w:t>
            </w:r>
            <w:r w:rsidRPr="00382DF1">
              <w:rPr>
                <w:rFonts w:ascii="Times New Roman" w:hAnsi="Times New Roman" w:cs="Times New Roman"/>
                <w:bCs/>
                <w:sz w:val="28"/>
                <w:szCs w:val="28"/>
              </w:rPr>
              <w:t>В.А.</w:t>
            </w:r>
          </w:p>
        </w:tc>
        <w:tc>
          <w:tcPr>
            <w:tcW w:w="2944"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«Исследования эмоционального состояния учащихся в процессе обучения» [33]</w:t>
            </w:r>
          </w:p>
        </w:tc>
        <w:tc>
          <w:tcPr>
            <w:tcW w:w="457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Перепёлкина выявляет взаимосвязь между эмоциональным состоянием учащихся и их академической успешностью, подчеркивая необходимость создания условий для эмоционального комфорта в образовательной среде.</w:t>
            </w:r>
          </w:p>
        </w:tc>
      </w:tr>
    </w:tbl>
    <w:p w:rsidR="00CE7301" w:rsidRDefault="00CE7301" w:rsidP="0078258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Продолжение таблицы 3</w:t>
      </w:r>
    </w:p>
    <w:p w:rsidR="00F177F5" w:rsidRDefault="00F177F5" w:rsidP="0078258C">
      <w:pPr>
        <w:spacing w:after="0" w:line="240" w:lineRule="auto"/>
        <w:ind w:firstLine="851"/>
        <w:jc w:val="both"/>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2122"/>
        <w:gridCol w:w="2976"/>
        <w:gridCol w:w="4530"/>
      </w:tblGrid>
      <w:tr w:rsidR="00CE7301" w:rsidTr="0078258C">
        <w:tc>
          <w:tcPr>
            <w:tcW w:w="2122" w:type="dxa"/>
          </w:tcPr>
          <w:p w:rsidR="00CE7301" w:rsidRPr="00382DF1" w:rsidRDefault="00CE7301" w:rsidP="0078258C">
            <w:pPr>
              <w:jc w:val="both"/>
              <w:rPr>
                <w:rFonts w:ascii="Times New Roman" w:hAnsi="Times New Roman" w:cs="Times New Roman"/>
                <w:sz w:val="28"/>
                <w:szCs w:val="28"/>
              </w:rPr>
            </w:pPr>
            <w:r w:rsidRPr="00382DF1">
              <w:rPr>
                <w:rFonts w:ascii="Times New Roman" w:hAnsi="Times New Roman" w:cs="Times New Roman"/>
                <w:bCs/>
                <w:sz w:val="28"/>
                <w:szCs w:val="28"/>
              </w:rPr>
              <w:t>Наймушина Л.М.</w:t>
            </w:r>
          </w:p>
        </w:tc>
        <w:tc>
          <w:tcPr>
            <w:tcW w:w="2976" w:type="dxa"/>
          </w:tcPr>
          <w:p w:rsidR="00CE7301" w:rsidRPr="00382DF1" w:rsidRDefault="00CE7301" w:rsidP="0078258C">
            <w:pPr>
              <w:jc w:val="both"/>
              <w:rPr>
                <w:rFonts w:ascii="Times New Roman" w:hAnsi="Times New Roman" w:cs="Times New Roman"/>
                <w:sz w:val="28"/>
                <w:szCs w:val="28"/>
              </w:rPr>
            </w:pPr>
            <w:r w:rsidRPr="00382DF1">
              <w:rPr>
                <w:rFonts w:ascii="Times New Roman" w:hAnsi="Times New Roman" w:cs="Times New Roman"/>
                <w:sz w:val="28"/>
                <w:szCs w:val="28"/>
              </w:rPr>
              <w:t>Статья «Социально-эмоциональное обучение как новое направление развития педагогической науки и практики» [34]</w:t>
            </w:r>
          </w:p>
        </w:tc>
        <w:tc>
          <w:tcPr>
            <w:tcW w:w="4530" w:type="dxa"/>
          </w:tcPr>
          <w:p w:rsidR="00CE7301" w:rsidRPr="00382DF1" w:rsidRDefault="00CE7301" w:rsidP="0078258C">
            <w:pPr>
              <w:jc w:val="both"/>
              <w:rPr>
                <w:rFonts w:ascii="Times New Roman" w:hAnsi="Times New Roman" w:cs="Times New Roman"/>
                <w:sz w:val="28"/>
                <w:szCs w:val="28"/>
              </w:rPr>
            </w:pPr>
            <w:r w:rsidRPr="00382DF1">
              <w:rPr>
                <w:rFonts w:ascii="Times New Roman" w:hAnsi="Times New Roman" w:cs="Times New Roman"/>
                <w:sz w:val="28"/>
                <w:szCs w:val="28"/>
              </w:rPr>
              <w:t>Наймушина обосновывает значимость социально-эмоционального обучения для развития эмоциональной компетентности учащихся, что способствует созданию поддерживающей образовательной среды.</w:t>
            </w:r>
          </w:p>
        </w:tc>
      </w:tr>
      <w:tr w:rsidR="00CE7301" w:rsidTr="0078258C">
        <w:tc>
          <w:tcPr>
            <w:tcW w:w="2122" w:type="dxa"/>
          </w:tcPr>
          <w:p w:rsidR="00CE7301" w:rsidRPr="00382DF1" w:rsidRDefault="00CE7301" w:rsidP="00CE7301">
            <w:pPr>
              <w:jc w:val="both"/>
              <w:rPr>
                <w:rFonts w:ascii="Times New Roman" w:hAnsi="Times New Roman" w:cs="Times New Roman"/>
                <w:sz w:val="28"/>
                <w:szCs w:val="28"/>
              </w:rPr>
            </w:pPr>
            <w:r w:rsidRPr="00382DF1">
              <w:rPr>
                <w:rFonts w:ascii="Times New Roman" w:hAnsi="Times New Roman" w:cs="Times New Roman"/>
                <w:bCs/>
                <w:sz w:val="28"/>
                <w:szCs w:val="28"/>
              </w:rPr>
              <w:t>Егшатян М.И., Титова Е.Р.</w:t>
            </w:r>
          </w:p>
        </w:tc>
        <w:tc>
          <w:tcPr>
            <w:tcW w:w="2976" w:type="dxa"/>
          </w:tcPr>
          <w:p w:rsidR="00CE7301" w:rsidRPr="00382DF1" w:rsidRDefault="00CE7301" w:rsidP="00CE7301">
            <w:pPr>
              <w:jc w:val="both"/>
              <w:rPr>
                <w:rFonts w:ascii="Times New Roman" w:hAnsi="Times New Roman" w:cs="Times New Roman"/>
                <w:sz w:val="28"/>
                <w:szCs w:val="28"/>
                <w:lang w:val="en-US"/>
              </w:rPr>
            </w:pPr>
            <w:r w:rsidRPr="00382DF1">
              <w:rPr>
                <w:rFonts w:ascii="Times New Roman" w:hAnsi="Times New Roman" w:cs="Times New Roman"/>
                <w:sz w:val="28"/>
                <w:szCs w:val="28"/>
              </w:rPr>
              <w:t xml:space="preserve">Статья «Интерактивные методы обучения» </w:t>
            </w:r>
            <w:r w:rsidRPr="00382DF1">
              <w:rPr>
                <w:rFonts w:ascii="Times New Roman" w:hAnsi="Times New Roman" w:cs="Times New Roman"/>
                <w:sz w:val="28"/>
                <w:szCs w:val="28"/>
                <w:lang w:val="en-US"/>
              </w:rPr>
              <w:t>[35]</w:t>
            </w:r>
          </w:p>
        </w:tc>
        <w:tc>
          <w:tcPr>
            <w:tcW w:w="4530" w:type="dxa"/>
          </w:tcPr>
          <w:p w:rsidR="00CE7301" w:rsidRPr="00382DF1" w:rsidRDefault="00CE7301" w:rsidP="00CE7301">
            <w:pPr>
              <w:jc w:val="both"/>
              <w:rPr>
                <w:rFonts w:ascii="Times New Roman" w:hAnsi="Times New Roman" w:cs="Times New Roman"/>
                <w:sz w:val="28"/>
                <w:szCs w:val="28"/>
              </w:rPr>
            </w:pPr>
            <w:r w:rsidRPr="00382DF1">
              <w:rPr>
                <w:rFonts w:ascii="Times New Roman" w:hAnsi="Times New Roman" w:cs="Times New Roman"/>
                <w:sz w:val="28"/>
                <w:szCs w:val="28"/>
              </w:rPr>
              <w:t>Егшатян и Титова отмечают, что интерактивные методы обучения, такие как дискуссии и обучающие игры, способствуют активному вовлечению студентов в учебный процесс и развитию их самостоятельного мышления.</w:t>
            </w:r>
          </w:p>
        </w:tc>
      </w:tr>
      <w:tr w:rsidR="00CE7301" w:rsidTr="0078258C">
        <w:tc>
          <w:tcPr>
            <w:tcW w:w="2122" w:type="dxa"/>
          </w:tcPr>
          <w:p w:rsidR="00CE7301" w:rsidRPr="00382DF1" w:rsidRDefault="00CE7301" w:rsidP="00CE7301">
            <w:pPr>
              <w:jc w:val="both"/>
              <w:rPr>
                <w:rFonts w:ascii="Times New Roman" w:hAnsi="Times New Roman" w:cs="Times New Roman"/>
                <w:bCs/>
                <w:sz w:val="28"/>
                <w:szCs w:val="28"/>
              </w:rPr>
            </w:pPr>
            <w:r w:rsidRPr="00382DF1">
              <w:rPr>
                <w:rFonts w:ascii="Times New Roman" w:hAnsi="Times New Roman" w:cs="Times New Roman"/>
                <w:sz w:val="28"/>
                <w:szCs w:val="28"/>
              </w:rPr>
              <w:t>Фархшатова И.А.</w:t>
            </w:r>
          </w:p>
        </w:tc>
        <w:tc>
          <w:tcPr>
            <w:tcW w:w="2976" w:type="dxa"/>
          </w:tcPr>
          <w:p w:rsidR="00CE7301" w:rsidRPr="00382DF1" w:rsidRDefault="00CE7301" w:rsidP="00CE7301">
            <w:pPr>
              <w:jc w:val="both"/>
              <w:rPr>
                <w:rFonts w:ascii="Times New Roman" w:hAnsi="Times New Roman" w:cs="Times New Roman"/>
                <w:sz w:val="28"/>
                <w:szCs w:val="28"/>
              </w:rPr>
            </w:pPr>
            <w:r w:rsidRPr="00382DF1">
              <w:rPr>
                <w:rFonts w:ascii="Times New Roman" w:hAnsi="Times New Roman" w:cs="Times New Roman"/>
                <w:sz w:val="28"/>
                <w:szCs w:val="28"/>
              </w:rPr>
              <w:t>Статья «Педагогическая поддержка эмоционального развития детей младшего школьного возраста» [36]</w:t>
            </w:r>
          </w:p>
        </w:tc>
        <w:tc>
          <w:tcPr>
            <w:tcW w:w="4530" w:type="dxa"/>
          </w:tcPr>
          <w:p w:rsidR="00CE7301" w:rsidRPr="00382DF1" w:rsidRDefault="00CE7301" w:rsidP="00CE7301">
            <w:pPr>
              <w:jc w:val="both"/>
              <w:rPr>
                <w:rFonts w:ascii="Times New Roman" w:hAnsi="Times New Roman" w:cs="Times New Roman"/>
                <w:sz w:val="28"/>
                <w:szCs w:val="28"/>
              </w:rPr>
            </w:pPr>
            <w:r w:rsidRPr="00382DF1">
              <w:rPr>
                <w:rFonts w:ascii="Times New Roman" w:hAnsi="Times New Roman" w:cs="Times New Roman"/>
                <w:sz w:val="28"/>
                <w:szCs w:val="28"/>
              </w:rPr>
              <w:t>Фархшатова акцентирует внимание на необходимости педагогической поддержки, направленной на развитие эмоциональной сферы младших школьников, что способствует формированию устойчивой мотивации к обучению и повышению учебной активности.</w:t>
            </w:r>
          </w:p>
        </w:tc>
      </w:tr>
      <w:tr w:rsidR="00CE7301" w:rsidTr="0078258C">
        <w:tc>
          <w:tcPr>
            <w:tcW w:w="2122" w:type="dxa"/>
          </w:tcPr>
          <w:p w:rsidR="00CE7301" w:rsidRPr="00382DF1" w:rsidRDefault="00CE7301" w:rsidP="0078258C">
            <w:pPr>
              <w:jc w:val="both"/>
              <w:rPr>
                <w:rFonts w:ascii="Times New Roman" w:hAnsi="Times New Roman" w:cs="Times New Roman"/>
                <w:sz w:val="28"/>
                <w:szCs w:val="28"/>
              </w:rPr>
            </w:pPr>
            <w:r w:rsidRPr="00382DF1">
              <w:rPr>
                <w:rFonts w:ascii="Times New Roman" w:hAnsi="Times New Roman" w:cs="Times New Roman"/>
                <w:sz w:val="28"/>
                <w:szCs w:val="28"/>
              </w:rPr>
              <w:t>Воронкова И.В., Лагутина Е.Н., Адаскина А.А.</w:t>
            </w:r>
          </w:p>
        </w:tc>
        <w:tc>
          <w:tcPr>
            <w:tcW w:w="2976" w:type="dxa"/>
          </w:tcPr>
          <w:p w:rsidR="00CE7301" w:rsidRPr="00382DF1" w:rsidRDefault="00CE7301" w:rsidP="0078258C">
            <w:pPr>
              <w:jc w:val="both"/>
              <w:rPr>
                <w:rFonts w:ascii="Times New Roman" w:hAnsi="Times New Roman" w:cs="Times New Roman"/>
                <w:sz w:val="28"/>
                <w:szCs w:val="28"/>
              </w:rPr>
            </w:pPr>
            <w:r w:rsidRPr="00382DF1">
              <w:rPr>
                <w:rFonts w:ascii="Times New Roman" w:hAnsi="Times New Roman" w:cs="Times New Roman"/>
                <w:sz w:val="28"/>
                <w:szCs w:val="28"/>
              </w:rPr>
              <w:t>Статья «Особенности учебной мотивации и эмоционального отношения к учению обучающихся 4-х классов (на примере традиционного и развивающего обучения)» [37]</w:t>
            </w:r>
          </w:p>
        </w:tc>
        <w:tc>
          <w:tcPr>
            <w:tcW w:w="4530" w:type="dxa"/>
          </w:tcPr>
          <w:p w:rsidR="00CE7301" w:rsidRPr="00382DF1" w:rsidRDefault="00CE7301" w:rsidP="0078258C">
            <w:pPr>
              <w:jc w:val="both"/>
              <w:rPr>
                <w:rFonts w:ascii="Times New Roman" w:hAnsi="Times New Roman" w:cs="Times New Roman"/>
                <w:sz w:val="28"/>
                <w:szCs w:val="28"/>
              </w:rPr>
            </w:pPr>
            <w:r w:rsidRPr="00382DF1">
              <w:rPr>
                <w:rFonts w:ascii="Times New Roman" w:hAnsi="Times New Roman" w:cs="Times New Roman"/>
                <w:sz w:val="28"/>
                <w:szCs w:val="28"/>
              </w:rPr>
              <w:t>Авторы выявляют взаимосвязь между дидактической системой обучения и уровнем учебной мотивации и эмоционального отношения к учению, подчеркивая значимость выбора подходящей методики для создания стимулирующей образовательной среды.</w:t>
            </w:r>
          </w:p>
        </w:tc>
      </w:tr>
    </w:tbl>
    <w:p w:rsidR="00CE7301" w:rsidRDefault="00CE7301" w:rsidP="0078258C">
      <w:pPr>
        <w:spacing w:after="0" w:line="240" w:lineRule="auto"/>
        <w:ind w:firstLine="851"/>
        <w:jc w:val="both"/>
        <w:rPr>
          <w:rFonts w:ascii="Times New Roman" w:hAnsi="Times New Roman" w:cs="Times New Roman"/>
          <w:sz w:val="28"/>
          <w:szCs w:val="28"/>
        </w:rPr>
      </w:pPr>
    </w:p>
    <w:p w:rsidR="00481756" w:rsidRPr="00382DF1" w:rsidRDefault="00481756" w:rsidP="0078258C">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 xml:space="preserve">Данные исследования подчеркивают важность интеграции эмоциональной поддержки, интерактивных методов и использования реальных кейсов в образовательном процессе для создания стимулирующей среды, </w:t>
      </w:r>
      <w:r w:rsidRPr="00382DF1">
        <w:rPr>
          <w:rFonts w:ascii="Times New Roman" w:hAnsi="Times New Roman" w:cs="Times New Roman"/>
          <w:sz w:val="28"/>
          <w:szCs w:val="28"/>
        </w:rPr>
        <w:lastRenderedPageBreak/>
        <w:t>способствующей повышению мотивации, вовлеченности и успешности студентов.</w:t>
      </w:r>
    </w:p>
    <w:p w:rsidR="00481756" w:rsidRPr="00382DF1" w:rsidRDefault="00481756" w:rsidP="0078258C">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b/>
          <w:bCs/>
          <w:sz w:val="28"/>
          <w:szCs w:val="28"/>
        </w:rPr>
        <w:t>Методическая организация упражнений</w:t>
      </w:r>
      <w:r w:rsidRPr="00382DF1">
        <w:rPr>
          <w:rFonts w:ascii="Times New Roman" w:hAnsi="Times New Roman" w:cs="Times New Roman"/>
          <w:sz w:val="28"/>
          <w:szCs w:val="28"/>
        </w:rPr>
        <w:t xml:space="preserve"> в образовательном процессе играет ключевую роль в обеспечении эффективного освоения материала и формировании профессиональных компетенций у студентов. Она предполагает продуманное сочетание различных подходов, таких как постепенное усложнение заданий, практическая направленность и интеграция стохастических элементов. Эти аспекты являются неотъемлемыми частями образовательного процесса, особенно в дисциплинах, связанных с вероятностными методами и теорией игр.</w:t>
      </w:r>
    </w:p>
    <w:p w:rsidR="00481756" w:rsidRPr="00382DF1" w:rsidRDefault="00481756" w:rsidP="0078258C">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Методические подходы к организации упражнений в процессе обучения стохастике и теории игр активно исследовались многими учёными.</w:t>
      </w:r>
    </w:p>
    <w:p w:rsidR="00481756" w:rsidRDefault="00481756" w:rsidP="0078258C">
      <w:pPr>
        <w:spacing w:after="0" w:line="240" w:lineRule="auto"/>
        <w:ind w:firstLine="851"/>
        <w:jc w:val="both"/>
        <w:rPr>
          <w:rFonts w:ascii="Times New Roman" w:hAnsi="Times New Roman" w:cs="Times New Roman"/>
          <w:sz w:val="28"/>
          <w:szCs w:val="28"/>
        </w:rPr>
      </w:pPr>
    </w:p>
    <w:p w:rsidR="0078258C" w:rsidRDefault="0078258C" w:rsidP="0078258C">
      <w:pPr>
        <w:spacing w:after="0" w:line="240" w:lineRule="auto"/>
        <w:jc w:val="both"/>
        <w:rPr>
          <w:rFonts w:ascii="Times New Roman" w:hAnsi="Times New Roman" w:cs="Times New Roman"/>
          <w:sz w:val="28"/>
          <w:szCs w:val="28"/>
        </w:rPr>
      </w:pPr>
      <w:r w:rsidRPr="001118B7">
        <w:rPr>
          <w:rFonts w:ascii="Times New Roman" w:hAnsi="Times New Roman" w:cs="Times New Roman"/>
          <w:sz w:val="28"/>
          <w:szCs w:val="28"/>
        </w:rPr>
        <w:t xml:space="preserve">Таблица </w:t>
      </w:r>
      <w:r w:rsidR="009814BF">
        <w:rPr>
          <w:rFonts w:ascii="Times New Roman" w:hAnsi="Times New Roman" w:cs="Times New Roman"/>
          <w:sz w:val="28"/>
          <w:szCs w:val="28"/>
        </w:rPr>
        <w:t>4</w:t>
      </w:r>
      <w:r w:rsidRPr="001118B7">
        <w:rPr>
          <w:rFonts w:ascii="Times New Roman" w:hAnsi="Times New Roman" w:cs="Times New Roman"/>
          <w:sz w:val="28"/>
          <w:szCs w:val="28"/>
        </w:rPr>
        <w:t xml:space="preserve"> – Анализ научных исследований по </w:t>
      </w:r>
      <w:r w:rsidRPr="009814BF">
        <w:rPr>
          <w:rFonts w:ascii="Times New Roman" w:hAnsi="Times New Roman" w:cs="Times New Roman"/>
          <w:bCs/>
          <w:sz w:val="28"/>
          <w:szCs w:val="28"/>
        </w:rPr>
        <w:t>м</w:t>
      </w:r>
      <w:r w:rsidR="009814BF" w:rsidRPr="009814BF">
        <w:rPr>
          <w:rFonts w:ascii="Times New Roman" w:hAnsi="Times New Roman" w:cs="Times New Roman"/>
          <w:bCs/>
          <w:sz w:val="28"/>
          <w:szCs w:val="28"/>
        </w:rPr>
        <w:t>етодической организации</w:t>
      </w:r>
      <w:r w:rsidRPr="009814BF">
        <w:rPr>
          <w:rFonts w:ascii="Times New Roman" w:hAnsi="Times New Roman" w:cs="Times New Roman"/>
          <w:bCs/>
          <w:sz w:val="28"/>
          <w:szCs w:val="28"/>
        </w:rPr>
        <w:t xml:space="preserve"> упражнений</w:t>
      </w:r>
      <w:r w:rsidRPr="00382DF1">
        <w:rPr>
          <w:rFonts w:ascii="Times New Roman" w:hAnsi="Times New Roman" w:cs="Times New Roman"/>
          <w:sz w:val="28"/>
          <w:szCs w:val="28"/>
        </w:rPr>
        <w:t xml:space="preserve"> в образовательном процессе</w:t>
      </w:r>
    </w:p>
    <w:p w:rsidR="00F177F5" w:rsidRDefault="00F177F5" w:rsidP="0078258C">
      <w:pPr>
        <w:spacing w:after="0" w:line="240" w:lineRule="auto"/>
        <w:jc w:val="both"/>
        <w:rPr>
          <w:rFonts w:ascii="Times New Roman" w:hAnsi="Times New Roman" w:cs="Times New Roman"/>
          <w:sz w:val="28"/>
          <w:szCs w:val="28"/>
        </w:rPr>
      </w:pPr>
    </w:p>
    <w:tbl>
      <w:tblPr>
        <w:tblStyle w:val="a3"/>
        <w:tblW w:w="9634" w:type="dxa"/>
        <w:tblLook w:val="04A0" w:firstRow="1" w:lastRow="0" w:firstColumn="1" w:lastColumn="0" w:noHBand="0" w:noVBand="1"/>
      </w:tblPr>
      <w:tblGrid>
        <w:gridCol w:w="2298"/>
        <w:gridCol w:w="2838"/>
        <w:gridCol w:w="4498"/>
      </w:tblGrid>
      <w:tr w:rsidR="00481756" w:rsidRPr="00382DF1" w:rsidTr="009814BF">
        <w:tc>
          <w:tcPr>
            <w:tcW w:w="0" w:type="auto"/>
            <w:hideMark/>
          </w:tcPr>
          <w:p w:rsidR="00481756" w:rsidRPr="00382DF1" w:rsidRDefault="00481756" w:rsidP="0078258C">
            <w:pPr>
              <w:jc w:val="both"/>
              <w:rPr>
                <w:rFonts w:ascii="Times New Roman" w:hAnsi="Times New Roman" w:cs="Times New Roman"/>
                <w:b/>
                <w:bCs/>
                <w:sz w:val="28"/>
                <w:szCs w:val="28"/>
              </w:rPr>
            </w:pPr>
            <w:r w:rsidRPr="00382DF1">
              <w:rPr>
                <w:rFonts w:ascii="Times New Roman" w:hAnsi="Times New Roman" w:cs="Times New Roman"/>
                <w:b/>
                <w:bCs/>
                <w:sz w:val="28"/>
                <w:szCs w:val="28"/>
              </w:rPr>
              <w:t>Исследователь</w:t>
            </w:r>
          </w:p>
        </w:tc>
        <w:tc>
          <w:tcPr>
            <w:tcW w:w="2838" w:type="dxa"/>
            <w:hideMark/>
          </w:tcPr>
          <w:p w:rsidR="00481756" w:rsidRPr="00382DF1" w:rsidRDefault="00481756" w:rsidP="0078258C">
            <w:pPr>
              <w:jc w:val="both"/>
              <w:rPr>
                <w:rFonts w:ascii="Times New Roman" w:hAnsi="Times New Roman" w:cs="Times New Roman"/>
                <w:b/>
                <w:bCs/>
                <w:sz w:val="28"/>
                <w:szCs w:val="28"/>
                <w:lang w:val="en-US"/>
              </w:rPr>
            </w:pPr>
            <w:r w:rsidRPr="00382DF1">
              <w:rPr>
                <w:rFonts w:ascii="Times New Roman" w:hAnsi="Times New Roman" w:cs="Times New Roman"/>
                <w:b/>
                <w:bCs/>
                <w:sz w:val="28"/>
                <w:szCs w:val="28"/>
              </w:rPr>
              <w:t>Труды</w:t>
            </w:r>
          </w:p>
        </w:tc>
        <w:tc>
          <w:tcPr>
            <w:tcW w:w="4498" w:type="dxa"/>
            <w:hideMark/>
          </w:tcPr>
          <w:p w:rsidR="00481756" w:rsidRPr="00382DF1" w:rsidRDefault="00481756" w:rsidP="0078258C">
            <w:pPr>
              <w:jc w:val="both"/>
              <w:rPr>
                <w:rFonts w:ascii="Times New Roman" w:hAnsi="Times New Roman" w:cs="Times New Roman"/>
                <w:b/>
                <w:bCs/>
                <w:sz w:val="28"/>
                <w:szCs w:val="28"/>
              </w:rPr>
            </w:pPr>
            <w:r w:rsidRPr="00382DF1">
              <w:rPr>
                <w:rFonts w:ascii="Times New Roman" w:hAnsi="Times New Roman" w:cs="Times New Roman"/>
                <w:b/>
                <w:bCs/>
                <w:sz w:val="28"/>
                <w:szCs w:val="28"/>
              </w:rPr>
              <w:t>Анализ вклада</w:t>
            </w:r>
          </w:p>
        </w:tc>
      </w:tr>
      <w:tr w:rsidR="00481756" w:rsidRPr="00382DF1" w:rsidTr="009814BF">
        <w:tc>
          <w:tcPr>
            <w:tcW w:w="0" w:type="auto"/>
            <w:hideMark/>
          </w:tcPr>
          <w:p w:rsidR="00481756" w:rsidRPr="00382DF1" w:rsidRDefault="00481756" w:rsidP="0078258C">
            <w:pPr>
              <w:jc w:val="both"/>
              <w:rPr>
                <w:rFonts w:ascii="Times New Roman" w:hAnsi="Times New Roman" w:cs="Times New Roman"/>
                <w:sz w:val="28"/>
                <w:szCs w:val="28"/>
              </w:rPr>
            </w:pPr>
            <w:r w:rsidRPr="00382DF1">
              <w:rPr>
                <w:rFonts w:ascii="Times New Roman" w:hAnsi="Times New Roman" w:cs="Times New Roman"/>
                <w:bCs/>
                <w:sz w:val="28"/>
                <w:szCs w:val="28"/>
              </w:rPr>
              <w:t>С.В. Щербатых</w:t>
            </w:r>
          </w:p>
        </w:tc>
        <w:tc>
          <w:tcPr>
            <w:tcW w:w="2838" w:type="dxa"/>
            <w:hideMark/>
          </w:tcPr>
          <w:p w:rsidR="00481756" w:rsidRPr="00382DF1" w:rsidRDefault="00481756" w:rsidP="0078258C">
            <w:pPr>
              <w:jc w:val="both"/>
              <w:rPr>
                <w:rFonts w:ascii="Times New Roman" w:hAnsi="Times New Roman" w:cs="Times New Roman"/>
                <w:sz w:val="28"/>
                <w:szCs w:val="28"/>
              </w:rPr>
            </w:pPr>
            <w:r w:rsidRPr="00382DF1">
              <w:rPr>
                <w:rFonts w:ascii="Times New Roman" w:hAnsi="Times New Roman" w:cs="Times New Roman"/>
                <w:sz w:val="28"/>
                <w:szCs w:val="28"/>
              </w:rPr>
              <w:t>Диссертация «Прикладная направленность обучения стохастике в старших классах средней школы» [38]</w:t>
            </w:r>
          </w:p>
        </w:tc>
        <w:tc>
          <w:tcPr>
            <w:tcW w:w="4498" w:type="dxa"/>
            <w:hideMark/>
          </w:tcPr>
          <w:p w:rsidR="00481756" w:rsidRPr="00382DF1" w:rsidRDefault="00481756" w:rsidP="0078258C">
            <w:pPr>
              <w:jc w:val="both"/>
              <w:rPr>
                <w:rFonts w:ascii="Times New Roman" w:hAnsi="Times New Roman" w:cs="Times New Roman"/>
                <w:sz w:val="28"/>
                <w:szCs w:val="28"/>
              </w:rPr>
            </w:pPr>
            <w:r w:rsidRPr="00382DF1">
              <w:rPr>
                <w:rFonts w:ascii="Times New Roman" w:hAnsi="Times New Roman" w:cs="Times New Roman"/>
                <w:sz w:val="28"/>
                <w:szCs w:val="28"/>
              </w:rPr>
              <w:t>Щербатых подчеркивает необходимость постепенного усложнения задач и их практической направленности, что способствует развитию вероятностного мышления и подготовке учащихся к реальным жизненным ситуациям.</w:t>
            </w:r>
          </w:p>
        </w:tc>
      </w:tr>
      <w:tr w:rsidR="00481756" w:rsidRPr="00382DF1" w:rsidTr="009814BF">
        <w:tc>
          <w:tcPr>
            <w:tcW w:w="0" w:type="auto"/>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bCs/>
                <w:sz w:val="28"/>
                <w:szCs w:val="28"/>
              </w:rPr>
              <w:t>Е.Н. Эрентраут</w:t>
            </w:r>
          </w:p>
        </w:tc>
        <w:tc>
          <w:tcPr>
            <w:tcW w:w="283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Диссертация «Практико-ориентированные задачи как средство реализации прикладной направленности курса математики в профильных школах» [39]</w:t>
            </w:r>
          </w:p>
        </w:tc>
        <w:tc>
          <w:tcPr>
            <w:tcW w:w="449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Эрентраут предлагает методику постепенного усложнения задач и подчеркивает их практическую направленность, что способствует формированию у учащихся навыков самостоятельной деятельности и применения математических знаний на практике.</w:t>
            </w:r>
          </w:p>
        </w:tc>
      </w:tr>
      <w:tr w:rsidR="00481756" w:rsidRPr="00382DF1" w:rsidTr="009814BF">
        <w:tc>
          <w:tcPr>
            <w:tcW w:w="0" w:type="auto"/>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bCs/>
                <w:sz w:val="28"/>
                <w:szCs w:val="28"/>
              </w:rPr>
              <w:t>Л.А. Терехова</w:t>
            </w:r>
          </w:p>
        </w:tc>
        <w:tc>
          <w:tcPr>
            <w:tcW w:w="283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«Элементы стохастики как средство усиления внутрипредметных связей школьного курса математики» [40]</w:t>
            </w:r>
          </w:p>
        </w:tc>
        <w:tc>
          <w:tcPr>
            <w:tcW w:w="449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Терехова отмечает, что включение стохастических элементов в задачи способствует развитию у учащихся навыков работы в условиях неопределенности и пониманию взаимосвязи различных разделов математики.</w:t>
            </w:r>
          </w:p>
        </w:tc>
      </w:tr>
      <w:tr w:rsidR="00481756" w:rsidRPr="00382DF1" w:rsidTr="009814BF">
        <w:tc>
          <w:tcPr>
            <w:tcW w:w="0" w:type="auto"/>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bCs/>
                <w:sz w:val="28"/>
                <w:szCs w:val="28"/>
              </w:rPr>
              <w:t>Л.М. Наймушина</w:t>
            </w:r>
          </w:p>
        </w:tc>
        <w:tc>
          <w:tcPr>
            <w:tcW w:w="283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«Социально-эмоциональное обучение как новое </w:t>
            </w:r>
            <w:r w:rsidRPr="00382DF1">
              <w:rPr>
                <w:rFonts w:ascii="Times New Roman" w:hAnsi="Times New Roman" w:cs="Times New Roman"/>
                <w:sz w:val="28"/>
                <w:szCs w:val="28"/>
              </w:rPr>
              <w:lastRenderedPageBreak/>
              <w:t>направление развития педагогической науки и практики» [41]</w:t>
            </w:r>
          </w:p>
        </w:tc>
        <w:tc>
          <w:tcPr>
            <w:tcW w:w="449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lastRenderedPageBreak/>
              <w:t xml:space="preserve">Наймушина подчеркивает значимость социально-эмоционального обучения, </w:t>
            </w:r>
            <w:r w:rsidRPr="00382DF1">
              <w:rPr>
                <w:rFonts w:ascii="Times New Roman" w:hAnsi="Times New Roman" w:cs="Times New Roman"/>
                <w:sz w:val="28"/>
                <w:szCs w:val="28"/>
              </w:rPr>
              <w:lastRenderedPageBreak/>
              <w:t>способствующего созданию поддерживающей образовательной среды, что важно при организации упражнений с постепенным усложнением и стохастическими элементами.</w:t>
            </w:r>
          </w:p>
        </w:tc>
      </w:tr>
    </w:tbl>
    <w:p w:rsidR="00481756" w:rsidRPr="00382DF1" w:rsidRDefault="00481756" w:rsidP="009814BF">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lastRenderedPageBreak/>
        <w:t>Анализ подчеркивает важность методической организации упражнений с учетом постепенного усложнения, практической направленности и включения стохастических элементов для эффективного обучения стохастике и теории игр.</w:t>
      </w:r>
    </w:p>
    <w:p w:rsidR="00481756" w:rsidRPr="00382DF1" w:rsidRDefault="00481756" w:rsidP="009814BF">
      <w:pPr>
        <w:pStyle w:val="a4"/>
        <w:spacing w:before="0" w:beforeAutospacing="0" w:after="0" w:afterAutospacing="0"/>
        <w:ind w:firstLine="851"/>
        <w:jc w:val="both"/>
        <w:rPr>
          <w:sz w:val="28"/>
          <w:szCs w:val="28"/>
        </w:rPr>
      </w:pPr>
      <w:r w:rsidRPr="00382DF1">
        <w:rPr>
          <w:rStyle w:val="a5"/>
          <w:sz w:val="28"/>
          <w:szCs w:val="28"/>
        </w:rPr>
        <w:t>Профессиональная компетентность преподавателя</w:t>
      </w:r>
      <w:r w:rsidRPr="00382DF1">
        <w:rPr>
          <w:sz w:val="28"/>
          <w:szCs w:val="28"/>
        </w:rPr>
        <w:t xml:space="preserve"> является важной частью в успешной реализации образовательного процесса, особенно в таких сложных областях, как стохастика и теория игр. Это многоаспектное понятие, которое включает глубокие знания предмета, навыки модерирования учебного процесса и способность предоставлять качественную обратную связь. Эти элементы формируют основу для создания эффективной и стимулирующей образовательной среды, способствующей развитию профессиональных и личностных качеств студентов.</w:t>
      </w:r>
    </w:p>
    <w:p w:rsidR="00481756" w:rsidRPr="00382DF1" w:rsidRDefault="00481756" w:rsidP="009814BF">
      <w:pPr>
        <w:pStyle w:val="a4"/>
        <w:spacing w:before="0" w:beforeAutospacing="0" w:after="0" w:afterAutospacing="0"/>
        <w:ind w:firstLine="851"/>
        <w:jc w:val="both"/>
        <w:rPr>
          <w:sz w:val="28"/>
          <w:szCs w:val="28"/>
        </w:rPr>
      </w:pPr>
      <w:r w:rsidRPr="00382DF1">
        <w:rPr>
          <w:sz w:val="28"/>
          <w:szCs w:val="28"/>
        </w:rPr>
        <w:t>Профессиональная компетентность преподавателя, особенно в преподавании сложных дисциплин, таких как стохастика и теория игр, представляет собой актуальный объект исследований многих учёных.</w:t>
      </w:r>
    </w:p>
    <w:p w:rsidR="00481756" w:rsidRDefault="00481756" w:rsidP="009814BF">
      <w:pPr>
        <w:pStyle w:val="a4"/>
        <w:spacing w:before="0" w:beforeAutospacing="0" w:after="0" w:afterAutospacing="0"/>
        <w:ind w:firstLine="851"/>
        <w:jc w:val="both"/>
        <w:rPr>
          <w:sz w:val="28"/>
          <w:szCs w:val="28"/>
        </w:rPr>
      </w:pPr>
    </w:p>
    <w:p w:rsidR="009814BF" w:rsidRDefault="009814BF" w:rsidP="009814BF">
      <w:pPr>
        <w:spacing w:after="0" w:line="240" w:lineRule="auto"/>
        <w:jc w:val="both"/>
        <w:rPr>
          <w:rStyle w:val="a5"/>
          <w:rFonts w:ascii="Times New Roman" w:hAnsi="Times New Roman" w:cs="Times New Roman"/>
          <w:b w:val="0"/>
          <w:sz w:val="28"/>
          <w:szCs w:val="28"/>
        </w:rPr>
      </w:pPr>
      <w:r w:rsidRPr="00912EBB">
        <w:rPr>
          <w:rFonts w:ascii="Times New Roman" w:hAnsi="Times New Roman" w:cs="Times New Roman"/>
          <w:sz w:val="28"/>
          <w:szCs w:val="28"/>
        </w:rPr>
        <w:t xml:space="preserve">Таблица </w:t>
      </w:r>
      <w:r w:rsidR="00912EBB" w:rsidRPr="00912EBB">
        <w:rPr>
          <w:rFonts w:ascii="Times New Roman" w:hAnsi="Times New Roman" w:cs="Times New Roman"/>
          <w:sz w:val="28"/>
          <w:szCs w:val="28"/>
        </w:rPr>
        <w:t>5</w:t>
      </w:r>
      <w:r w:rsidRPr="00912EBB">
        <w:rPr>
          <w:rFonts w:ascii="Times New Roman" w:hAnsi="Times New Roman" w:cs="Times New Roman"/>
          <w:sz w:val="28"/>
          <w:szCs w:val="28"/>
        </w:rPr>
        <w:t xml:space="preserve"> – Анализ научных исследований по вопросам п</w:t>
      </w:r>
      <w:r w:rsidRPr="00912EBB">
        <w:rPr>
          <w:rStyle w:val="a5"/>
          <w:rFonts w:ascii="Times New Roman" w:hAnsi="Times New Roman" w:cs="Times New Roman"/>
          <w:b w:val="0"/>
          <w:sz w:val="28"/>
          <w:szCs w:val="28"/>
        </w:rPr>
        <w:t>рофессиональной</w:t>
      </w:r>
      <w:r w:rsidRPr="00912EBB">
        <w:rPr>
          <w:rStyle w:val="a5"/>
          <w:rFonts w:ascii="Times New Roman" w:hAnsi="Times New Roman" w:cs="Times New Roman"/>
          <w:sz w:val="28"/>
          <w:szCs w:val="28"/>
        </w:rPr>
        <w:t xml:space="preserve"> </w:t>
      </w:r>
      <w:r w:rsidRPr="00912EBB">
        <w:rPr>
          <w:rStyle w:val="a5"/>
          <w:rFonts w:ascii="Times New Roman" w:hAnsi="Times New Roman" w:cs="Times New Roman"/>
          <w:b w:val="0"/>
          <w:sz w:val="28"/>
          <w:szCs w:val="28"/>
        </w:rPr>
        <w:t>компет</w:t>
      </w:r>
      <w:r w:rsidR="00912EBB" w:rsidRPr="00912EBB">
        <w:rPr>
          <w:rStyle w:val="a5"/>
          <w:rFonts w:ascii="Times New Roman" w:hAnsi="Times New Roman" w:cs="Times New Roman"/>
          <w:b w:val="0"/>
          <w:sz w:val="28"/>
          <w:szCs w:val="28"/>
        </w:rPr>
        <w:t>ентности</w:t>
      </w:r>
      <w:r w:rsidRPr="00912EBB">
        <w:rPr>
          <w:rStyle w:val="a5"/>
          <w:rFonts w:ascii="Times New Roman" w:hAnsi="Times New Roman" w:cs="Times New Roman"/>
          <w:b w:val="0"/>
          <w:sz w:val="28"/>
          <w:szCs w:val="28"/>
        </w:rPr>
        <w:t xml:space="preserve"> преподавателя</w:t>
      </w:r>
    </w:p>
    <w:p w:rsidR="00F177F5" w:rsidRPr="00912EBB" w:rsidRDefault="00F177F5" w:rsidP="009814BF">
      <w:pPr>
        <w:spacing w:after="0" w:line="240"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122"/>
        <w:gridCol w:w="3118"/>
        <w:gridCol w:w="4388"/>
      </w:tblGrid>
      <w:tr w:rsidR="00481756" w:rsidRPr="00382DF1" w:rsidTr="00912EBB">
        <w:tc>
          <w:tcPr>
            <w:tcW w:w="212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Исследователь</w:t>
            </w:r>
          </w:p>
        </w:tc>
        <w:tc>
          <w:tcPr>
            <w:tcW w:w="3118"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 xml:space="preserve">Труды </w:t>
            </w:r>
          </w:p>
        </w:tc>
        <w:tc>
          <w:tcPr>
            <w:tcW w:w="4388"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Анализ вклада</w:t>
            </w:r>
          </w:p>
        </w:tc>
      </w:tr>
      <w:tr w:rsidR="00481756" w:rsidRPr="00382DF1" w:rsidTr="00912EBB">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Д.А. Власов</w:t>
            </w:r>
          </w:p>
        </w:tc>
        <w:tc>
          <w:tcPr>
            <w:tcW w:w="311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«Wolfram-технологии в обучении теории игр и теоретико-игровом моделировании социально-экономических ситуаций» [42] </w:t>
            </w:r>
          </w:p>
        </w:tc>
        <w:tc>
          <w:tcPr>
            <w:tcW w:w="438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Власов акцентирует внимание на важности интеграции современных технологий в образовательный процесс, что требует от преподавателя не только глубоких знаний предмета, но и умения применять их в различных профессиональных областях.</w:t>
            </w:r>
          </w:p>
        </w:tc>
      </w:tr>
      <w:tr w:rsidR="00481756" w:rsidRPr="00382DF1" w:rsidTr="00912EBB">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Е.О. Смирнова</w:t>
            </w:r>
          </w:p>
        </w:tc>
        <w:tc>
          <w:tcPr>
            <w:tcW w:w="3118" w:type="dxa"/>
            <w:hideMark/>
          </w:tcPr>
          <w:p w:rsidR="00481756" w:rsidRPr="00382DF1" w:rsidRDefault="00481756" w:rsidP="00382DF1">
            <w:pPr>
              <w:jc w:val="both"/>
              <w:rPr>
                <w:rFonts w:ascii="Times New Roman" w:hAnsi="Times New Roman" w:cs="Times New Roman"/>
                <w:sz w:val="28"/>
                <w:szCs w:val="28"/>
                <w:lang w:val="en-US"/>
              </w:rPr>
            </w:pPr>
            <w:r w:rsidRPr="00382DF1">
              <w:rPr>
                <w:rFonts w:ascii="Times New Roman" w:hAnsi="Times New Roman" w:cs="Times New Roman"/>
                <w:sz w:val="28"/>
                <w:szCs w:val="28"/>
              </w:rPr>
              <w:t xml:space="preserve">Статья «Игровая компетентность воспитателя» </w:t>
            </w:r>
            <w:r w:rsidRPr="00382DF1">
              <w:rPr>
                <w:rFonts w:ascii="Times New Roman" w:hAnsi="Times New Roman" w:cs="Times New Roman"/>
                <w:sz w:val="28"/>
                <w:szCs w:val="28"/>
                <w:lang w:val="en-US"/>
              </w:rPr>
              <w:t>[4</w:t>
            </w:r>
            <w:r w:rsidRPr="00382DF1">
              <w:rPr>
                <w:rFonts w:ascii="Times New Roman" w:hAnsi="Times New Roman" w:cs="Times New Roman"/>
                <w:sz w:val="28"/>
                <w:szCs w:val="28"/>
              </w:rPr>
              <w:t>3</w:t>
            </w:r>
            <w:r w:rsidRPr="00382DF1">
              <w:rPr>
                <w:rFonts w:ascii="Times New Roman" w:hAnsi="Times New Roman" w:cs="Times New Roman"/>
                <w:sz w:val="28"/>
                <w:szCs w:val="28"/>
                <w:lang w:val="en-US"/>
              </w:rPr>
              <w:t>]</w:t>
            </w:r>
          </w:p>
        </w:tc>
        <w:tc>
          <w:tcPr>
            <w:tcW w:w="438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Смирнова подчеркивает значимость игровой компетентности педагога, что отражает его способность эффективно использовать игровые методы в обучении, стимулируя студентов к активному участию и самостоятельному поиску решений.</w:t>
            </w:r>
          </w:p>
        </w:tc>
      </w:tr>
      <w:tr w:rsidR="00481756" w:rsidRPr="00382DF1" w:rsidTr="00912EBB">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М.В. Фоминых</w:t>
            </w:r>
          </w:p>
        </w:tc>
        <w:tc>
          <w:tcPr>
            <w:tcW w:w="311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«Инновационные </w:t>
            </w:r>
            <w:r w:rsidRPr="00382DF1">
              <w:rPr>
                <w:rFonts w:ascii="Times New Roman" w:hAnsi="Times New Roman" w:cs="Times New Roman"/>
                <w:sz w:val="28"/>
                <w:szCs w:val="28"/>
              </w:rPr>
              <w:lastRenderedPageBreak/>
              <w:t xml:space="preserve">технологии в педагогике: игровое моделирование» [44] </w:t>
            </w:r>
          </w:p>
        </w:tc>
        <w:tc>
          <w:tcPr>
            <w:tcW w:w="4388"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lastRenderedPageBreak/>
              <w:t xml:space="preserve">Фоминых отмечает, что применение игровых технологий в </w:t>
            </w:r>
            <w:r w:rsidRPr="00382DF1">
              <w:rPr>
                <w:rFonts w:ascii="Times New Roman" w:hAnsi="Times New Roman" w:cs="Times New Roman"/>
                <w:sz w:val="28"/>
                <w:szCs w:val="28"/>
              </w:rPr>
              <w:lastRenderedPageBreak/>
              <w:t>обучении требует от преподавателя навыков модерирования и способности направлять дискуссии, стимулируя студентов к поиску решений и обоснованию своего выбора.</w:t>
            </w:r>
          </w:p>
        </w:tc>
      </w:tr>
    </w:tbl>
    <w:p w:rsidR="00912EBB" w:rsidRDefault="00912EBB" w:rsidP="00481756">
      <w:pPr>
        <w:pStyle w:val="a4"/>
        <w:spacing w:before="0" w:beforeAutospacing="0" w:after="0" w:afterAutospacing="0"/>
        <w:ind w:firstLine="851"/>
        <w:jc w:val="both"/>
        <w:rPr>
          <w:sz w:val="28"/>
          <w:szCs w:val="28"/>
        </w:rPr>
      </w:pPr>
      <w:r>
        <w:rPr>
          <w:sz w:val="28"/>
          <w:szCs w:val="28"/>
        </w:rPr>
        <w:lastRenderedPageBreak/>
        <w:t>Продолжение таблицы 5</w:t>
      </w:r>
    </w:p>
    <w:p w:rsidR="00F177F5" w:rsidRDefault="00F177F5" w:rsidP="00481756">
      <w:pPr>
        <w:pStyle w:val="a4"/>
        <w:spacing w:before="0" w:beforeAutospacing="0" w:after="0" w:afterAutospacing="0"/>
        <w:ind w:firstLine="851"/>
        <w:jc w:val="both"/>
        <w:rPr>
          <w:sz w:val="28"/>
          <w:szCs w:val="28"/>
        </w:rPr>
      </w:pPr>
    </w:p>
    <w:tbl>
      <w:tblPr>
        <w:tblStyle w:val="a3"/>
        <w:tblW w:w="0" w:type="auto"/>
        <w:tblLook w:val="04A0" w:firstRow="1" w:lastRow="0" w:firstColumn="1" w:lastColumn="0" w:noHBand="0" w:noVBand="1"/>
      </w:tblPr>
      <w:tblGrid>
        <w:gridCol w:w="2122"/>
        <w:gridCol w:w="3260"/>
        <w:gridCol w:w="4246"/>
      </w:tblGrid>
      <w:tr w:rsidR="00912EBB" w:rsidTr="00F177F5">
        <w:tc>
          <w:tcPr>
            <w:tcW w:w="2122" w:type="dxa"/>
          </w:tcPr>
          <w:p w:rsidR="00912EBB" w:rsidRPr="00382DF1" w:rsidRDefault="00912EBB" w:rsidP="00912EBB">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Н.А. Шаманова, Т.Г. Ханова, А.С. Дорогина</w:t>
            </w:r>
          </w:p>
        </w:tc>
        <w:tc>
          <w:tcPr>
            <w:tcW w:w="3260" w:type="dxa"/>
          </w:tcPr>
          <w:p w:rsidR="00912EBB" w:rsidRPr="00382DF1" w:rsidRDefault="00912EBB" w:rsidP="00912EBB">
            <w:pPr>
              <w:jc w:val="both"/>
              <w:rPr>
                <w:rFonts w:ascii="Times New Roman" w:hAnsi="Times New Roman" w:cs="Times New Roman"/>
                <w:sz w:val="28"/>
                <w:szCs w:val="28"/>
              </w:rPr>
            </w:pPr>
            <w:r w:rsidRPr="00382DF1">
              <w:rPr>
                <w:rFonts w:ascii="Times New Roman" w:hAnsi="Times New Roman" w:cs="Times New Roman"/>
                <w:sz w:val="28"/>
                <w:szCs w:val="28"/>
              </w:rPr>
              <w:t>Статья «Психолого-педагогические основы технологии формирования игровой компетентности педагогов ДОО в условиях дополнительного профессионального образования» [45]</w:t>
            </w:r>
          </w:p>
        </w:tc>
        <w:tc>
          <w:tcPr>
            <w:tcW w:w="4246" w:type="dxa"/>
          </w:tcPr>
          <w:p w:rsidR="00912EBB" w:rsidRPr="00382DF1" w:rsidRDefault="00912EBB" w:rsidP="00912EBB">
            <w:pPr>
              <w:jc w:val="both"/>
              <w:rPr>
                <w:rFonts w:ascii="Times New Roman" w:hAnsi="Times New Roman" w:cs="Times New Roman"/>
                <w:sz w:val="28"/>
                <w:szCs w:val="28"/>
              </w:rPr>
            </w:pPr>
            <w:r w:rsidRPr="00382DF1">
              <w:rPr>
                <w:rFonts w:ascii="Times New Roman" w:hAnsi="Times New Roman" w:cs="Times New Roman"/>
                <w:sz w:val="28"/>
                <w:szCs w:val="28"/>
              </w:rPr>
              <w:t>Авторы подчеркивают, что формирование игровой компетентности у преподавателей способствует созданию поддерживающей образовательной среды, где обратная связь и навыки модерирования играют ключевую роль в обучении студентов.</w:t>
            </w:r>
          </w:p>
        </w:tc>
      </w:tr>
    </w:tbl>
    <w:p w:rsidR="00912EBB" w:rsidRDefault="00912EBB" w:rsidP="00481756">
      <w:pPr>
        <w:pStyle w:val="a4"/>
        <w:spacing w:before="0" w:beforeAutospacing="0" w:after="0" w:afterAutospacing="0"/>
        <w:ind w:firstLine="851"/>
        <w:jc w:val="both"/>
        <w:rPr>
          <w:sz w:val="28"/>
          <w:szCs w:val="28"/>
        </w:rPr>
      </w:pP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Анализ данных исследований подчеркивает, что профессиональная компетентность преподавателя, включающая глубокие знания предмета, навыки модерирования и способность предоставлять качественную обратную связь, является ключевым фактором в эффективном обучении студентов, особенно в таких сложных областях, как стохастика и теория игр.</w:t>
      </w:r>
    </w:p>
    <w:p w:rsidR="00481756" w:rsidRPr="00382DF1" w:rsidRDefault="00481756" w:rsidP="00481756">
      <w:pPr>
        <w:pStyle w:val="a4"/>
        <w:spacing w:before="0" w:beforeAutospacing="0" w:after="0" w:afterAutospacing="0"/>
        <w:ind w:firstLine="851"/>
        <w:jc w:val="both"/>
        <w:rPr>
          <w:sz w:val="28"/>
          <w:szCs w:val="28"/>
        </w:rPr>
      </w:pPr>
      <w:r w:rsidRPr="00382DF1">
        <w:rPr>
          <w:rStyle w:val="a5"/>
          <w:sz w:val="28"/>
          <w:szCs w:val="28"/>
        </w:rPr>
        <w:t>Технологическое обеспечение образовательного процесса</w:t>
      </w:r>
      <w:r w:rsidRPr="00382DF1">
        <w:rPr>
          <w:sz w:val="28"/>
          <w:szCs w:val="28"/>
        </w:rPr>
        <w:t xml:space="preserve"> является важным аспектом в современной педагогике, особенно при обучении сложным дисциплинам, таким как стохастика и теория игр. Современные технологии предоставляют инструменты, которые делают образовательный процесс более интерактивным, доступным и адаптированным к потребностям студентов. Использование таких технологий позволяет повысить качество обучения, вовлеченность студентов и их готовность к решению реальных профессиональных задач. Ниже в таблице представлены исследования ученых. </w:t>
      </w:r>
    </w:p>
    <w:p w:rsidR="00481756" w:rsidRDefault="00481756" w:rsidP="00481756">
      <w:pPr>
        <w:pStyle w:val="a4"/>
        <w:spacing w:before="0" w:beforeAutospacing="0" w:after="0" w:afterAutospacing="0"/>
        <w:ind w:firstLine="851"/>
        <w:jc w:val="both"/>
        <w:rPr>
          <w:sz w:val="28"/>
          <w:szCs w:val="28"/>
        </w:rPr>
      </w:pPr>
    </w:p>
    <w:p w:rsidR="00C63DF6" w:rsidRDefault="00C63DF6" w:rsidP="00C63DF6">
      <w:pPr>
        <w:spacing w:after="0" w:line="240" w:lineRule="auto"/>
        <w:jc w:val="both"/>
        <w:rPr>
          <w:rStyle w:val="a5"/>
          <w:rFonts w:ascii="Times New Roman" w:hAnsi="Times New Roman" w:cs="Times New Roman"/>
          <w:b w:val="0"/>
          <w:sz w:val="28"/>
          <w:szCs w:val="28"/>
        </w:rPr>
      </w:pPr>
      <w:r w:rsidRPr="00912EBB">
        <w:rPr>
          <w:rFonts w:ascii="Times New Roman" w:hAnsi="Times New Roman" w:cs="Times New Roman"/>
          <w:sz w:val="28"/>
          <w:szCs w:val="28"/>
        </w:rPr>
        <w:t xml:space="preserve">Таблица </w:t>
      </w:r>
      <w:r>
        <w:rPr>
          <w:rFonts w:ascii="Times New Roman" w:hAnsi="Times New Roman" w:cs="Times New Roman"/>
          <w:sz w:val="28"/>
          <w:szCs w:val="28"/>
        </w:rPr>
        <w:t>6</w:t>
      </w:r>
      <w:r w:rsidRPr="00912EBB">
        <w:rPr>
          <w:rFonts w:ascii="Times New Roman" w:hAnsi="Times New Roman" w:cs="Times New Roman"/>
          <w:sz w:val="28"/>
          <w:szCs w:val="28"/>
        </w:rPr>
        <w:t xml:space="preserve"> – Анализ научных исследований по </w:t>
      </w:r>
      <w:r w:rsidRPr="00C63DF6">
        <w:rPr>
          <w:rStyle w:val="a5"/>
          <w:rFonts w:ascii="Times New Roman" w:hAnsi="Times New Roman" w:cs="Times New Roman"/>
          <w:b w:val="0"/>
          <w:sz w:val="28"/>
          <w:szCs w:val="28"/>
        </w:rPr>
        <w:t>технологическому обеспечению образовательного процесса</w:t>
      </w:r>
    </w:p>
    <w:p w:rsidR="00F177F5" w:rsidRPr="00C63DF6" w:rsidRDefault="00F177F5" w:rsidP="00C63DF6">
      <w:pPr>
        <w:spacing w:after="0" w:line="240" w:lineRule="auto"/>
        <w:jc w:val="both"/>
        <w:rPr>
          <w:rStyle w:val="a5"/>
          <w:rFonts w:ascii="Times New Roman" w:hAnsi="Times New Roman" w:cs="Times New Roman"/>
          <w:b w:val="0"/>
          <w:sz w:val="28"/>
          <w:szCs w:val="28"/>
        </w:rPr>
      </w:pPr>
    </w:p>
    <w:tbl>
      <w:tblPr>
        <w:tblStyle w:val="a3"/>
        <w:tblW w:w="0" w:type="auto"/>
        <w:tblLook w:val="04A0" w:firstRow="1" w:lastRow="0" w:firstColumn="1" w:lastColumn="0" w:noHBand="0" w:noVBand="1"/>
      </w:tblPr>
      <w:tblGrid>
        <w:gridCol w:w="2122"/>
        <w:gridCol w:w="2835"/>
        <w:gridCol w:w="4671"/>
      </w:tblGrid>
      <w:tr w:rsidR="00481756" w:rsidRPr="00382DF1" w:rsidTr="00F177F5">
        <w:tc>
          <w:tcPr>
            <w:tcW w:w="212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Исследователь</w:t>
            </w:r>
          </w:p>
        </w:tc>
        <w:tc>
          <w:tcPr>
            <w:tcW w:w="2835"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 xml:space="preserve">Труды </w:t>
            </w:r>
          </w:p>
        </w:tc>
        <w:tc>
          <w:tcPr>
            <w:tcW w:w="4671"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Анализ вклада</w:t>
            </w:r>
          </w:p>
        </w:tc>
      </w:tr>
      <w:tr w:rsidR="00481756" w:rsidRPr="00382DF1" w:rsidTr="00F177F5">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Е.В. Соболева и др.</w:t>
            </w:r>
          </w:p>
        </w:tc>
        <w:tc>
          <w:tcPr>
            <w:tcW w:w="2835"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«Применение обучающих программ на игровых платформах для повышения эффективности образования» [46]</w:t>
            </w:r>
          </w:p>
        </w:tc>
        <w:tc>
          <w:tcPr>
            <w:tcW w:w="4671"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Авторы отмечают, что применение игровых технологий и платформ способствует повышению мотивации и вовлеченности студентов, а также улучшает усвоение сложных понятий через интерактивные методы обучения.</w:t>
            </w:r>
          </w:p>
        </w:tc>
      </w:tr>
      <w:tr w:rsidR="00481756" w:rsidRPr="00382DF1" w:rsidTr="00F177F5">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lastRenderedPageBreak/>
              <w:t>Т.Г. Косников и др.</w:t>
            </w:r>
          </w:p>
        </w:tc>
        <w:tc>
          <w:tcPr>
            <w:tcW w:w="2835"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«Дистанционные и виртуальные образовательные технологии» [47]</w:t>
            </w:r>
          </w:p>
        </w:tc>
        <w:tc>
          <w:tcPr>
            <w:tcW w:w="4671"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акцентируют внимание на том, что дистанционные технологии расширяют доступ к образовательным ресурсам и позволяют организовать обучение в гибком формате, что особенно актуально в современных условиях.</w:t>
            </w:r>
          </w:p>
        </w:tc>
      </w:tr>
    </w:tbl>
    <w:p w:rsidR="00C63DF6" w:rsidRDefault="00C63DF6" w:rsidP="00481756">
      <w:pPr>
        <w:pStyle w:val="a4"/>
        <w:spacing w:before="0" w:beforeAutospacing="0" w:after="0" w:afterAutospacing="0"/>
        <w:ind w:firstLine="851"/>
        <w:jc w:val="both"/>
        <w:rPr>
          <w:sz w:val="28"/>
          <w:szCs w:val="28"/>
        </w:rPr>
      </w:pPr>
      <w:r>
        <w:rPr>
          <w:sz w:val="28"/>
          <w:szCs w:val="28"/>
        </w:rPr>
        <w:t>Продолжение таблицы 6</w:t>
      </w:r>
    </w:p>
    <w:tbl>
      <w:tblPr>
        <w:tblStyle w:val="a3"/>
        <w:tblW w:w="0" w:type="auto"/>
        <w:tblLook w:val="04A0" w:firstRow="1" w:lastRow="0" w:firstColumn="1" w:lastColumn="0" w:noHBand="0" w:noVBand="1"/>
      </w:tblPr>
      <w:tblGrid>
        <w:gridCol w:w="2122"/>
        <w:gridCol w:w="3543"/>
        <w:gridCol w:w="3963"/>
      </w:tblGrid>
      <w:tr w:rsidR="00C63DF6" w:rsidTr="00C822B0">
        <w:tc>
          <w:tcPr>
            <w:tcW w:w="2122" w:type="dxa"/>
          </w:tcPr>
          <w:p w:rsidR="00C63DF6" w:rsidRPr="00382DF1" w:rsidRDefault="00C63DF6" w:rsidP="00C63DF6">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Т.А. Полякова</w:t>
            </w:r>
          </w:p>
        </w:tc>
        <w:tc>
          <w:tcPr>
            <w:tcW w:w="3543" w:type="dxa"/>
          </w:tcPr>
          <w:p w:rsidR="00C63DF6" w:rsidRPr="00382DF1" w:rsidRDefault="00C63DF6" w:rsidP="00C63DF6">
            <w:pPr>
              <w:jc w:val="both"/>
              <w:rPr>
                <w:rFonts w:ascii="Times New Roman" w:hAnsi="Times New Roman" w:cs="Times New Roman"/>
                <w:sz w:val="28"/>
                <w:szCs w:val="28"/>
              </w:rPr>
            </w:pPr>
            <w:r w:rsidRPr="00382DF1">
              <w:rPr>
                <w:rFonts w:ascii="Times New Roman" w:hAnsi="Times New Roman" w:cs="Times New Roman"/>
                <w:sz w:val="28"/>
                <w:szCs w:val="28"/>
              </w:rPr>
              <w:t>Диссертация «Прикладная направленность обучения стохастике как средство развития вероятностного мышления учащихся на старшей ступени школы в условиях профильной дифференциации» [48]</w:t>
            </w:r>
          </w:p>
        </w:tc>
        <w:tc>
          <w:tcPr>
            <w:tcW w:w="3963" w:type="dxa"/>
          </w:tcPr>
          <w:p w:rsidR="00C63DF6" w:rsidRPr="00382DF1" w:rsidRDefault="00C63DF6" w:rsidP="00C63DF6">
            <w:pPr>
              <w:jc w:val="both"/>
              <w:rPr>
                <w:rFonts w:ascii="Times New Roman" w:hAnsi="Times New Roman" w:cs="Times New Roman"/>
                <w:sz w:val="28"/>
                <w:szCs w:val="28"/>
              </w:rPr>
            </w:pPr>
            <w:r w:rsidRPr="00382DF1">
              <w:rPr>
                <w:rFonts w:ascii="Times New Roman" w:hAnsi="Times New Roman" w:cs="Times New Roman"/>
                <w:sz w:val="28"/>
                <w:szCs w:val="28"/>
              </w:rPr>
              <w:t>Полякова акцентирует внимание на использовании стохастических задач с практическим содержанием, что способствует развитию вероятностного мышления и умения применять знания в условиях неопределенности.</w:t>
            </w:r>
          </w:p>
        </w:tc>
      </w:tr>
    </w:tbl>
    <w:p w:rsidR="00C63DF6" w:rsidRDefault="00C63DF6" w:rsidP="00481756">
      <w:pPr>
        <w:pStyle w:val="a4"/>
        <w:spacing w:before="0" w:beforeAutospacing="0" w:after="0" w:afterAutospacing="0"/>
        <w:ind w:firstLine="851"/>
        <w:jc w:val="both"/>
        <w:rPr>
          <w:sz w:val="28"/>
          <w:szCs w:val="28"/>
        </w:rPr>
      </w:pP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Анализ подчеркивает значимость интеграции современных технологий, таких как специализированное программное обеспечение, игровые платформы и дистанционные образовательные технологии, в процесс обучения стохастике и теории игр. Это способствует повышению эффективности обучения, мотивации студентов и их готовности применять полученные знания в практических ситуациях.</w:t>
      </w:r>
    </w:p>
    <w:p w:rsidR="00481756" w:rsidRPr="00382DF1" w:rsidRDefault="00481756" w:rsidP="00481756">
      <w:pPr>
        <w:pStyle w:val="a4"/>
        <w:spacing w:before="0" w:beforeAutospacing="0" w:after="0" w:afterAutospacing="0"/>
        <w:ind w:firstLine="851"/>
        <w:jc w:val="both"/>
        <w:rPr>
          <w:sz w:val="28"/>
          <w:szCs w:val="28"/>
        </w:rPr>
      </w:pPr>
      <w:r w:rsidRPr="00382DF1">
        <w:rPr>
          <w:rStyle w:val="a5"/>
          <w:sz w:val="28"/>
          <w:szCs w:val="28"/>
        </w:rPr>
        <w:t>Групповая и индивидуальная работа</w:t>
      </w:r>
      <w:r w:rsidRPr="00382DF1">
        <w:rPr>
          <w:sz w:val="28"/>
          <w:szCs w:val="28"/>
        </w:rPr>
        <w:t xml:space="preserve"> в образовательном процессе являются взаимодополняющими стратегиями, которые способствуют развитию различных навыков у студентов и делают обучение более гибким и адаптивным. Эти подходы позволяют учитывать как потребности группы, так и индивидуальные особенности каждого обучающегося, что особенно важно при изучении сложных дисциплин, таких как стохастика и теория игр. Групповая и индивидуальная работа в образовательном процессе являются предметом изучения многих исследователей. </w:t>
      </w:r>
    </w:p>
    <w:p w:rsidR="00481756" w:rsidRDefault="00481756" w:rsidP="00481756">
      <w:pPr>
        <w:pStyle w:val="a4"/>
        <w:spacing w:before="0" w:beforeAutospacing="0" w:after="0" w:afterAutospacing="0"/>
        <w:jc w:val="both"/>
        <w:rPr>
          <w:sz w:val="28"/>
          <w:szCs w:val="28"/>
        </w:rPr>
      </w:pPr>
    </w:p>
    <w:p w:rsidR="004271C7" w:rsidRDefault="004271C7" w:rsidP="004271C7">
      <w:pPr>
        <w:spacing w:after="0" w:line="240" w:lineRule="auto"/>
        <w:jc w:val="both"/>
        <w:rPr>
          <w:rStyle w:val="a5"/>
          <w:rFonts w:ascii="Times New Roman" w:hAnsi="Times New Roman" w:cs="Times New Roman"/>
          <w:b w:val="0"/>
          <w:sz w:val="28"/>
          <w:szCs w:val="28"/>
        </w:rPr>
      </w:pPr>
      <w:r w:rsidRPr="00912EBB">
        <w:rPr>
          <w:rFonts w:ascii="Times New Roman" w:hAnsi="Times New Roman" w:cs="Times New Roman"/>
          <w:sz w:val="28"/>
          <w:szCs w:val="28"/>
        </w:rPr>
        <w:t xml:space="preserve">Таблица </w:t>
      </w:r>
      <w:r>
        <w:rPr>
          <w:rFonts w:ascii="Times New Roman" w:hAnsi="Times New Roman" w:cs="Times New Roman"/>
          <w:sz w:val="28"/>
          <w:szCs w:val="28"/>
        </w:rPr>
        <w:t>7</w:t>
      </w:r>
      <w:r w:rsidRPr="00912EBB">
        <w:rPr>
          <w:rFonts w:ascii="Times New Roman" w:hAnsi="Times New Roman" w:cs="Times New Roman"/>
          <w:sz w:val="28"/>
          <w:szCs w:val="28"/>
        </w:rPr>
        <w:t xml:space="preserve"> – Анализ научных исследований по </w:t>
      </w:r>
      <w:r>
        <w:rPr>
          <w:rStyle w:val="a5"/>
          <w:rFonts w:ascii="Times New Roman" w:hAnsi="Times New Roman" w:cs="Times New Roman"/>
          <w:b w:val="0"/>
          <w:sz w:val="28"/>
          <w:szCs w:val="28"/>
        </w:rPr>
        <w:t>вопросам групповой и индивидуальной работ</w:t>
      </w:r>
    </w:p>
    <w:p w:rsidR="00C822B0" w:rsidRPr="00C63DF6" w:rsidRDefault="00C822B0" w:rsidP="004271C7">
      <w:pPr>
        <w:spacing w:after="0" w:line="240" w:lineRule="auto"/>
        <w:jc w:val="both"/>
        <w:rPr>
          <w:rStyle w:val="a5"/>
          <w:rFonts w:ascii="Times New Roman" w:hAnsi="Times New Roman" w:cs="Times New Roman"/>
          <w:b w:val="0"/>
          <w:sz w:val="28"/>
          <w:szCs w:val="28"/>
        </w:rPr>
      </w:pPr>
    </w:p>
    <w:tbl>
      <w:tblPr>
        <w:tblStyle w:val="a3"/>
        <w:tblW w:w="9634" w:type="dxa"/>
        <w:tblLook w:val="04A0" w:firstRow="1" w:lastRow="0" w:firstColumn="1" w:lastColumn="0" w:noHBand="0" w:noVBand="1"/>
      </w:tblPr>
      <w:tblGrid>
        <w:gridCol w:w="2122"/>
        <w:gridCol w:w="2846"/>
        <w:gridCol w:w="4666"/>
      </w:tblGrid>
      <w:tr w:rsidR="00481756" w:rsidRPr="00382DF1" w:rsidTr="00A024A9">
        <w:tc>
          <w:tcPr>
            <w:tcW w:w="212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Исследователь</w:t>
            </w:r>
          </w:p>
        </w:tc>
        <w:tc>
          <w:tcPr>
            <w:tcW w:w="2846"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 xml:space="preserve">Труды </w:t>
            </w:r>
          </w:p>
        </w:tc>
        <w:tc>
          <w:tcPr>
            <w:tcW w:w="4666"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Анализ вклада</w:t>
            </w:r>
          </w:p>
        </w:tc>
      </w:tr>
      <w:tr w:rsidR="00481756" w:rsidRPr="00382DF1" w:rsidTr="00A024A9">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О.А. Мешкова, Е.С. Кочетова</w:t>
            </w:r>
          </w:p>
        </w:tc>
        <w:tc>
          <w:tcPr>
            <w:tcW w:w="284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«Особенности обучения элементам стохастики на основе принципа преемственности между начальной и средней школой» [49]</w:t>
            </w:r>
          </w:p>
        </w:tc>
        <w:tc>
          <w:tcPr>
            <w:tcW w:w="466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Авторы акцентируют внимание на необходимости преемственности в обучении стохастике, что способствует более глубокому пониманию предмета учащимися и обеспечивает основу для дальнейшего изучения более сложных концепций.</w:t>
            </w:r>
          </w:p>
        </w:tc>
      </w:tr>
      <w:tr w:rsidR="00481756" w:rsidRPr="00382DF1" w:rsidTr="00A024A9">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lastRenderedPageBreak/>
              <w:t>С.В. Щербатых</w:t>
            </w:r>
          </w:p>
        </w:tc>
        <w:tc>
          <w:tcPr>
            <w:tcW w:w="284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Диссертация «Методическая система обучения стохастике в профильных классах общеобразовательной школы» [50]</w:t>
            </w:r>
          </w:p>
        </w:tc>
        <w:tc>
          <w:tcPr>
            <w:tcW w:w="466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Щербатых подчеркивает необходимость постепенного усложнения задач и их практической направленности, что способствует развитию вероятностного мышления и подготовке учащихся к реальным жизненным ситуациям.</w:t>
            </w:r>
          </w:p>
        </w:tc>
      </w:tr>
    </w:tbl>
    <w:p w:rsidR="004271C7" w:rsidRDefault="004271C7" w:rsidP="00481756">
      <w:pPr>
        <w:pStyle w:val="a4"/>
        <w:spacing w:before="0" w:beforeAutospacing="0" w:after="0" w:afterAutospacing="0"/>
        <w:ind w:firstLine="851"/>
        <w:jc w:val="both"/>
        <w:rPr>
          <w:sz w:val="28"/>
          <w:szCs w:val="28"/>
        </w:rPr>
      </w:pPr>
    </w:p>
    <w:p w:rsidR="004271C7" w:rsidRDefault="004271C7" w:rsidP="00481756">
      <w:pPr>
        <w:pStyle w:val="a4"/>
        <w:spacing w:before="0" w:beforeAutospacing="0" w:after="0" w:afterAutospacing="0"/>
        <w:ind w:firstLine="851"/>
        <w:jc w:val="both"/>
        <w:rPr>
          <w:sz w:val="28"/>
          <w:szCs w:val="28"/>
        </w:rPr>
      </w:pPr>
      <w:r>
        <w:rPr>
          <w:sz w:val="28"/>
          <w:szCs w:val="28"/>
        </w:rPr>
        <w:t>Продолжение таблицы 7</w:t>
      </w:r>
    </w:p>
    <w:p w:rsidR="00C822B0" w:rsidRDefault="00C822B0" w:rsidP="00481756">
      <w:pPr>
        <w:pStyle w:val="a4"/>
        <w:spacing w:before="0" w:beforeAutospacing="0" w:after="0" w:afterAutospacing="0"/>
        <w:ind w:firstLine="851"/>
        <w:jc w:val="both"/>
        <w:rPr>
          <w:sz w:val="28"/>
          <w:szCs w:val="28"/>
        </w:rPr>
      </w:pPr>
    </w:p>
    <w:tbl>
      <w:tblPr>
        <w:tblStyle w:val="a3"/>
        <w:tblW w:w="0" w:type="auto"/>
        <w:tblLook w:val="04A0" w:firstRow="1" w:lastRow="0" w:firstColumn="1" w:lastColumn="0" w:noHBand="0" w:noVBand="1"/>
      </w:tblPr>
      <w:tblGrid>
        <w:gridCol w:w="1838"/>
        <w:gridCol w:w="2977"/>
        <w:gridCol w:w="4813"/>
      </w:tblGrid>
      <w:tr w:rsidR="004271C7" w:rsidTr="00C822B0">
        <w:tc>
          <w:tcPr>
            <w:tcW w:w="1838" w:type="dxa"/>
          </w:tcPr>
          <w:p w:rsidR="004271C7" w:rsidRPr="00382DF1" w:rsidRDefault="004271C7" w:rsidP="004271C7">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Е.А. Кузнецова</w:t>
            </w:r>
          </w:p>
        </w:tc>
        <w:tc>
          <w:tcPr>
            <w:tcW w:w="2977" w:type="dxa"/>
          </w:tcPr>
          <w:p w:rsidR="004271C7" w:rsidRPr="00382DF1" w:rsidRDefault="004271C7" w:rsidP="004271C7">
            <w:pPr>
              <w:jc w:val="both"/>
              <w:rPr>
                <w:rFonts w:ascii="Times New Roman" w:hAnsi="Times New Roman" w:cs="Times New Roman"/>
                <w:sz w:val="28"/>
                <w:szCs w:val="28"/>
              </w:rPr>
            </w:pPr>
            <w:r w:rsidRPr="00382DF1">
              <w:rPr>
                <w:rFonts w:ascii="Times New Roman" w:hAnsi="Times New Roman" w:cs="Times New Roman"/>
                <w:sz w:val="28"/>
                <w:szCs w:val="28"/>
              </w:rPr>
              <w:t>Статья «Умение играть – основная профессиональная компетентность педагога дошкольного образования (подвижные игры)» [51]</w:t>
            </w:r>
          </w:p>
        </w:tc>
        <w:tc>
          <w:tcPr>
            <w:tcW w:w="4813" w:type="dxa"/>
          </w:tcPr>
          <w:p w:rsidR="004271C7" w:rsidRPr="00382DF1" w:rsidRDefault="004271C7" w:rsidP="004271C7">
            <w:pPr>
              <w:jc w:val="both"/>
              <w:rPr>
                <w:rFonts w:ascii="Times New Roman" w:hAnsi="Times New Roman" w:cs="Times New Roman"/>
                <w:sz w:val="28"/>
                <w:szCs w:val="28"/>
              </w:rPr>
            </w:pPr>
            <w:r w:rsidRPr="00382DF1">
              <w:rPr>
                <w:rFonts w:ascii="Times New Roman" w:hAnsi="Times New Roman" w:cs="Times New Roman"/>
                <w:sz w:val="28"/>
                <w:szCs w:val="28"/>
              </w:rPr>
              <w:t>Кузнецова акцентирует внимание на том, что умение педагога эффективно использовать игровые методы и предоставлять конструктивную обратную связь является ключевым для развития обучающихся, что применимо и в контексте преподавания сложных дисциплин.</w:t>
            </w:r>
          </w:p>
        </w:tc>
      </w:tr>
    </w:tbl>
    <w:p w:rsidR="004271C7" w:rsidRDefault="004271C7" w:rsidP="00481756">
      <w:pPr>
        <w:pStyle w:val="a4"/>
        <w:spacing w:before="0" w:beforeAutospacing="0" w:after="0" w:afterAutospacing="0"/>
        <w:ind w:firstLine="851"/>
        <w:jc w:val="both"/>
        <w:rPr>
          <w:sz w:val="28"/>
          <w:szCs w:val="28"/>
        </w:rPr>
      </w:pP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Анализ этих трудов подчеркивает значимость как групповой, так и индивидуальной работы в образовательном процессе, особенно при обучении сложным дисциплинам, таким как стохастика и теория игр. Групповая работа способствует развитию коллективного мышления и ответственности, в то время как индивидуальный подход позволяет учитывать личные особенности учащихся и способствует более глубокому усвоению материала.</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Грамотное сочетание групповой и индивидуальной работы позволяет сделать образовательный процесс более гибким, мотивирующим и эффективным. Коллективное обучение способствует развитию навыков сотрудничества и критического мышления, а индивидуальный подход помогает учитывать особенности каждого студента, создавая условия для их максимального развития. Вместе эти методы формируют у студентов широкий спектр компетенций, необходимых для успешной профессиональной деятельности.</w:t>
      </w:r>
    </w:p>
    <w:p w:rsidR="00481756" w:rsidRPr="00382DF1" w:rsidRDefault="00481756" w:rsidP="00481756">
      <w:pPr>
        <w:pStyle w:val="a4"/>
        <w:spacing w:before="0" w:beforeAutospacing="0" w:after="0" w:afterAutospacing="0"/>
        <w:ind w:firstLine="851"/>
        <w:jc w:val="both"/>
        <w:rPr>
          <w:sz w:val="28"/>
          <w:szCs w:val="28"/>
        </w:rPr>
      </w:pPr>
      <w:r w:rsidRPr="00382DF1">
        <w:rPr>
          <w:rStyle w:val="a5"/>
          <w:sz w:val="28"/>
          <w:szCs w:val="28"/>
        </w:rPr>
        <w:t>Интеграция в образовательный процесс</w:t>
      </w:r>
      <w:r w:rsidRPr="00382DF1">
        <w:rPr>
          <w:sz w:val="28"/>
          <w:szCs w:val="28"/>
        </w:rPr>
        <w:t xml:space="preserve"> является важным принципом, который позволяет не только освоить сложные теоретические концепции, такие как стохастика и теория игр, но и применять их в различных контекстах. Она предполагает создание связей между предметами, внедрение проектной деятельности и систематизацию упражнений, что делает процесс обучения более целостным, практичным и ориентированным на достижение профессиональных компетенций. Интеграция методов стохастики и теории игр в образовательный процесс активно изучалась многими исследователями. Ниже представлена таблица с анализом их трудов:</w:t>
      </w:r>
    </w:p>
    <w:p w:rsidR="00481756" w:rsidRDefault="00481756" w:rsidP="00481756">
      <w:pPr>
        <w:pStyle w:val="a4"/>
        <w:spacing w:before="0" w:beforeAutospacing="0" w:after="0" w:afterAutospacing="0"/>
        <w:ind w:firstLine="851"/>
        <w:jc w:val="both"/>
        <w:rPr>
          <w:sz w:val="28"/>
          <w:szCs w:val="28"/>
        </w:rPr>
      </w:pPr>
    </w:p>
    <w:p w:rsidR="00A024A9" w:rsidRDefault="00A024A9" w:rsidP="00A024A9">
      <w:pPr>
        <w:spacing w:after="0" w:line="240" w:lineRule="auto"/>
        <w:jc w:val="both"/>
        <w:rPr>
          <w:rFonts w:ascii="Times New Roman" w:hAnsi="Times New Roman" w:cs="Times New Roman"/>
          <w:sz w:val="28"/>
          <w:szCs w:val="28"/>
        </w:rPr>
      </w:pPr>
      <w:r w:rsidRPr="00A024A9">
        <w:rPr>
          <w:rFonts w:ascii="Times New Roman" w:hAnsi="Times New Roman" w:cs="Times New Roman"/>
          <w:sz w:val="28"/>
          <w:szCs w:val="28"/>
        </w:rPr>
        <w:t xml:space="preserve">Таблица </w:t>
      </w:r>
      <w:r>
        <w:rPr>
          <w:rFonts w:ascii="Times New Roman" w:hAnsi="Times New Roman" w:cs="Times New Roman"/>
          <w:sz w:val="28"/>
          <w:szCs w:val="28"/>
        </w:rPr>
        <w:t>8</w:t>
      </w:r>
      <w:r w:rsidRPr="00A024A9">
        <w:rPr>
          <w:rFonts w:ascii="Times New Roman" w:hAnsi="Times New Roman" w:cs="Times New Roman"/>
          <w:sz w:val="28"/>
          <w:szCs w:val="28"/>
        </w:rPr>
        <w:t xml:space="preserve"> – Анализ научных исследований по </w:t>
      </w:r>
      <w:r w:rsidRPr="00A024A9">
        <w:rPr>
          <w:rStyle w:val="a5"/>
          <w:rFonts w:ascii="Times New Roman" w:hAnsi="Times New Roman" w:cs="Times New Roman"/>
          <w:b w:val="0"/>
          <w:sz w:val="28"/>
          <w:szCs w:val="28"/>
        </w:rPr>
        <w:t xml:space="preserve">вопросам </w:t>
      </w:r>
      <w:r w:rsidRPr="00A024A9">
        <w:rPr>
          <w:rFonts w:ascii="Times New Roman" w:hAnsi="Times New Roman" w:cs="Times New Roman"/>
          <w:sz w:val="28"/>
          <w:szCs w:val="28"/>
        </w:rPr>
        <w:t>интеграции методов стохастики и теории игр в образовательный процесс</w:t>
      </w:r>
    </w:p>
    <w:p w:rsidR="00C822B0" w:rsidRPr="00A024A9" w:rsidRDefault="00C822B0" w:rsidP="00A024A9">
      <w:pPr>
        <w:spacing w:after="0" w:line="240" w:lineRule="auto"/>
        <w:jc w:val="both"/>
        <w:rPr>
          <w:rStyle w:val="a5"/>
          <w:rFonts w:ascii="Times New Roman" w:hAnsi="Times New Roman" w:cs="Times New Roman"/>
          <w:b w:val="0"/>
          <w:sz w:val="28"/>
          <w:szCs w:val="28"/>
        </w:rPr>
      </w:pPr>
    </w:p>
    <w:tbl>
      <w:tblPr>
        <w:tblStyle w:val="a3"/>
        <w:tblW w:w="9634" w:type="dxa"/>
        <w:tblLook w:val="04A0" w:firstRow="1" w:lastRow="0" w:firstColumn="1" w:lastColumn="0" w:noHBand="0" w:noVBand="1"/>
      </w:tblPr>
      <w:tblGrid>
        <w:gridCol w:w="2104"/>
        <w:gridCol w:w="2386"/>
        <w:gridCol w:w="5144"/>
      </w:tblGrid>
      <w:tr w:rsidR="00481756" w:rsidRPr="00382DF1" w:rsidTr="00C822B0">
        <w:tc>
          <w:tcPr>
            <w:tcW w:w="1980"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Исследователь</w:t>
            </w:r>
          </w:p>
        </w:tc>
        <w:tc>
          <w:tcPr>
            <w:tcW w:w="239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 xml:space="preserve">Труды </w:t>
            </w:r>
          </w:p>
        </w:tc>
        <w:tc>
          <w:tcPr>
            <w:tcW w:w="526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Анализ вклада</w:t>
            </w:r>
          </w:p>
        </w:tc>
      </w:tr>
      <w:tr w:rsidR="00481756" w:rsidRPr="00382DF1" w:rsidTr="00C822B0">
        <w:tc>
          <w:tcPr>
            <w:tcW w:w="1980"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Д.В. Солопченко, И.А. Страх, К.А. Ковалева</w:t>
            </w:r>
          </w:p>
        </w:tc>
        <w:tc>
          <w:tcPr>
            <w:tcW w:w="2392"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«Применение теории игр в образовательном процессе» [52]</w:t>
            </w:r>
          </w:p>
        </w:tc>
        <w:tc>
          <w:tcPr>
            <w:tcW w:w="5262"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Авторы демонстрируют, как теория игр может быть использована для оптимизации образовательного процесса, подчеркивая важность стратегического взаимодействия и принятия решений в обучении.</w:t>
            </w:r>
          </w:p>
        </w:tc>
      </w:tr>
    </w:tbl>
    <w:p w:rsidR="00A024A9" w:rsidRDefault="00A024A9" w:rsidP="00481756">
      <w:pPr>
        <w:pStyle w:val="a4"/>
        <w:spacing w:before="0" w:beforeAutospacing="0" w:after="0" w:afterAutospacing="0"/>
        <w:ind w:firstLine="851"/>
        <w:jc w:val="both"/>
        <w:rPr>
          <w:sz w:val="28"/>
          <w:szCs w:val="28"/>
        </w:rPr>
      </w:pPr>
      <w:r>
        <w:rPr>
          <w:sz w:val="28"/>
          <w:szCs w:val="28"/>
        </w:rPr>
        <w:t>Продолжение таблицы 8</w:t>
      </w:r>
    </w:p>
    <w:tbl>
      <w:tblPr>
        <w:tblStyle w:val="a3"/>
        <w:tblW w:w="0" w:type="auto"/>
        <w:tblLook w:val="04A0" w:firstRow="1" w:lastRow="0" w:firstColumn="1" w:lastColumn="0" w:noHBand="0" w:noVBand="1"/>
      </w:tblPr>
      <w:tblGrid>
        <w:gridCol w:w="2122"/>
        <w:gridCol w:w="2551"/>
        <w:gridCol w:w="4955"/>
      </w:tblGrid>
      <w:tr w:rsidR="00A024A9" w:rsidTr="00200383">
        <w:tc>
          <w:tcPr>
            <w:tcW w:w="2122" w:type="dxa"/>
          </w:tcPr>
          <w:p w:rsidR="00A024A9" w:rsidRPr="00382DF1" w:rsidRDefault="00A024A9" w:rsidP="00A024A9">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С.В. Левчук, О.А. Дорожкина</w:t>
            </w:r>
          </w:p>
        </w:tc>
        <w:tc>
          <w:tcPr>
            <w:tcW w:w="2551" w:type="dxa"/>
          </w:tcPr>
          <w:p w:rsidR="00A024A9" w:rsidRPr="00382DF1" w:rsidRDefault="00A024A9" w:rsidP="00A024A9">
            <w:pPr>
              <w:jc w:val="both"/>
              <w:rPr>
                <w:rFonts w:ascii="Times New Roman" w:hAnsi="Times New Roman" w:cs="Times New Roman"/>
                <w:sz w:val="28"/>
                <w:szCs w:val="28"/>
              </w:rPr>
            </w:pPr>
            <w:r w:rsidRPr="00382DF1">
              <w:rPr>
                <w:rFonts w:ascii="Times New Roman" w:hAnsi="Times New Roman" w:cs="Times New Roman"/>
                <w:sz w:val="28"/>
                <w:szCs w:val="28"/>
              </w:rPr>
              <w:t>Статья «Проектная деятельность: анализ теоретических подходов в контексте психолого-педагогических исследований» [53]</w:t>
            </w:r>
          </w:p>
        </w:tc>
        <w:tc>
          <w:tcPr>
            <w:tcW w:w="4955" w:type="dxa"/>
          </w:tcPr>
          <w:p w:rsidR="00A024A9" w:rsidRPr="00382DF1" w:rsidRDefault="00A024A9" w:rsidP="00A024A9">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подчеркивают значимость проектной деятельности в формировании системного мышления и интеграции знаний из различных дисциплин, что способствует более глубокому пониманию и применению стохастических методов и теории игр.</w:t>
            </w:r>
          </w:p>
        </w:tc>
      </w:tr>
      <w:tr w:rsidR="00A024A9" w:rsidTr="00200383">
        <w:tc>
          <w:tcPr>
            <w:tcW w:w="2122" w:type="dxa"/>
          </w:tcPr>
          <w:p w:rsidR="00A024A9" w:rsidRPr="00382DF1" w:rsidRDefault="00A024A9" w:rsidP="00A024A9">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Е.В. Лушникова</w:t>
            </w:r>
          </w:p>
        </w:tc>
        <w:tc>
          <w:tcPr>
            <w:tcW w:w="2551" w:type="dxa"/>
          </w:tcPr>
          <w:p w:rsidR="00A024A9" w:rsidRPr="00382DF1" w:rsidRDefault="00A024A9" w:rsidP="00A024A9">
            <w:pPr>
              <w:jc w:val="both"/>
              <w:rPr>
                <w:rFonts w:ascii="Times New Roman" w:hAnsi="Times New Roman" w:cs="Times New Roman"/>
                <w:sz w:val="28"/>
                <w:szCs w:val="28"/>
              </w:rPr>
            </w:pPr>
            <w:r w:rsidRPr="00382DF1">
              <w:rPr>
                <w:rFonts w:ascii="Times New Roman" w:hAnsi="Times New Roman" w:cs="Times New Roman"/>
                <w:sz w:val="28"/>
                <w:szCs w:val="28"/>
              </w:rPr>
              <w:t>Статья «Интеграция образовательных областей посредством игр В.В. Воскобовича в условиях дошкольных групп» [54]</w:t>
            </w:r>
          </w:p>
        </w:tc>
        <w:tc>
          <w:tcPr>
            <w:tcW w:w="4955" w:type="dxa"/>
          </w:tcPr>
          <w:p w:rsidR="00A024A9" w:rsidRPr="00382DF1" w:rsidRDefault="00A024A9" w:rsidP="00A024A9">
            <w:pPr>
              <w:jc w:val="both"/>
              <w:rPr>
                <w:rFonts w:ascii="Times New Roman" w:hAnsi="Times New Roman" w:cs="Times New Roman"/>
                <w:sz w:val="28"/>
                <w:szCs w:val="28"/>
              </w:rPr>
            </w:pPr>
            <w:r w:rsidRPr="00382DF1">
              <w:rPr>
                <w:rFonts w:ascii="Times New Roman" w:hAnsi="Times New Roman" w:cs="Times New Roman"/>
                <w:sz w:val="28"/>
                <w:szCs w:val="28"/>
              </w:rPr>
              <w:t>Лушникова акцентирует внимание на том, что использование игровых технологий способствует междисциплинарной интеграции и развитию системного мышления, что может быть адаптировано и для более старших учащихся при изучении сложных концепций.</w:t>
            </w:r>
          </w:p>
        </w:tc>
      </w:tr>
      <w:tr w:rsidR="00A024A9" w:rsidTr="00200383">
        <w:tc>
          <w:tcPr>
            <w:tcW w:w="2122" w:type="dxa"/>
          </w:tcPr>
          <w:p w:rsidR="00A024A9" w:rsidRPr="00382DF1" w:rsidRDefault="00A024A9" w:rsidP="00A024A9">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А.В. Емельянова</w:t>
            </w:r>
          </w:p>
        </w:tc>
        <w:tc>
          <w:tcPr>
            <w:tcW w:w="2551" w:type="dxa"/>
          </w:tcPr>
          <w:p w:rsidR="00A024A9" w:rsidRPr="00382DF1" w:rsidRDefault="00A024A9" w:rsidP="00A024A9">
            <w:pPr>
              <w:jc w:val="both"/>
              <w:rPr>
                <w:rFonts w:ascii="Times New Roman" w:hAnsi="Times New Roman" w:cs="Times New Roman"/>
                <w:sz w:val="28"/>
                <w:szCs w:val="28"/>
              </w:rPr>
            </w:pPr>
            <w:r w:rsidRPr="00382DF1">
              <w:rPr>
                <w:rFonts w:ascii="Times New Roman" w:hAnsi="Times New Roman" w:cs="Times New Roman"/>
                <w:sz w:val="28"/>
                <w:szCs w:val="28"/>
              </w:rPr>
              <w:t>Работа «Игровые технологии в образовании» [55]</w:t>
            </w:r>
          </w:p>
        </w:tc>
        <w:tc>
          <w:tcPr>
            <w:tcW w:w="4955" w:type="dxa"/>
          </w:tcPr>
          <w:p w:rsidR="00A024A9" w:rsidRPr="00382DF1" w:rsidRDefault="00A024A9" w:rsidP="00A024A9">
            <w:pPr>
              <w:jc w:val="both"/>
              <w:rPr>
                <w:rFonts w:ascii="Times New Roman" w:hAnsi="Times New Roman" w:cs="Times New Roman"/>
                <w:sz w:val="28"/>
                <w:szCs w:val="28"/>
              </w:rPr>
            </w:pPr>
            <w:r w:rsidRPr="00382DF1">
              <w:rPr>
                <w:rFonts w:ascii="Times New Roman" w:hAnsi="Times New Roman" w:cs="Times New Roman"/>
                <w:sz w:val="28"/>
                <w:szCs w:val="28"/>
              </w:rPr>
              <w:t>Емельянова отмечает, что игровые технологии могут служить эффективным инструментом для интеграции различных дисциплин и развития у студентов навыков стратегического мышления, необходимых для освоения теории игр и стохастики.</w:t>
            </w:r>
          </w:p>
        </w:tc>
      </w:tr>
    </w:tbl>
    <w:p w:rsidR="00A024A9" w:rsidRDefault="00A024A9" w:rsidP="00481756">
      <w:pPr>
        <w:pStyle w:val="a4"/>
        <w:spacing w:before="0" w:beforeAutospacing="0" w:after="0" w:afterAutospacing="0"/>
        <w:ind w:firstLine="851"/>
        <w:jc w:val="both"/>
        <w:rPr>
          <w:sz w:val="28"/>
          <w:szCs w:val="28"/>
        </w:rPr>
      </w:pP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Анализ этих трудов показывает значимость интеграции методов стохастики и теории игр в образовательный процесс через междисциплинарные связи, проектную деятельность и использование игровых технологий. Такой подход способствует развитию системного мышления, повышению мотивации и эффективности обучения студентов.</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 xml:space="preserve">Интеграция в образовательный процесс делает обучение более осмысленным, мотивирующим и ориентированным на практику. Она помогает студентам развивать не только теоретические знания, но и профессиональные навыки, такие как аналитическое мышление, умение работать в команде и </w:t>
      </w:r>
      <w:r w:rsidRPr="00382DF1">
        <w:rPr>
          <w:sz w:val="28"/>
          <w:szCs w:val="28"/>
        </w:rPr>
        <w:lastRenderedPageBreak/>
        <w:t>принимать решения в сложных условиях. Такой подход способствует подготовке студентов к успешной карьере в условиях современной междисциплинарной профессиональной среды.</w:t>
      </w:r>
    </w:p>
    <w:p w:rsidR="00481756" w:rsidRPr="00382DF1" w:rsidRDefault="00481756" w:rsidP="00481756">
      <w:pPr>
        <w:pStyle w:val="a4"/>
        <w:spacing w:before="0" w:beforeAutospacing="0" w:after="0" w:afterAutospacing="0"/>
        <w:ind w:firstLine="851"/>
        <w:jc w:val="both"/>
        <w:rPr>
          <w:sz w:val="28"/>
          <w:szCs w:val="28"/>
        </w:rPr>
      </w:pPr>
      <w:r w:rsidRPr="00382DF1">
        <w:rPr>
          <w:rStyle w:val="a5"/>
          <w:sz w:val="28"/>
          <w:szCs w:val="28"/>
        </w:rPr>
        <w:t>Мониторинг и оценка эффективности образовательного процесса</w:t>
      </w:r>
      <w:r w:rsidRPr="00382DF1">
        <w:rPr>
          <w:sz w:val="28"/>
          <w:szCs w:val="28"/>
        </w:rPr>
        <w:t xml:space="preserve"> являются неотъемлемыми элементами успешного обучения, особенно в сложных дисциплинах, таких как стохастика и теория игр. Эти процессы позволяют определить, насколько студенты осваивают материал, выявить сильные и слабые стороны методики преподавания и адаптировать курс для достижения наилучших результатов. Для этого используются различные инструменты и подходы, включая разработку метрик успеха, анализ обратной связи и корректировку содержания упражнений. Ниже представлена таблица с анализом трудов исследователей данного вопроса:</w:t>
      </w:r>
    </w:p>
    <w:p w:rsidR="00200383" w:rsidRDefault="00200383" w:rsidP="00200383">
      <w:pPr>
        <w:spacing w:after="0" w:line="240" w:lineRule="auto"/>
        <w:jc w:val="both"/>
        <w:rPr>
          <w:rFonts w:ascii="Times New Roman" w:hAnsi="Times New Roman" w:cs="Times New Roman"/>
          <w:sz w:val="28"/>
          <w:szCs w:val="28"/>
        </w:rPr>
      </w:pPr>
    </w:p>
    <w:p w:rsidR="00200383" w:rsidRDefault="00200383" w:rsidP="00200383">
      <w:pPr>
        <w:spacing w:after="0" w:line="240" w:lineRule="auto"/>
        <w:jc w:val="both"/>
        <w:rPr>
          <w:rStyle w:val="a5"/>
          <w:rFonts w:ascii="Times New Roman" w:hAnsi="Times New Roman" w:cs="Times New Roman"/>
          <w:b w:val="0"/>
          <w:sz w:val="28"/>
          <w:szCs w:val="28"/>
        </w:rPr>
      </w:pPr>
      <w:r w:rsidRPr="00200383">
        <w:rPr>
          <w:rFonts w:ascii="Times New Roman" w:hAnsi="Times New Roman" w:cs="Times New Roman"/>
          <w:sz w:val="28"/>
          <w:szCs w:val="28"/>
        </w:rPr>
        <w:t xml:space="preserve">Таблица 9 – Анализ научных исследований по </w:t>
      </w:r>
      <w:r w:rsidRPr="00200383">
        <w:rPr>
          <w:rStyle w:val="a5"/>
          <w:rFonts w:ascii="Times New Roman" w:hAnsi="Times New Roman" w:cs="Times New Roman"/>
          <w:b w:val="0"/>
          <w:sz w:val="28"/>
          <w:szCs w:val="28"/>
        </w:rPr>
        <w:t>вопросам мониторинга и оценки эффективности образовательного процесса</w:t>
      </w:r>
    </w:p>
    <w:p w:rsidR="00C822B0" w:rsidRPr="00200383" w:rsidRDefault="00C822B0" w:rsidP="00200383">
      <w:pPr>
        <w:spacing w:after="0" w:line="240" w:lineRule="auto"/>
        <w:jc w:val="both"/>
        <w:rPr>
          <w:rStyle w:val="a5"/>
          <w:rFonts w:ascii="Times New Roman" w:hAnsi="Times New Roman" w:cs="Times New Roman"/>
          <w:b w:val="0"/>
          <w:sz w:val="28"/>
          <w:szCs w:val="28"/>
        </w:rPr>
      </w:pPr>
    </w:p>
    <w:tbl>
      <w:tblPr>
        <w:tblStyle w:val="a3"/>
        <w:tblW w:w="9634" w:type="dxa"/>
        <w:tblLayout w:type="fixed"/>
        <w:tblLook w:val="04A0" w:firstRow="1" w:lastRow="0" w:firstColumn="1" w:lastColumn="0" w:noHBand="0" w:noVBand="1"/>
      </w:tblPr>
      <w:tblGrid>
        <w:gridCol w:w="2122"/>
        <w:gridCol w:w="2835"/>
        <w:gridCol w:w="4677"/>
      </w:tblGrid>
      <w:tr w:rsidR="00481756" w:rsidRPr="00382DF1" w:rsidTr="00200383">
        <w:tc>
          <w:tcPr>
            <w:tcW w:w="212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Исследователь</w:t>
            </w:r>
          </w:p>
        </w:tc>
        <w:tc>
          <w:tcPr>
            <w:tcW w:w="2835"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 xml:space="preserve">Труды </w:t>
            </w:r>
          </w:p>
        </w:tc>
        <w:tc>
          <w:tcPr>
            <w:tcW w:w="4677"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Анализ вклада</w:t>
            </w:r>
          </w:p>
        </w:tc>
      </w:tr>
      <w:tr w:rsidR="00481756" w:rsidRPr="00382DF1" w:rsidTr="00200383">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С.В. Левчук, О.А. Дорожкина</w:t>
            </w:r>
          </w:p>
        </w:tc>
        <w:tc>
          <w:tcPr>
            <w:tcW w:w="2835"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«Проектная деятельность: анализ теоретических подходов в контексте психолого-педагогических исследований» [53] </w:t>
            </w:r>
          </w:p>
        </w:tc>
        <w:tc>
          <w:tcPr>
            <w:tcW w:w="4677"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подчеркивают значимость проектной деятельности в формировании системного мышления и интеграции знаний из различных дисциплин, что способствует более глубокому пониманию и применению стохастических методов и теории игр.</w:t>
            </w:r>
          </w:p>
        </w:tc>
      </w:tr>
      <w:tr w:rsidR="00481756" w:rsidRPr="00382DF1" w:rsidTr="00200383">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Е.В. Лушникова</w:t>
            </w:r>
          </w:p>
        </w:tc>
        <w:tc>
          <w:tcPr>
            <w:tcW w:w="2835"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«Интеграция образовательных областей посредством игр В.В. Воскобовича в условиях дошкольных групп» [54]</w:t>
            </w:r>
          </w:p>
        </w:tc>
        <w:tc>
          <w:tcPr>
            <w:tcW w:w="4677"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Лушникова акцентирует внимание на том, что использование игровых технологий способствует междисциплинарной интеграции и развитию системного мышления, что может быть адаптировано и для более старших учащихся при изучении сложных концепций.</w:t>
            </w:r>
          </w:p>
        </w:tc>
      </w:tr>
      <w:tr w:rsidR="00481756" w:rsidRPr="00382DF1" w:rsidTr="00200383">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А.В. Емельянова</w:t>
            </w:r>
          </w:p>
        </w:tc>
        <w:tc>
          <w:tcPr>
            <w:tcW w:w="2835"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Работа «Игровые технологии в образовании» [55]</w:t>
            </w:r>
          </w:p>
        </w:tc>
        <w:tc>
          <w:tcPr>
            <w:tcW w:w="4677"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Емельянова отмечает, что игровые технологии могут служить эффективным инструментом для интеграции различных дисциплин и развития у студентов навыков стратегического мышления, необходимых для освоения теории игр и стохастики.</w:t>
            </w:r>
          </w:p>
        </w:tc>
      </w:tr>
      <w:tr w:rsidR="00481756" w:rsidRPr="00382DF1" w:rsidTr="00200383">
        <w:tc>
          <w:tcPr>
            <w:tcW w:w="2122" w:type="dxa"/>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В.В. Помазков</w:t>
            </w:r>
          </w:p>
        </w:tc>
        <w:tc>
          <w:tcPr>
            <w:tcW w:w="2835" w:type="dxa"/>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 xml:space="preserve">Статья «Оценка эффективности системы образования </w:t>
            </w:r>
            <w:r w:rsidRPr="00382DF1">
              <w:rPr>
                <w:rFonts w:ascii="Times New Roman" w:hAnsi="Times New Roman" w:cs="Times New Roman"/>
                <w:sz w:val="28"/>
                <w:szCs w:val="28"/>
              </w:rPr>
              <w:lastRenderedPageBreak/>
              <w:t>средствами внутришкольного мониторинга» [56]</w:t>
            </w:r>
          </w:p>
        </w:tc>
        <w:tc>
          <w:tcPr>
            <w:tcW w:w="4677" w:type="dxa"/>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lastRenderedPageBreak/>
              <w:t xml:space="preserve">Помазков акцентирует внимание на необходимости системного подхода к мониторингу образовательного </w:t>
            </w:r>
            <w:r w:rsidRPr="00382DF1">
              <w:rPr>
                <w:rFonts w:ascii="Times New Roman" w:hAnsi="Times New Roman" w:cs="Times New Roman"/>
                <w:sz w:val="28"/>
                <w:szCs w:val="28"/>
              </w:rPr>
              <w:lastRenderedPageBreak/>
              <w:t>процесса, что позволяет своевременно выявлять и корректировать отклонения, повышая общее качество обучения.</w:t>
            </w:r>
          </w:p>
        </w:tc>
      </w:tr>
    </w:tbl>
    <w:p w:rsidR="00200383" w:rsidRDefault="00200383" w:rsidP="00481756">
      <w:pPr>
        <w:pStyle w:val="a4"/>
        <w:spacing w:before="0" w:beforeAutospacing="0" w:after="0" w:afterAutospacing="0"/>
        <w:ind w:firstLine="851"/>
        <w:jc w:val="both"/>
        <w:rPr>
          <w:sz w:val="28"/>
          <w:szCs w:val="28"/>
        </w:rPr>
      </w:pP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Анализ этих трудов показывает значимость системного мониторинга, разработки четких критериев оценки и использования обратной связи для повышения качества образовательного процесса. Такие подходы способствуют своевременной корректировке курса и адаптации содержания упражнений в соответствии с потребностями студентов.</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Мониторинг и оценка эффективности обучения являются важными инструментами для повышения качества образовательного процесса. Они помогают преподавателю понимать, насколько успешно студенты осваивают материал, учитывать их мнение и адаптировать содержание курса для достижения оптимальных результатов. Такой подход делает процесс обучения более прозрачным, эффективным и ориентированным на успех как студентов, так и преподавателя.</w:t>
      </w:r>
    </w:p>
    <w:p w:rsidR="00481756" w:rsidRPr="00382DF1" w:rsidRDefault="00481756" w:rsidP="00481756">
      <w:pPr>
        <w:pStyle w:val="a4"/>
        <w:spacing w:before="0" w:beforeAutospacing="0" w:after="0" w:afterAutospacing="0"/>
        <w:ind w:firstLine="851"/>
        <w:jc w:val="both"/>
        <w:rPr>
          <w:sz w:val="28"/>
          <w:szCs w:val="28"/>
        </w:rPr>
      </w:pPr>
      <w:r w:rsidRPr="00382DF1">
        <w:rPr>
          <w:rStyle w:val="a5"/>
          <w:sz w:val="28"/>
          <w:szCs w:val="28"/>
        </w:rPr>
        <w:t>Контекстуализация и актуализация содержания</w:t>
      </w:r>
      <w:r w:rsidRPr="00382DF1">
        <w:rPr>
          <w:sz w:val="28"/>
          <w:szCs w:val="28"/>
        </w:rPr>
        <w:t xml:space="preserve"> в образовательном процессе играют решающую роль в повышении мотивации студентов, их вовлеченности и способности видеть практическую ценность изучаемого материала. Эти подходы направлены на создание учебных заданий, которые имеют непосредственное отношение к реальной жизни и профессиональной деятельности, а также учитывают культурные и региональные особенности студентов. Ниже представлена таблица с анализом трудов ученых исследовавших данный вопрос:</w:t>
      </w:r>
    </w:p>
    <w:p w:rsidR="00481756" w:rsidRDefault="00481756" w:rsidP="00481756">
      <w:pPr>
        <w:pStyle w:val="a4"/>
        <w:spacing w:before="0" w:beforeAutospacing="0" w:after="0" w:afterAutospacing="0"/>
        <w:ind w:firstLine="851"/>
        <w:jc w:val="both"/>
        <w:rPr>
          <w:sz w:val="28"/>
          <w:szCs w:val="28"/>
        </w:rPr>
      </w:pPr>
    </w:p>
    <w:p w:rsidR="00160BC5" w:rsidRDefault="00160BC5" w:rsidP="00160BC5">
      <w:pPr>
        <w:spacing w:after="0" w:line="240" w:lineRule="auto"/>
        <w:jc w:val="both"/>
        <w:rPr>
          <w:rFonts w:ascii="Times New Roman" w:hAnsi="Times New Roman" w:cs="Times New Roman"/>
          <w:sz w:val="28"/>
          <w:szCs w:val="28"/>
        </w:rPr>
      </w:pPr>
      <w:r w:rsidRPr="00160BC5">
        <w:rPr>
          <w:rFonts w:ascii="Times New Roman" w:hAnsi="Times New Roman" w:cs="Times New Roman"/>
          <w:sz w:val="28"/>
          <w:szCs w:val="28"/>
        </w:rPr>
        <w:t xml:space="preserve">Таблица 10 – Анализ научных исследований по </w:t>
      </w:r>
      <w:r w:rsidRPr="00160BC5">
        <w:rPr>
          <w:rStyle w:val="a5"/>
          <w:rFonts w:ascii="Times New Roman" w:hAnsi="Times New Roman" w:cs="Times New Roman"/>
          <w:b w:val="0"/>
          <w:sz w:val="28"/>
          <w:szCs w:val="28"/>
        </w:rPr>
        <w:t>вопросам контекстуализации и актуализации содержания</w:t>
      </w:r>
      <w:r w:rsidRPr="00160BC5">
        <w:rPr>
          <w:rFonts w:ascii="Times New Roman" w:hAnsi="Times New Roman" w:cs="Times New Roman"/>
          <w:sz w:val="28"/>
          <w:szCs w:val="28"/>
        </w:rPr>
        <w:t xml:space="preserve"> в образовательном процессе</w:t>
      </w:r>
    </w:p>
    <w:p w:rsidR="00C822B0" w:rsidRPr="00160BC5" w:rsidRDefault="00C822B0" w:rsidP="00160BC5">
      <w:pPr>
        <w:spacing w:after="0" w:line="240" w:lineRule="auto"/>
        <w:jc w:val="both"/>
        <w:rPr>
          <w:rStyle w:val="a5"/>
          <w:rFonts w:ascii="Times New Roman" w:hAnsi="Times New Roman" w:cs="Times New Roman"/>
          <w:b w:val="0"/>
          <w:sz w:val="28"/>
          <w:szCs w:val="28"/>
        </w:rPr>
      </w:pPr>
    </w:p>
    <w:tbl>
      <w:tblPr>
        <w:tblStyle w:val="a3"/>
        <w:tblW w:w="0" w:type="auto"/>
        <w:tblLook w:val="04A0" w:firstRow="1" w:lastRow="0" w:firstColumn="1" w:lastColumn="0" w:noHBand="0" w:noVBand="1"/>
      </w:tblPr>
      <w:tblGrid>
        <w:gridCol w:w="2122"/>
        <w:gridCol w:w="2976"/>
        <w:gridCol w:w="4530"/>
      </w:tblGrid>
      <w:tr w:rsidR="00481756" w:rsidRPr="00382DF1" w:rsidTr="00160BC5">
        <w:tc>
          <w:tcPr>
            <w:tcW w:w="2122"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Исследователь</w:t>
            </w:r>
          </w:p>
        </w:tc>
        <w:tc>
          <w:tcPr>
            <w:tcW w:w="2976"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 xml:space="preserve">Труды </w:t>
            </w:r>
          </w:p>
        </w:tc>
        <w:tc>
          <w:tcPr>
            <w:tcW w:w="4530" w:type="dxa"/>
            <w:hideMark/>
          </w:tcPr>
          <w:p w:rsidR="00481756" w:rsidRPr="00382DF1" w:rsidRDefault="00481756" w:rsidP="00382DF1">
            <w:pPr>
              <w:jc w:val="both"/>
              <w:rPr>
                <w:rFonts w:ascii="Times New Roman" w:hAnsi="Times New Roman" w:cs="Times New Roman"/>
                <w:b/>
                <w:bCs/>
                <w:sz w:val="28"/>
                <w:szCs w:val="28"/>
              </w:rPr>
            </w:pPr>
            <w:r w:rsidRPr="00382DF1">
              <w:rPr>
                <w:rStyle w:val="a5"/>
                <w:rFonts w:ascii="Times New Roman" w:hAnsi="Times New Roman" w:cs="Times New Roman"/>
                <w:sz w:val="28"/>
                <w:szCs w:val="28"/>
              </w:rPr>
              <w:t>Анализ вклада</w:t>
            </w:r>
          </w:p>
        </w:tc>
      </w:tr>
      <w:tr w:rsidR="00481756" w:rsidRPr="00382DF1" w:rsidTr="00160BC5">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Ю.З. Богданова, Н.Г. Хайруллина</w:t>
            </w:r>
          </w:p>
        </w:tc>
        <w:tc>
          <w:tcPr>
            <w:tcW w:w="297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«Влияние культурного контекста на эффективность образовательного процесса: обобщение российских и международных исследований» [57]</w:t>
            </w:r>
          </w:p>
        </w:tc>
        <w:tc>
          <w:tcPr>
            <w:tcW w:w="453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Исследователи акцентируют внимание на том, что учет культурных различий и адаптация содержания образования к специфике региона повышают эффективность обучения и способствуют более глубокому усвоению материала студентами.</w:t>
            </w:r>
          </w:p>
        </w:tc>
      </w:tr>
      <w:tr w:rsidR="00481756" w:rsidRPr="00382DF1" w:rsidTr="00160BC5">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И.М. Осмоловская, И.В. Шалыгина</w:t>
            </w:r>
          </w:p>
        </w:tc>
        <w:tc>
          <w:tcPr>
            <w:tcW w:w="297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«О культурологическом подходе к формированию содержания образования» [58]</w:t>
            </w:r>
          </w:p>
        </w:tc>
        <w:tc>
          <w:tcPr>
            <w:tcW w:w="453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Авторы подчеркивают значимость культурологического подхода, который обеспечивает связь между социальным опытом и личностным развитием учащихся, способствуя формированию целостной системы знаний и ценностей.</w:t>
            </w:r>
          </w:p>
        </w:tc>
      </w:tr>
      <w:tr w:rsidR="00481756" w:rsidRPr="00382DF1" w:rsidTr="00160BC5">
        <w:tc>
          <w:tcPr>
            <w:tcW w:w="2122" w:type="dxa"/>
            <w:hideMark/>
          </w:tcPr>
          <w:p w:rsidR="00481756" w:rsidRPr="00382DF1" w:rsidRDefault="00481756" w:rsidP="00382DF1">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lastRenderedPageBreak/>
              <w:t>В.Г. Калашников</w:t>
            </w:r>
          </w:p>
        </w:tc>
        <w:tc>
          <w:tcPr>
            <w:tcW w:w="2976"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Статья «Образование в контексте культуры» [59]</w:t>
            </w:r>
          </w:p>
        </w:tc>
        <w:tc>
          <w:tcPr>
            <w:tcW w:w="4530" w:type="dxa"/>
            <w:hideMark/>
          </w:tcPr>
          <w:p w:rsidR="00481756" w:rsidRPr="00382DF1" w:rsidRDefault="00481756" w:rsidP="00382DF1">
            <w:pPr>
              <w:jc w:val="both"/>
              <w:rPr>
                <w:rFonts w:ascii="Times New Roman" w:hAnsi="Times New Roman" w:cs="Times New Roman"/>
                <w:sz w:val="28"/>
                <w:szCs w:val="28"/>
              </w:rPr>
            </w:pPr>
            <w:r w:rsidRPr="00382DF1">
              <w:rPr>
                <w:rFonts w:ascii="Times New Roman" w:hAnsi="Times New Roman" w:cs="Times New Roman"/>
                <w:sz w:val="28"/>
                <w:szCs w:val="28"/>
              </w:rPr>
              <w:t>Калашников отмечает, что понимание культуры как контекста образования позволяет создавать учебные программы, которые отражают ценности и традиции общества, способствуя более глубокому пониманию и усвоению знаний студентами.</w:t>
            </w:r>
          </w:p>
        </w:tc>
      </w:tr>
    </w:tbl>
    <w:p w:rsidR="00160BC5" w:rsidRDefault="00160BC5" w:rsidP="00481756">
      <w:pPr>
        <w:pStyle w:val="a4"/>
        <w:spacing w:before="0" w:beforeAutospacing="0" w:after="0" w:afterAutospacing="0"/>
        <w:ind w:firstLine="851"/>
        <w:jc w:val="both"/>
        <w:rPr>
          <w:sz w:val="28"/>
          <w:szCs w:val="28"/>
        </w:rPr>
      </w:pPr>
      <w:r>
        <w:rPr>
          <w:sz w:val="28"/>
          <w:szCs w:val="28"/>
        </w:rPr>
        <w:t>Продолжение таблицы 10</w:t>
      </w:r>
    </w:p>
    <w:tbl>
      <w:tblPr>
        <w:tblStyle w:val="a3"/>
        <w:tblW w:w="0" w:type="auto"/>
        <w:tblLook w:val="04A0" w:firstRow="1" w:lastRow="0" w:firstColumn="1" w:lastColumn="0" w:noHBand="0" w:noVBand="1"/>
      </w:tblPr>
      <w:tblGrid>
        <w:gridCol w:w="2122"/>
        <w:gridCol w:w="2976"/>
        <w:gridCol w:w="4530"/>
      </w:tblGrid>
      <w:tr w:rsidR="005C43AA" w:rsidTr="005C43AA">
        <w:tc>
          <w:tcPr>
            <w:tcW w:w="2122" w:type="dxa"/>
          </w:tcPr>
          <w:p w:rsidR="005C43AA" w:rsidRPr="00382DF1" w:rsidRDefault="005C43AA" w:rsidP="005C43AA">
            <w:pPr>
              <w:jc w:val="both"/>
              <w:rPr>
                <w:rFonts w:ascii="Times New Roman" w:hAnsi="Times New Roman" w:cs="Times New Roman"/>
                <w:b/>
                <w:sz w:val="28"/>
                <w:szCs w:val="28"/>
              </w:rPr>
            </w:pPr>
            <w:r w:rsidRPr="00382DF1">
              <w:rPr>
                <w:rStyle w:val="a5"/>
                <w:rFonts w:ascii="Times New Roman" w:hAnsi="Times New Roman" w:cs="Times New Roman"/>
                <w:b w:val="0"/>
                <w:sz w:val="28"/>
                <w:szCs w:val="28"/>
              </w:rPr>
              <w:t>И.М. Осмоловская</w:t>
            </w:r>
          </w:p>
        </w:tc>
        <w:tc>
          <w:tcPr>
            <w:tcW w:w="2976" w:type="dxa"/>
          </w:tcPr>
          <w:p w:rsidR="005C43AA" w:rsidRPr="00382DF1" w:rsidRDefault="005C43AA" w:rsidP="005C43AA">
            <w:pPr>
              <w:jc w:val="both"/>
              <w:rPr>
                <w:rFonts w:ascii="Times New Roman" w:hAnsi="Times New Roman" w:cs="Times New Roman"/>
                <w:sz w:val="28"/>
                <w:szCs w:val="28"/>
              </w:rPr>
            </w:pPr>
            <w:r w:rsidRPr="00382DF1">
              <w:rPr>
                <w:rFonts w:ascii="Times New Roman" w:hAnsi="Times New Roman" w:cs="Times New Roman"/>
                <w:sz w:val="28"/>
                <w:szCs w:val="28"/>
              </w:rPr>
              <w:t>Статья «Создание культурологической теории содержания образования и ее развитие в современных исследованиях» [60]</w:t>
            </w:r>
          </w:p>
        </w:tc>
        <w:tc>
          <w:tcPr>
            <w:tcW w:w="4530" w:type="dxa"/>
          </w:tcPr>
          <w:p w:rsidR="005C43AA" w:rsidRPr="00382DF1" w:rsidRDefault="005C43AA" w:rsidP="005C43AA">
            <w:pPr>
              <w:jc w:val="both"/>
              <w:rPr>
                <w:rFonts w:ascii="Times New Roman" w:hAnsi="Times New Roman" w:cs="Times New Roman"/>
                <w:sz w:val="28"/>
                <w:szCs w:val="28"/>
              </w:rPr>
            </w:pPr>
            <w:r w:rsidRPr="00382DF1">
              <w:rPr>
                <w:rFonts w:ascii="Times New Roman" w:hAnsi="Times New Roman" w:cs="Times New Roman"/>
                <w:sz w:val="28"/>
                <w:szCs w:val="28"/>
              </w:rPr>
              <w:t>Осмоловская акцентирует внимание на необходимости интеграции культурных ценностей в содержание образования, что способствует формированию у студентов устойчивых ценностных ориентаций и готовности к жизни в современном обществе.</w:t>
            </w:r>
          </w:p>
        </w:tc>
      </w:tr>
    </w:tbl>
    <w:p w:rsidR="00160BC5" w:rsidRDefault="00160BC5" w:rsidP="00481756">
      <w:pPr>
        <w:pStyle w:val="a4"/>
        <w:spacing w:before="0" w:beforeAutospacing="0" w:after="0" w:afterAutospacing="0"/>
        <w:ind w:firstLine="851"/>
        <w:jc w:val="both"/>
        <w:rPr>
          <w:sz w:val="28"/>
          <w:szCs w:val="28"/>
        </w:rPr>
      </w:pPr>
    </w:p>
    <w:p w:rsidR="00481756" w:rsidRPr="00382DF1" w:rsidRDefault="00481756" w:rsidP="005C43AA">
      <w:pPr>
        <w:pStyle w:val="a4"/>
        <w:spacing w:before="0" w:beforeAutospacing="0" w:after="0" w:afterAutospacing="0"/>
        <w:ind w:firstLine="851"/>
        <w:jc w:val="both"/>
        <w:rPr>
          <w:sz w:val="28"/>
          <w:szCs w:val="28"/>
        </w:rPr>
      </w:pPr>
      <w:r w:rsidRPr="00382DF1">
        <w:rPr>
          <w:sz w:val="28"/>
          <w:szCs w:val="28"/>
        </w:rPr>
        <w:t>Анализ этих трудов подчеркивает значимость учета культурного контекста и практической ценности в процессе формирования содержания образования. Адаптация учебных материалов к культурным и региональным особенностям студентов способствует повышению эффективности обучения и более глубокому усвоению материала.</w:t>
      </w:r>
    </w:p>
    <w:p w:rsidR="00481756" w:rsidRPr="00382DF1" w:rsidRDefault="00481756" w:rsidP="005C43AA">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Таким образом, методическая организация упражнений требует тщательной подготовки и учета многих факторов: образовательных целей, уровня подготовки студентов, используемых технологий и форматов обучения. Это позволяет сделать процесс выполнения упражнений не только эффективным, но и увлекательным, способствующим развитию профессиональных и личностных компетенций.</w:t>
      </w:r>
    </w:p>
    <w:p w:rsidR="00481756" w:rsidRPr="00382DF1" w:rsidRDefault="00481756" w:rsidP="005C43AA">
      <w:pPr>
        <w:pStyle w:val="a4"/>
        <w:spacing w:before="0" w:beforeAutospacing="0" w:after="0" w:afterAutospacing="0"/>
        <w:ind w:firstLine="851"/>
        <w:jc w:val="both"/>
        <w:rPr>
          <w:sz w:val="28"/>
          <w:szCs w:val="28"/>
        </w:rPr>
      </w:pPr>
      <w:r w:rsidRPr="00382DF1">
        <w:rPr>
          <w:sz w:val="28"/>
          <w:szCs w:val="28"/>
        </w:rPr>
        <w:t>Формирование профессиональной направленности студентов является комплексным процессом, требующим создания благоприятной образовательной среды, учитывающей психолого-педагогические условия. Важную роль в этом процессе играет применение стохастико-игровых упражнений, которые способствуют не только усвоению профессиональных знаний и навыков, но и развитию критического мышления, адаптивности, способности принимать решения в условиях неопределенности. Однако эффективность данного подхода во многом определяется уровнем мотивации студентов, их вовлеченностью в учебный процесс и возможностью видеть перспективы профессионального роста.</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 xml:space="preserve">Одним из ключевых факторов, обеспечивающих успешность формирования профессиональной направленности, является учет когнитивных и личностных особенностей студентов. Исследования показывают, что индивидуальные стили обучения, мотивация, а также критическое мышление оказывают значительное влияние на восприятие сложных концепций, таких как стохастика и теория игр. Поэтому образовательные стратегии должны быть </w:t>
      </w:r>
      <w:r w:rsidRPr="00382DF1">
        <w:rPr>
          <w:sz w:val="28"/>
          <w:szCs w:val="28"/>
        </w:rPr>
        <w:lastRenderedPageBreak/>
        <w:t>адаптированы к индивидуальным возможностям студентов, что позволит максимально раскрыть их потенциал.</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Создание стимулирующей образовательной среды, включающей эмоциональную поддержку, интерактивные методы обучения и интересные задачи, играет важную роль в формировании устойчивой мотивации студентов. Преподаватель, как ключевая фигура образовательного процесса, должен не только обеспечивать подачу знаний, но и выполнять роль модератора, направляющего дискуссии, стимулирующего поиск решений и создающего условия для активного взаимодействия студентов. Использование игровых методов и стохастических упражнений способствует моделированию профессиональных ситуаций, что помогает студентам развивать аналитические и стратегические навыки, необходимые в будущей деятельности.</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Еще одним важным аспектом является методическая организация упражнений, предполагающая постепенное усложнение заданий, их практическую направленность и интеграцию стохастических элементов. Такой подход позволяет студентам осваивать материал более эффективно, развивать гибкость мышления и навыки работы в условиях неопределенности. При этом образовательный процесс должен быть организован таким образом, чтобы включать элементы групповой и индивидуальной работы, обеспечивая баланс между коллективным обсуждением решений и индивидуальным анализом информации.</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Интеграция междисциплинарных подходов, проектной деятельности и современных технологий делает образовательный процесс более целостным, практичным и ориентированным на формирование профессиональных компетенций. Использование цифровых платформ, игровых технологий и дистанционного обучения позволяет повысить качество образовательного процесса, расширить доступ к материалам и создать условия для интерактивного взаимодействия между студентами и преподавателями. Кроме того, важную роль играет мониторинг и оценка эффективности обучения, позволяющие корректировать содержание курса и адаптировать методы преподавания в соответствии с потребностями студентов.</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Контекстуализация и актуализация образовательного материала делают процесс обучения более осмысленным и практикоориентированным. Адаптация задач к реальным профессиональным ситуациям, учет культурных и региональных особенностей способствуют повышению мотивации студентов и лучшему усвоению знаний. Такой подход позволяет студентам увидеть практическую ценность получаемых знаний и сформировать уверенность в их применении в профессиональной деятельности.</w:t>
      </w:r>
    </w:p>
    <w:p w:rsidR="00481756" w:rsidRPr="00382DF1" w:rsidRDefault="00481756" w:rsidP="00481756">
      <w:pPr>
        <w:pStyle w:val="a4"/>
        <w:spacing w:before="0" w:beforeAutospacing="0" w:after="0" w:afterAutospacing="0"/>
        <w:ind w:firstLine="851"/>
        <w:jc w:val="both"/>
        <w:rPr>
          <w:sz w:val="28"/>
          <w:szCs w:val="28"/>
        </w:rPr>
      </w:pPr>
      <w:r w:rsidRPr="00382DF1">
        <w:rPr>
          <w:sz w:val="28"/>
          <w:szCs w:val="28"/>
        </w:rPr>
        <w:t xml:space="preserve">Таким образом, формирование профессиональной направленности студентов в образовательной среде требует комплексного подхода, включающего учет индивидуальных особенностей обучающихся, создание мотивирующей образовательной среды, интеграцию современных методик и технологий, а также постоянный мониторинг эффективности образовательного процесса. Стохастико-игровые упражнения в сочетании с адаптивными методами преподавания и активным взаимодействием студентов и </w:t>
      </w:r>
      <w:r w:rsidRPr="00382DF1">
        <w:rPr>
          <w:sz w:val="28"/>
          <w:szCs w:val="28"/>
        </w:rPr>
        <w:lastRenderedPageBreak/>
        <w:t>преподавателей позволяют не только повысить уровень профессиональной подготовки, но и сформировать у студентов навыки, необходимые для успешной карьеры в условиях быстро меняющегося профессионального мира.</w:t>
      </w:r>
    </w:p>
    <w:p w:rsidR="00C822B0" w:rsidRDefault="00C822B0" w:rsidP="00382DF1">
      <w:pPr>
        <w:spacing w:after="0" w:line="240" w:lineRule="auto"/>
        <w:ind w:firstLine="709"/>
        <w:jc w:val="both"/>
        <w:rPr>
          <w:rFonts w:ascii="Times New Roman" w:hAnsi="Times New Roman" w:cs="Times New Roman"/>
          <w:b/>
          <w:sz w:val="28"/>
          <w:szCs w:val="28"/>
        </w:rPr>
      </w:pPr>
    </w:p>
    <w:p w:rsidR="00382DF1" w:rsidRDefault="00382DF1" w:rsidP="00382DF1">
      <w:pPr>
        <w:spacing w:after="0" w:line="240" w:lineRule="auto"/>
        <w:ind w:firstLine="709"/>
        <w:jc w:val="both"/>
        <w:rPr>
          <w:rFonts w:ascii="Times New Roman" w:hAnsi="Times New Roman" w:cs="Times New Roman"/>
          <w:b/>
          <w:sz w:val="28"/>
          <w:szCs w:val="28"/>
        </w:rPr>
      </w:pPr>
      <w:r w:rsidRPr="00DA0296">
        <w:rPr>
          <w:rFonts w:ascii="Times New Roman" w:hAnsi="Times New Roman" w:cs="Times New Roman"/>
          <w:b/>
          <w:sz w:val="28"/>
          <w:szCs w:val="28"/>
        </w:rPr>
        <w:t>1.3. Роль задач по стохастике и теории игр в педагогике.</w:t>
      </w:r>
    </w:p>
    <w:p w:rsidR="00DA0296" w:rsidRPr="00DA0296" w:rsidRDefault="00DA0296" w:rsidP="00382DF1">
      <w:pPr>
        <w:spacing w:after="0" w:line="240" w:lineRule="auto"/>
        <w:ind w:firstLine="709"/>
        <w:jc w:val="both"/>
        <w:rPr>
          <w:rFonts w:ascii="Times New Roman" w:hAnsi="Times New Roman" w:cs="Times New Roman"/>
          <w:b/>
          <w:sz w:val="28"/>
          <w:szCs w:val="28"/>
        </w:rPr>
      </w:pP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Математика играет ключевую роль в педагогике, поскольку она способствует развитию критического мышления, логического анализа, способности решать проблемы и структурировать информацию. Это делает её важным инструментом как для формирования базовых навыков у обучающихся, так и для подготовки их к дальнейшей интеллектуальной и профессиональной деятельности.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Одним из центральных аспектов значения математики в педагогике является её универсальность. Она применяется в различных сферах знаний, от естественных наук до экономики и социальной статистики. Через изучение математики учащиеся осваивают не только предметные знания, но и развивают метапредметные навыки, такие как </w:t>
      </w:r>
      <w:proofErr w:type="gramStart"/>
      <w:r w:rsidRPr="00382DF1">
        <w:rPr>
          <w:sz w:val="28"/>
          <w:szCs w:val="28"/>
        </w:rPr>
        <w:t>умение</w:t>
      </w:r>
      <w:proofErr w:type="gramEnd"/>
      <w:r w:rsidRPr="00382DF1">
        <w:rPr>
          <w:sz w:val="28"/>
          <w:szCs w:val="28"/>
        </w:rPr>
        <w:t xml:space="preserve"> планировать, анализировать и делать обоснованные выводы.</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Современные подходы к преподаванию математики активно используют технологии, игровые элементы и практические задачи, что делает обучение более интерактивным и увлекательным. Также большое значение имеет дифференцированный подход, который учитывает индивидуальные особенности учеников, их уровень подготовки и интересы.</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Таким образом, математика в педагогике – это не только средство обучения, но и инструмент для формирования ключевых компетенций, необходимых для успешной жизни в современном мире. Труды классиков и современных исследователей продолжают формировать теоретическую и практическую базу для повышения эффективности математического образования. </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Также современный мир полон неопределенности и стратегических взаимодействий. От прогнозирования погоды до финансовых рынков, от спортивных соревнований до политических решений — везде присутствуют элементы случайности и конкуренции. Для анализа таких явлений математика разработала две мощные дисциплины: </w:t>
      </w:r>
      <w:r w:rsidRPr="00382DF1">
        <w:rPr>
          <w:rStyle w:val="a5"/>
          <w:b w:val="0"/>
          <w:sz w:val="28"/>
          <w:szCs w:val="28"/>
        </w:rPr>
        <w:t>стохастику</w:t>
      </w:r>
      <w:r w:rsidRPr="00382DF1">
        <w:rPr>
          <w:b/>
          <w:sz w:val="28"/>
          <w:szCs w:val="28"/>
        </w:rPr>
        <w:t xml:space="preserve"> </w:t>
      </w:r>
      <w:r w:rsidRPr="00382DF1">
        <w:rPr>
          <w:sz w:val="28"/>
          <w:szCs w:val="28"/>
        </w:rPr>
        <w:t xml:space="preserve">и </w:t>
      </w:r>
      <w:r w:rsidRPr="00382DF1">
        <w:rPr>
          <w:rStyle w:val="a5"/>
          <w:b w:val="0"/>
          <w:sz w:val="28"/>
          <w:szCs w:val="28"/>
        </w:rPr>
        <w:t>теорию игр</w:t>
      </w:r>
      <w:r w:rsidRPr="00382DF1">
        <w:rPr>
          <w:sz w:val="28"/>
          <w:szCs w:val="28"/>
        </w:rPr>
        <w:t>.</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Стохастика изучает случайные процессы и вероятностные модели, помогая предсказывать будущее на основе статистических данных. Теория игр, в свою очередь, анализирует поведение разумных агентов в конкурентной или кооперативной среде, позволяя находить оптимальные стратегии в сложных ситуациях. Объединение этих областей открывает новые возможности для понимания сложных систем, где случайность и стратегия играют ключевую роль.</w:t>
      </w:r>
    </w:p>
    <w:p w:rsidR="00382DF1" w:rsidRPr="00382DF1" w:rsidRDefault="00382DF1" w:rsidP="00382DF1">
      <w:pPr>
        <w:spacing w:after="0" w:line="240" w:lineRule="auto"/>
        <w:ind w:firstLine="851"/>
        <w:jc w:val="both"/>
        <w:outlineLvl w:val="2"/>
        <w:rPr>
          <w:rFonts w:ascii="Times New Roman" w:eastAsia="Times New Roman" w:hAnsi="Times New Roman" w:cs="Times New Roman"/>
          <w:bCs/>
          <w:sz w:val="28"/>
          <w:szCs w:val="28"/>
          <w:lang w:eastAsia="ru-RU"/>
        </w:rPr>
      </w:pPr>
      <w:r w:rsidRPr="00382DF1">
        <w:rPr>
          <w:rFonts w:ascii="Times New Roman" w:eastAsia="Times New Roman" w:hAnsi="Times New Roman" w:cs="Times New Roman"/>
          <w:bCs/>
          <w:sz w:val="28"/>
          <w:szCs w:val="28"/>
          <w:lang w:eastAsia="ru-RU"/>
        </w:rPr>
        <w:t>Стохастика и теория игр: основные направления и взаимосвязи</w:t>
      </w:r>
    </w:p>
    <w:p w:rsidR="00382DF1" w:rsidRPr="00382DF1" w:rsidRDefault="00382DF1" w:rsidP="00382DF1">
      <w:pPr>
        <w:spacing w:after="0" w:line="240" w:lineRule="auto"/>
        <w:ind w:firstLine="851"/>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Cs/>
          <w:sz w:val="28"/>
          <w:szCs w:val="28"/>
          <w:lang w:eastAsia="ru-RU"/>
        </w:rPr>
        <w:t>1. Теория вероятностей</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Теория вероятностей занимается анализом случайных процессов и вероятностных явлений. Она включает в себя следующие ключевые направления:</w:t>
      </w:r>
    </w:p>
    <w:p w:rsidR="00382DF1" w:rsidRPr="00382DF1" w:rsidRDefault="00382DF1" w:rsidP="00382DF1">
      <w:pPr>
        <w:numPr>
          <w:ilvl w:val="0"/>
          <w:numId w:val="11"/>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Вероятностные модели</w:t>
      </w:r>
      <w:r w:rsidRPr="00382DF1">
        <w:rPr>
          <w:rFonts w:ascii="Times New Roman" w:eastAsia="Times New Roman" w:hAnsi="Times New Roman" w:cs="Times New Roman"/>
          <w:sz w:val="28"/>
          <w:szCs w:val="28"/>
          <w:lang w:eastAsia="ru-RU"/>
        </w:rPr>
        <w:t xml:space="preserve"> – математические конструкции, описывающие случайные события.</w:t>
      </w:r>
    </w:p>
    <w:p w:rsidR="00382DF1" w:rsidRPr="00382DF1" w:rsidRDefault="00382DF1" w:rsidP="00382DF1">
      <w:pPr>
        <w:numPr>
          <w:ilvl w:val="0"/>
          <w:numId w:val="11"/>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Случайные величины</w:t>
      </w:r>
      <w:r w:rsidRPr="00382DF1">
        <w:rPr>
          <w:rFonts w:ascii="Times New Roman" w:eastAsia="Times New Roman" w:hAnsi="Times New Roman" w:cs="Times New Roman"/>
          <w:sz w:val="28"/>
          <w:szCs w:val="28"/>
          <w:lang w:eastAsia="ru-RU"/>
        </w:rPr>
        <w:t xml:space="preserve"> – числовые значения, принимаемые в зависимости от случайных событий.</w:t>
      </w:r>
    </w:p>
    <w:p w:rsidR="00382DF1" w:rsidRPr="00382DF1" w:rsidRDefault="00382DF1" w:rsidP="00382DF1">
      <w:pPr>
        <w:numPr>
          <w:ilvl w:val="0"/>
          <w:numId w:val="11"/>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Распределения</w:t>
      </w:r>
      <w:r w:rsidRPr="00382DF1">
        <w:rPr>
          <w:rFonts w:ascii="Times New Roman" w:eastAsia="Times New Roman" w:hAnsi="Times New Roman" w:cs="Times New Roman"/>
          <w:sz w:val="28"/>
          <w:szCs w:val="28"/>
          <w:lang w:eastAsia="ru-RU"/>
        </w:rPr>
        <w:t xml:space="preserve"> – законы, описывающие вероятность различных значений случайной величины (например, нормальное, Пуассона, экспоненциальное распределения).</w:t>
      </w:r>
    </w:p>
    <w:p w:rsidR="00382DF1" w:rsidRPr="00382DF1" w:rsidRDefault="00382DF1" w:rsidP="00382DF1">
      <w:pPr>
        <w:numPr>
          <w:ilvl w:val="0"/>
          <w:numId w:val="11"/>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Марковские процессы</w:t>
      </w:r>
      <w:r w:rsidRPr="00382DF1">
        <w:rPr>
          <w:rFonts w:ascii="Times New Roman" w:eastAsia="Times New Roman" w:hAnsi="Times New Roman" w:cs="Times New Roman"/>
          <w:sz w:val="28"/>
          <w:szCs w:val="28"/>
          <w:lang w:eastAsia="ru-RU"/>
        </w:rPr>
        <w:t xml:space="preserve"> – модели, в которых будущее состояние зависит только от текущего состояния, а не от предшествующих событий.</w:t>
      </w:r>
    </w:p>
    <w:p w:rsidR="00382DF1" w:rsidRPr="00382DF1" w:rsidRDefault="00382DF1" w:rsidP="00382DF1">
      <w:pPr>
        <w:numPr>
          <w:ilvl w:val="0"/>
          <w:numId w:val="11"/>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Прогнозирование</w:t>
      </w:r>
      <w:r w:rsidRPr="00382DF1">
        <w:rPr>
          <w:rFonts w:ascii="Times New Roman" w:eastAsia="Times New Roman" w:hAnsi="Times New Roman" w:cs="Times New Roman"/>
          <w:sz w:val="28"/>
          <w:szCs w:val="28"/>
          <w:lang w:eastAsia="ru-RU"/>
        </w:rPr>
        <w:t xml:space="preserve"> – использование стохастических моделей для предсказания будущих событий, например, в экономике, финансах или природных явлениях.</w:t>
      </w:r>
    </w:p>
    <w:p w:rsidR="00382DF1" w:rsidRPr="00382DF1" w:rsidRDefault="00382DF1" w:rsidP="00382DF1">
      <w:pPr>
        <w:spacing w:after="0" w:line="240" w:lineRule="auto"/>
        <w:ind w:firstLine="851"/>
        <w:jc w:val="both"/>
        <w:outlineLvl w:val="3"/>
        <w:rPr>
          <w:rFonts w:ascii="Times New Roman" w:eastAsia="Times New Roman" w:hAnsi="Times New Roman" w:cs="Times New Roman"/>
          <w:bCs/>
          <w:sz w:val="28"/>
          <w:szCs w:val="28"/>
          <w:lang w:eastAsia="ru-RU"/>
        </w:rPr>
      </w:pPr>
      <w:r w:rsidRPr="00382DF1">
        <w:rPr>
          <w:rFonts w:ascii="Times New Roman" w:eastAsia="Times New Roman" w:hAnsi="Times New Roman" w:cs="Times New Roman"/>
          <w:bCs/>
          <w:sz w:val="28"/>
          <w:szCs w:val="28"/>
          <w:lang w:eastAsia="ru-RU"/>
        </w:rPr>
        <w:t>2. Математическая статистика</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Математическая статистика – это область математики, изучающая методы сбора, обработки, анализа и интерпретации данных. Она основывается на вероятностных моделях и тесно связана со стохастикой. Основные направления:</w:t>
      </w:r>
    </w:p>
    <w:p w:rsidR="00382DF1" w:rsidRPr="00382DF1" w:rsidRDefault="00382DF1" w:rsidP="00382DF1">
      <w:pPr>
        <w:numPr>
          <w:ilvl w:val="0"/>
          <w:numId w:val="12"/>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Выборки и оценка параметров</w:t>
      </w:r>
      <w:r w:rsidRPr="00382DF1">
        <w:rPr>
          <w:rFonts w:ascii="Times New Roman" w:eastAsia="Times New Roman" w:hAnsi="Times New Roman" w:cs="Times New Roman"/>
          <w:sz w:val="28"/>
          <w:szCs w:val="28"/>
          <w:lang w:eastAsia="ru-RU"/>
        </w:rPr>
        <w:t xml:space="preserve"> – анализ подмножеств данных для вывода о генеральной совокупности.</w:t>
      </w:r>
    </w:p>
    <w:p w:rsidR="00382DF1" w:rsidRPr="00382DF1" w:rsidRDefault="00382DF1" w:rsidP="00382DF1">
      <w:pPr>
        <w:numPr>
          <w:ilvl w:val="0"/>
          <w:numId w:val="12"/>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Статистические гипотезы</w:t>
      </w:r>
      <w:r w:rsidRPr="00382DF1">
        <w:rPr>
          <w:rFonts w:ascii="Times New Roman" w:eastAsia="Times New Roman" w:hAnsi="Times New Roman" w:cs="Times New Roman"/>
          <w:sz w:val="28"/>
          <w:szCs w:val="28"/>
          <w:lang w:eastAsia="ru-RU"/>
        </w:rPr>
        <w:t xml:space="preserve"> – проверка предположений о распределении случайных величин.</w:t>
      </w:r>
    </w:p>
    <w:p w:rsidR="00382DF1" w:rsidRPr="00382DF1" w:rsidRDefault="00382DF1" w:rsidP="00382DF1">
      <w:pPr>
        <w:numPr>
          <w:ilvl w:val="0"/>
          <w:numId w:val="12"/>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Регрессионный анализ</w:t>
      </w:r>
      <w:r w:rsidRPr="00382DF1">
        <w:rPr>
          <w:rFonts w:ascii="Times New Roman" w:eastAsia="Times New Roman" w:hAnsi="Times New Roman" w:cs="Times New Roman"/>
          <w:sz w:val="28"/>
          <w:szCs w:val="28"/>
          <w:lang w:eastAsia="ru-RU"/>
        </w:rPr>
        <w:t xml:space="preserve"> – установление зависимостей между переменными.</w:t>
      </w:r>
    </w:p>
    <w:p w:rsidR="00382DF1" w:rsidRPr="00382DF1" w:rsidRDefault="00382DF1" w:rsidP="00382DF1">
      <w:pPr>
        <w:numPr>
          <w:ilvl w:val="0"/>
          <w:numId w:val="12"/>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Корреляция и ковариация</w:t>
      </w:r>
      <w:r w:rsidRPr="00382DF1">
        <w:rPr>
          <w:rFonts w:ascii="Times New Roman" w:eastAsia="Times New Roman" w:hAnsi="Times New Roman" w:cs="Times New Roman"/>
          <w:sz w:val="28"/>
          <w:szCs w:val="28"/>
          <w:lang w:eastAsia="ru-RU"/>
        </w:rPr>
        <w:t xml:space="preserve"> – измерение степени связи между переменными.</w:t>
      </w:r>
    </w:p>
    <w:p w:rsidR="00382DF1" w:rsidRPr="00382DF1" w:rsidRDefault="00382DF1" w:rsidP="00382DF1">
      <w:pPr>
        <w:numPr>
          <w:ilvl w:val="0"/>
          <w:numId w:val="12"/>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Байесовская статистика</w:t>
      </w:r>
      <w:r w:rsidRPr="00382DF1">
        <w:rPr>
          <w:rFonts w:ascii="Times New Roman" w:eastAsia="Times New Roman" w:hAnsi="Times New Roman" w:cs="Times New Roman"/>
          <w:sz w:val="28"/>
          <w:szCs w:val="28"/>
          <w:lang w:eastAsia="ru-RU"/>
        </w:rPr>
        <w:t xml:space="preserve"> – применение вероятностных методов для обновления знаний на основе новых данных.</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Математическая статистика активно применяется в машинном обучении, экономике, социологии и других областях, требующих анализа данных.</w:t>
      </w:r>
    </w:p>
    <w:p w:rsidR="00382DF1" w:rsidRPr="00382DF1" w:rsidRDefault="00382DF1" w:rsidP="00382DF1">
      <w:pPr>
        <w:spacing w:after="0" w:line="240" w:lineRule="auto"/>
        <w:ind w:firstLine="851"/>
        <w:jc w:val="both"/>
        <w:outlineLvl w:val="3"/>
        <w:rPr>
          <w:rFonts w:ascii="Times New Roman" w:eastAsia="Times New Roman" w:hAnsi="Times New Roman" w:cs="Times New Roman"/>
          <w:bCs/>
          <w:sz w:val="28"/>
          <w:szCs w:val="28"/>
          <w:lang w:eastAsia="ru-RU"/>
        </w:rPr>
      </w:pPr>
      <w:r w:rsidRPr="00382DF1">
        <w:rPr>
          <w:rFonts w:ascii="Times New Roman" w:eastAsia="Times New Roman" w:hAnsi="Times New Roman" w:cs="Times New Roman"/>
          <w:bCs/>
          <w:sz w:val="28"/>
          <w:szCs w:val="28"/>
          <w:lang w:eastAsia="ru-RU"/>
        </w:rPr>
        <w:t>3. Теория игр</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Теория игр изучает стратегические взаимодействия между рациональными агентами (игроками). Ее основные концепции:</w:t>
      </w:r>
    </w:p>
    <w:p w:rsidR="00382DF1" w:rsidRPr="00382DF1" w:rsidRDefault="00382DF1" w:rsidP="00382DF1">
      <w:pPr>
        <w:numPr>
          <w:ilvl w:val="0"/>
          <w:numId w:val="13"/>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Игроки</w:t>
      </w:r>
      <w:r w:rsidRPr="00382DF1">
        <w:rPr>
          <w:rFonts w:ascii="Times New Roman" w:eastAsia="Times New Roman" w:hAnsi="Times New Roman" w:cs="Times New Roman"/>
          <w:sz w:val="28"/>
          <w:szCs w:val="28"/>
          <w:lang w:eastAsia="ru-RU"/>
        </w:rPr>
        <w:t xml:space="preserve"> – участники взаимодействия, принимающие решения.</w:t>
      </w:r>
    </w:p>
    <w:p w:rsidR="00382DF1" w:rsidRPr="00382DF1" w:rsidRDefault="00382DF1" w:rsidP="00382DF1">
      <w:pPr>
        <w:numPr>
          <w:ilvl w:val="0"/>
          <w:numId w:val="13"/>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Стратегии</w:t>
      </w:r>
      <w:r w:rsidRPr="00382DF1">
        <w:rPr>
          <w:rFonts w:ascii="Times New Roman" w:eastAsia="Times New Roman" w:hAnsi="Times New Roman" w:cs="Times New Roman"/>
          <w:sz w:val="28"/>
          <w:szCs w:val="28"/>
          <w:lang w:eastAsia="ru-RU"/>
        </w:rPr>
        <w:t xml:space="preserve"> – возможные действия игроков в различных ситуациях.</w:t>
      </w:r>
    </w:p>
    <w:p w:rsidR="00382DF1" w:rsidRPr="00382DF1" w:rsidRDefault="00382DF1" w:rsidP="00382DF1">
      <w:pPr>
        <w:numPr>
          <w:ilvl w:val="0"/>
          <w:numId w:val="13"/>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Выигрыши</w:t>
      </w:r>
      <w:r w:rsidRPr="00382DF1">
        <w:rPr>
          <w:rFonts w:ascii="Times New Roman" w:eastAsia="Times New Roman" w:hAnsi="Times New Roman" w:cs="Times New Roman"/>
          <w:sz w:val="28"/>
          <w:szCs w:val="28"/>
          <w:lang w:eastAsia="ru-RU"/>
        </w:rPr>
        <w:t xml:space="preserve"> – результаты стратегических решений игроков.</w:t>
      </w:r>
    </w:p>
    <w:p w:rsidR="00382DF1" w:rsidRPr="00382DF1" w:rsidRDefault="00382DF1" w:rsidP="00382DF1">
      <w:pPr>
        <w:numPr>
          <w:ilvl w:val="0"/>
          <w:numId w:val="13"/>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Оптимизация решений</w:t>
      </w:r>
      <w:r w:rsidRPr="00382DF1">
        <w:rPr>
          <w:rFonts w:ascii="Times New Roman" w:eastAsia="Times New Roman" w:hAnsi="Times New Roman" w:cs="Times New Roman"/>
          <w:sz w:val="28"/>
          <w:szCs w:val="28"/>
          <w:lang w:eastAsia="ru-RU"/>
        </w:rPr>
        <w:t xml:space="preserve"> – поиск наилучшей стратегии для максимизации выигрыша.</w:t>
      </w:r>
    </w:p>
    <w:p w:rsidR="00382DF1" w:rsidRPr="00382DF1" w:rsidRDefault="00382DF1" w:rsidP="00382DF1">
      <w:pPr>
        <w:numPr>
          <w:ilvl w:val="0"/>
          <w:numId w:val="13"/>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Равновесие Нэша</w:t>
      </w:r>
      <w:r w:rsidRPr="00382DF1">
        <w:rPr>
          <w:rFonts w:ascii="Times New Roman" w:eastAsia="Times New Roman" w:hAnsi="Times New Roman" w:cs="Times New Roman"/>
          <w:sz w:val="28"/>
          <w:szCs w:val="28"/>
          <w:lang w:eastAsia="ru-RU"/>
        </w:rPr>
        <w:t xml:space="preserve"> – состояние, при котором ни один игрок не может улучшить свой результат, изменив свою стратегию в одностороннем порядке.</w:t>
      </w:r>
    </w:p>
    <w:p w:rsidR="00382DF1" w:rsidRPr="00382DF1" w:rsidRDefault="00382DF1" w:rsidP="00382DF1">
      <w:pPr>
        <w:numPr>
          <w:ilvl w:val="0"/>
          <w:numId w:val="13"/>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lastRenderedPageBreak/>
        <w:t>Анализ конкуренции и кооперации</w:t>
      </w:r>
      <w:r w:rsidRPr="00382DF1">
        <w:rPr>
          <w:rFonts w:ascii="Times New Roman" w:eastAsia="Times New Roman" w:hAnsi="Times New Roman" w:cs="Times New Roman"/>
          <w:sz w:val="28"/>
          <w:szCs w:val="28"/>
          <w:lang w:eastAsia="ru-RU"/>
        </w:rPr>
        <w:t xml:space="preserve"> – изучение взаимодействий между игроками, возможных альянсов и стратегий взаимодействия.</w:t>
      </w:r>
    </w:p>
    <w:p w:rsidR="00382DF1" w:rsidRPr="00382DF1" w:rsidRDefault="00382DF1" w:rsidP="00382DF1">
      <w:pPr>
        <w:spacing w:after="0" w:line="240" w:lineRule="auto"/>
        <w:ind w:firstLine="851"/>
        <w:jc w:val="both"/>
        <w:outlineLvl w:val="3"/>
        <w:rPr>
          <w:rFonts w:ascii="Times New Roman" w:eastAsia="Times New Roman" w:hAnsi="Times New Roman" w:cs="Times New Roman"/>
          <w:bCs/>
          <w:sz w:val="28"/>
          <w:szCs w:val="28"/>
          <w:lang w:eastAsia="ru-RU"/>
        </w:rPr>
      </w:pPr>
      <w:r w:rsidRPr="00382DF1">
        <w:rPr>
          <w:rFonts w:ascii="Times New Roman" w:eastAsia="Times New Roman" w:hAnsi="Times New Roman" w:cs="Times New Roman"/>
          <w:bCs/>
          <w:sz w:val="28"/>
          <w:szCs w:val="28"/>
          <w:lang w:eastAsia="ru-RU"/>
        </w:rPr>
        <w:t>4. Взаимосвязь стохастики и теории игр</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Стохастика и теория игр пересекаются в различных областях науки и практики:</w:t>
      </w:r>
    </w:p>
    <w:p w:rsidR="00382DF1" w:rsidRPr="00382DF1" w:rsidRDefault="00382DF1" w:rsidP="00382DF1">
      <w:pPr>
        <w:numPr>
          <w:ilvl w:val="0"/>
          <w:numId w:val="14"/>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Стохастические игры</w:t>
      </w:r>
      <w:r w:rsidRPr="00382DF1">
        <w:rPr>
          <w:rFonts w:ascii="Times New Roman" w:eastAsia="Times New Roman" w:hAnsi="Times New Roman" w:cs="Times New Roman"/>
          <w:sz w:val="28"/>
          <w:szCs w:val="28"/>
          <w:lang w:eastAsia="ru-RU"/>
        </w:rPr>
        <w:t xml:space="preserve"> – игры, где результат зависит не только от действий игроков, но и от случайных факторов.</w:t>
      </w:r>
    </w:p>
    <w:p w:rsidR="00382DF1" w:rsidRPr="00382DF1" w:rsidRDefault="00382DF1" w:rsidP="00382DF1">
      <w:pPr>
        <w:numPr>
          <w:ilvl w:val="0"/>
          <w:numId w:val="14"/>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Риск и неопределенность</w:t>
      </w:r>
      <w:r w:rsidRPr="00382DF1">
        <w:rPr>
          <w:rFonts w:ascii="Times New Roman" w:eastAsia="Times New Roman" w:hAnsi="Times New Roman" w:cs="Times New Roman"/>
          <w:sz w:val="28"/>
          <w:szCs w:val="28"/>
          <w:lang w:eastAsia="ru-RU"/>
        </w:rPr>
        <w:t xml:space="preserve"> – стохастика помогает моделировать поведение игроков в условиях случайных событий.</w:t>
      </w:r>
    </w:p>
    <w:p w:rsidR="00382DF1" w:rsidRPr="00382DF1" w:rsidRDefault="00382DF1" w:rsidP="00382DF1">
      <w:pPr>
        <w:numPr>
          <w:ilvl w:val="0"/>
          <w:numId w:val="14"/>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Финансовые модели и прогнозирование</w:t>
      </w:r>
      <w:r w:rsidRPr="00382DF1">
        <w:rPr>
          <w:rFonts w:ascii="Times New Roman" w:eastAsia="Times New Roman" w:hAnsi="Times New Roman" w:cs="Times New Roman"/>
          <w:sz w:val="28"/>
          <w:szCs w:val="28"/>
          <w:lang w:eastAsia="ru-RU"/>
        </w:rPr>
        <w:t xml:space="preserve"> – стохастические методы и статистический анализ используются для оценки стратегий в экономике.</w:t>
      </w:r>
    </w:p>
    <w:p w:rsidR="00382DF1" w:rsidRPr="00382DF1" w:rsidRDefault="00382DF1" w:rsidP="00382DF1">
      <w:pPr>
        <w:numPr>
          <w:ilvl w:val="0"/>
          <w:numId w:val="14"/>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Машинное обучение и искусственный интеллект</w:t>
      </w:r>
      <w:r w:rsidRPr="00382DF1">
        <w:rPr>
          <w:rFonts w:ascii="Times New Roman" w:eastAsia="Times New Roman" w:hAnsi="Times New Roman" w:cs="Times New Roman"/>
          <w:sz w:val="28"/>
          <w:szCs w:val="28"/>
          <w:lang w:eastAsia="ru-RU"/>
        </w:rPr>
        <w:t xml:space="preserve"> – все три дисциплины применяются при разработке алгоритмов принятия решений и обработки данных.</w:t>
      </w:r>
    </w:p>
    <w:p w:rsidR="00382DF1" w:rsidRPr="00382DF1" w:rsidRDefault="00382DF1" w:rsidP="00382DF1">
      <w:pPr>
        <w:numPr>
          <w:ilvl w:val="0"/>
          <w:numId w:val="14"/>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Cs/>
          <w:sz w:val="28"/>
          <w:szCs w:val="28"/>
          <w:lang w:eastAsia="ru-RU"/>
        </w:rPr>
        <w:t>Экспериментальная экономика</w:t>
      </w:r>
      <w:r w:rsidRPr="00382DF1">
        <w:rPr>
          <w:rFonts w:ascii="Times New Roman" w:eastAsia="Times New Roman" w:hAnsi="Times New Roman" w:cs="Times New Roman"/>
          <w:sz w:val="28"/>
          <w:szCs w:val="28"/>
          <w:lang w:eastAsia="ru-RU"/>
        </w:rPr>
        <w:t xml:space="preserve"> – использование статистических методов для тестирования теоретических моделей поведения игроков.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Задачи по стохастике и теории игр играют важную роль в развитии мышления, так как они стимулируют аналитические способности, стратегическое мышление, умение работать с неопределённостью и принимать решения в условиях риска. Эти направления математики находят широкое применение не только в науке, но и в педагогике, где они помогают учащимся развивать навыки, востребованные в различных профессиональных областях.</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Стохастика учит работать с вероятностями, статистикой и случайными величинами, что особенно важно в условиях реальной жизни, где многие процессы подчиняются законам вероятности. Решение задач по стохастике развивает умение анализировать данные, предвидеть возможные исходы и принимать обоснованные решения. Например, понятие вероятности помогает обучающимся понимать риски и преимущества в различных ситуациях, будь то личные решения или социально-экономические процессы.</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Теория игр, в свою очередь, акцентирует внимание на взаимодействии участников, которые принимают решения, исходя из своих интересов. Такие задачи помогают развивать стратегическое мышление, способность учитывать действия других, предвидеть их последствия и искать оптимальные пути для достижения своих целей. Этот аспект теории игр делает её особенно ценной для формирования навыков сотрудничества, конкуренции и эффективной коммуникации.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 xml:space="preserve">В современном образовательном процессе задачи, связанные со стохастикой и теорией игр, занимают особое место. Эти области математики, на первый взгляд далекие от школьной рутины, оказываются удивительно полезными для развития критического мышления и навыков принятия решений. </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 xml:space="preserve">Одним из первых ученых, кто открыл возможности применения стохастики и теории игр в образовательных исследованиях, был Джон фон Нейман. Его фундаментальная работа "Theory of Games and Economic Behavior", написанная в соавторстве с Оскаром Моргенштерном в 1944 году, положила </w:t>
      </w:r>
      <w:r w:rsidRPr="00382DF1">
        <w:rPr>
          <w:sz w:val="28"/>
          <w:szCs w:val="28"/>
        </w:rPr>
        <w:lastRenderedPageBreak/>
        <w:t>начало теории игр как науки. Эта работа сформировала базовые принципы анализа стратегического взаимодействия между рациональными агентами. В контексте педагогики идеи фон Неймана нашли отражение в моделировании стратегий обучения, которые рассматривают учащихся и преподавателей как участников сложной системы, принимающих решения для достижения наилучших результатов. Например, его концепция равновесия Нэша помогает анализировать ситуации, где образовательные стратегии должны учитывать действия других участников процесса [61].</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Герберт Саймон, лауреат Нобелевской премии по экономике, расширил применение теории игр и стохастики, сосредоточив внимание на процессах принятия решений и когнитивной психологии. Его работы, такие как "Models of Man" и "Administrative Behavior", представляют собой исследование механизмов принятия решений в условиях ограниченной рациональности. Для педагогики это стало ключевым моментом: Саймон предложил рассматривать обучающихся как агентов, которые не всегда действуют рационально, но могут принимать решения, основанные на частичной информации. Его модели когнитивных процессов нашли применение в разработке образовательных технологий, направленных на улучшение понимания и принятия решений учащимися [62].</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Роберт Ауманн, также лауреат Нобелевской премии, продолжил развивать теорию игр, сделав акцент на ее применении в социальных взаимодействиях. Его работы по повторяющимся играм и сотрудничеству в долгосрочной перспективе стали важным вкладом в педагогическую практику. Ауманн изучал, как долговременные взаимодействия и доверие могут формировать успешные стратегии, что особенно важно в образовательной среде, где важную роль играет устойчивое сотрудничество между учащимися и преподавателями. В своих работах он подчеркивал значимость прозрачности и предсказуемости в образовательных системах, что способствует укреплению мотивации и вовлеченности [63].</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Таким образом, вклад фон Неймана, Саймона и Ауманна в развитие стохастики и теории игр открыл новые горизонты для педагогики. Их исследования помогли понять, как можно использовать стратегические подходы и вероятностные методы для моделирования и улучшения образовательных процессов, а также для создания систем обучения, которые учитывают сложные взаимодействия между участниками.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В России и странах СНГ исследования на стыке стохастики, теории игр и педагогики были связаны с выдающимися учеными, которые внесли фундаментальный вклад в развитие математических методов и их применение в образовательной среде.</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 xml:space="preserve">Андрей Николаевич Колмогоров был одним из пионеров теории вероятностей, который создал основы этой науки. Его работы, такие как «Основы теории вероятностей» (1933), не только дали математический аппарат для анализа случайных процессов, но и нашли применение в педагогике. Колмогоров занимался вопросами математического образования и разработал методические подходы для обучения школьников и студентов основам </w:t>
      </w:r>
      <w:r w:rsidRPr="00382DF1">
        <w:rPr>
          <w:sz w:val="28"/>
          <w:szCs w:val="28"/>
        </w:rPr>
        <w:lastRenderedPageBreak/>
        <w:t>стохастики. Его идеи о вероятностном мышлении и анализе случайных процессов легли в основу образовательной статистики, которая используется для оценки успеваемости учащихся, предсказания их успехов и анализа факторов, влияющих на образовательный процесс [64].</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Николай Николаевич Красовский был выдающимся математиком, известным своими работами в области теории управления и дифференциальных игр. Его исследования в управлении стохастическими системами оказали влияние на разработку моделей управления образовательным процессом. Красовский рассматривал образовательный процесс как динамическую систему, в которой важно учитывать как внешние, так и внутренние факторы неопределенности. Его работы позволили разработать подходы к оптимальному управлению процессом обучения, включая индивидуализацию образовательных траекторий и учет различных стратегий обучения [65].</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Юрий Сергеевич Осипов также внес значительный вклад в теорию управления и её применение в педагогике. Его исследования в области математического моделирования социальных процессов включают работу над задачами, связанными с управлением качеством образования. Осипов анализировал, как изменения в структуре образовательной системы или стратегиях преподавания влияют на результаты учащихся. Его работы заложили основу для применения стохастических методов в педагогической практике, таких как прогнозирование успеваемости учащихся и управление ресурсами образовательных учреждений [66].</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Эти ученые, работавшие в России и странах СНГ, создали мощные теоретические и прикладные инструменты для анализа и оптимизации образовательных процессов. Их исследования демонстрируют, как стохастические методы и теория игр могут использоваться для построения систем обучения, которые учитывают неопределенность, стратегическое взаимодействие и динамику образовательной среды.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Казахстане исследования на пересечении стохастики, теории игр и педагогики активно развиваются, отражая стремление интегрировать современные математические методы в образовательный процесс.</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Одним из значимых направлений является использование игровых технологий в обучении. Так, в статье А. К. Бейсембаевой «Игровое моделирование как инновационная технология в образовании» [67] рассматривается применение игровых моделей для повышения эффективности образовательного процесса. Автор анализирует понятия «модель», «моделирование» и «игра», подчеркивая значимость игрового моделирования как средства активизации учебной деятельности и развития познавательных способностей учащихся. </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Кроме того, в Казахстане проводятся исследования, направленные на систематизацию и классификацию учебных игр. В работе Н. К. Ахметова, А. Р. Нурахметовой и О. Б. Тапаловой «Учебные игры: анализ и систематизация» [68] представлен новый взгляд на использование игрового обучения в учебном процессе. Авторы предлагают классификацию игр и моделирование игровых </w:t>
      </w:r>
      <w:r w:rsidRPr="00382DF1">
        <w:rPr>
          <w:rFonts w:ascii="Times New Roman" w:eastAsia="Times New Roman" w:hAnsi="Times New Roman" w:cs="Times New Roman"/>
          <w:sz w:val="28"/>
          <w:szCs w:val="28"/>
          <w:lang w:eastAsia="ru-RU"/>
        </w:rPr>
        <w:lastRenderedPageBreak/>
        <w:t xml:space="preserve">ситуаций, что способствует более эффективному применению игровых технологий в обучении естественно-научным дисциплинам. </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В области физического воспитания также наблюдается интеграция национальных игровых традиций в образовательную практику. Так, в диссертационном исследовании Н. Б. Шегенбаева «Развитие системы физического воспитания школьников на основе казахских национальных игр» [69] рассматривается использование традиционных игр для формирования гармонично развитой личности учащихся. Автор подчеркивает, что внедрение казахских национальных игр в учебный процесс способствует воспитанию патриотических чувств и сохранению культурного наследия. </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в Казахстане активно развиваются исследования, направленные на интеграцию стохастики и теории игр в педагогическую практику. Это отражает стремление к созданию инновационных образовательных технологий, учитывающих как современные математические подходы, так и национальные культурные традиции, что способствует повышению качества образования и всестороннему развитию учащихся.</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Стохастика, изучающая случайность и закономерности в случайных процессах, позволяет ученикам заглянуть в мир вероятностей, научиться работать с неопределенностью и понимать, как случай влияет на события вокруг нас. Теория игр, в свою очередь, предлагает универсальный язык для анализа взаимодействий между людьми, организаций или даже биологических систем.</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Сочетание этих дисциплин дает учащимся возможность не только решать интересные задачи, но и видеть за ними реальные процессы и проблемы. Например, при обсуждении вероятностей можно исследовать риск как неотъемлемую часть жизни, а с помощью теории игр понять, как выстраиваются стратегии в конфликтных или кооперативных ситуациях. Этот подход делает математику живой и актуальной, открывая перед учениками перспективы, выходящие за рамки стандартного учебного плана.</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Такие задачи вызывают у учеников особый интерес, ведь они не ограничиваются абстрактными числами или формулами. Каждый пример имеет свой скрытый сюжет, который можно разгадывать, словно головоломку. Этот элемент творчества и исследования делает стохастику и теорию игр особенно ценными в образовательном процессе.</w:t>
      </w:r>
    </w:p>
    <w:p w:rsidR="00382DF1" w:rsidRDefault="0085628B" w:rsidP="00382DF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5</w:t>
      </w:r>
      <w:r w:rsidR="00382DF1" w:rsidRPr="00382DF1">
        <w:rPr>
          <w:rFonts w:ascii="Times New Roman" w:eastAsia="Times New Roman" w:hAnsi="Times New Roman" w:cs="Times New Roman"/>
          <w:sz w:val="28"/>
          <w:szCs w:val="28"/>
          <w:lang w:eastAsia="ru-RU"/>
        </w:rPr>
        <w:t xml:space="preserve"> показаны основные аспекты их значимости.</w:t>
      </w:r>
    </w:p>
    <w:p w:rsidR="001D18C6" w:rsidRPr="00382DF1" w:rsidRDefault="001D18C6" w:rsidP="00382DF1">
      <w:pPr>
        <w:spacing w:after="0" w:line="240" w:lineRule="auto"/>
        <w:ind w:firstLine="709"/>
        <w:jc w:val="both"/>
        <w:rPr>
          <w:rFonts w:ascii="Times New Roman" w:eastAsia="Times New Roman" w:hAnsi="Times New Roman" w:cs="Times New Roman"/>
          <w:sz w:val="28"/>
          <w:szCs w:val="28"/>
          <w:lang w:eastAsia="ru-RU"/>
        </w:rPr>
      </w:pPr>
    </w:p>
    <w:p w:rsidR="00382DF1" w:rsidRDefault="001D18C6" w:rsidP="005826C9">
      <w:pPr>
        <w:spacing w:after="0" w:line="240" w:lineRule="auto"/>
        <w:jc w:val="both"/>
        <w:rPr>
          <w:rFonts w:ascii="Times New Roman" w:eastAsia="Times New Roman" w:hAnsi="Times New Roman" w:cs="Times New Roman"/>
          <w:sz w:val="28"/>
          <w:szCs w:val="28"/>
          <w:lang w:eastAsia="ru-RU"/>
        </w:rPr>
      </w:pPr>
      <w:r w:rsidRPr="001D18C6">
        <w:rPr>
          <w:rFonts w:ascii="Times New Roman" w:eastAsia="Times New Roman" w:hAnsi="Times New Roman" w:cs="Times New Roman"/>
          <w:noProof/>
          <w:sz w:val="28"/>
          <w:szCs w:val="28"/>
          <w:lang w:eastAsia="ru-RU"/>
        </w:rPr>
        <w:lastRenderedPageBreak/>
        <w:drawing>
          <wp:inline distT="0" distB="0" distL="0" distR="0" wp14:anchorId="32771DDE" wp14:editId="114360E1">
            <wp:extent cx="6120130" cy="4495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4896" cy="4499301"/>
                    </a:xfrm>
                    <a:prstGeom prst="rect">
                      <a:avLst/>
                    </a:prstGeom>
                  </pic:spPr>
                </pic:pic>
              </a:graphicData>
            </a:graphic>
          </wp:inline>
        </w:drawing>
      </w:r>
    </w:p>
    <w:p w:rsidR="001D18C6" w:rsidRDefault="001D18C6" w:rsidP="001D18C6">
      <w:pPr>
        <w:spacing w:after="0" w:line="240" w:lineRule="auto"/>
        <w:jc w:val="center"/>
        <w:rPr>
          <w:rFonts w:ascii="Times New Roman" w:eastAsia="Times New Roman" w:hAnsi="Times New Roman" w:cs="Times New Roman"/>
          <w:sz w:val="28"/>
          <w:szCs w:val="28"/>
          <w:lang w:eastAsia="ru-RU"/>
        </w:rPr>
      </w:pPr>
    </w:p>
    <w:p w:rsidR="001D18C6" w:rsidRPr="00382DF1" w:rsidRDefault="001D18C6" w:rsidP="001D18C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 – Роль задач по стохастике и теории игр</w:t>
      </w:r>
    </w:p>
    <w:p w:rsidR="00C822B0" w:rsidRDefault="00C822B0" w:rsidP="00382DF1">
      <w:pPr>
        <w:spacing w:after="0" w:line="240" w:lineRule="auto"/>
        <w:ind w:firstLine="709"/>
        <w:jc w:val="both"/>
        <w:rPr>
          <w:rFonts w:ascii="Times New Roman" w:eastAsia="Times New Roman" w:hAnsi="Times New Roman" w:cs="Times New Roman"/>
          <w:sz w:val="28"/>
          <w:szCs w:val="28"/>
          <w:lang w:eastAsia="ru-RU"/>
        </w:rPr>
      </w:pP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Формирование математического мышления — один из ключевых аспектов образовательного процесса, и стохастика вместе с теорией игр играет в этом важную роль. Эти дисциплины помогают учащимся осваивать сложные концепции, которые лежат в основе современной науки, техники и бизнеса.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Стохастика, изучающая случайность и вероятностные закономерности, становится мощным инструментом для понимания окружающего мира. Она учит школьников и студентов видеть за кажущейся хаотичностью определенные принципы и взаимосвязи. Например, работа с вероятностями позволяет не только решать задачи, связанные с броском монеты или кубика, но и применять эти знания в реальной жизни. Учащиеся начинают понимать, как рассчитать вероятность успеха в проекте, оценить риск или спрогнозировать исход какого-либо события. Эти навыки особенно важны в эпоху больших данных, когда принятие решений все чаще основывается на анализе огромных массивов информации, зачастую включающих элементы неопределенности.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Теория игр, в свою очередь, способствует развитию стратегического мышления. Она позволяет не просто решать математические задачи, но и анализировать ситуации, связанные с выбором действий в условиях конкуренции или сотрудничества. Учащиеся учатся не только оценивать свои собственные действия, но и предсказывать поведение других участников, будь </w:t>
      </w:r>
      <w:r w:rsidRPr="00382DF1">
        <w:rPr>
          <w:rFonts w:ascii="Times New Roman" w:eastAsia="Times New Roman" w:hAnsi="Times New Roman" w:cs="Times New Roman"/>
          <w:sz w:val="28"/>
          <w:szCs w:val="28"/>
          <w:lang w:eastAsia="ru-RU"/>
        </w:rPr>
        <w:lastRenderedPageBreak/>
        <w:t>то соперники, коллеги по проекту или участники социальной системы. Теория игр предоставляет универсальный язык для анализа таких взаимодействий, делая его доступным даже для тех, кто раньше с этим не сталкивался. Она помогает формировать способность находить оптимальные решения в самых различных ситуациях: от выбора стратегии в настольной игре до принятия сложных управленческих решений.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Эти дисциплины способствуют более глубокому пониманию абстрактных математических идей через их практическое применение. Стохастика позволяет ученикам увидеть закономерности в хаосе, а теория игр учит мыслить на несколько шагов вперед, учитывая различные факторы. Вместе они формируют у учащихся системное видение, расширяют горизонты их мышления и подготавливают их к решению сложных задач в реальной жизни. Этот подход не только делает процесс обучения интересным, но и помогает школьникам и студентам ощутить, как мощь математического анализа открывает новые возможности в самых разных сферах.</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Развитие критического мышления — одна из важнейших целей современного образования, и задачи на вероятность и стратегическое планирование играют в этом ключевую роль. Эти дисциплины не только знакомят учащихся с математическими концепциями, но и обучают их подходить к задачам осознанно, анализировать условия, искать альтернативные пути решения и обосновывать свои выводы.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Когда ученик сталкивается с задачей, связанной с вероятностью, он вынужден выйти за рамки простого вычисления. Такие задачи требуют оценки ситуации: что известно, что предполагается, какие данные важны, а какие могут быть проигнорированы. Например, анализ вероятности выигрыша в лотерее или риска в случайном эксперименте требует умения интерпретировать исходные данные и видеть, как они влияют на конечный результат. Ученик учится сравнивать различные сценарии, задаваться вопросами о значимости чисел и делать выводы, которые выходят за пределы задачи.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Стратегическое планирование, характерное для задач теории игр, еще глубже развивает критическое мышление. Решение таких задач требует не только расчета, но и умения рассматривать ситуацию с разных точек зрения. В основе многих игр лежат ситуации, где решения одного участника зависят от действий других, поэтому анализ каждого шага становится неотъемлемой частью процесса. Ученик размышляет о том, как изменится исход при одном выборе или другом, какой шаг будет наиболее выгодным и почему. Такое многогранное мышление формирует способность анализировать последствия действий и выстраивать более сложные модели решений.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Особенно важно, что эти навыки оказываются применимыми за пределами учебной аудитории. Работа с вероятностями и стратегиями учит рассматривать ситуацию всесторонне, находить слабые места в аргументах и предлагать альтернативы. Эти компетенции необходимы в жизни, где критическое мышление становится ключом к решению сложных задач, будь то оценка инвестиционного риска, выбор маршрута проекта или понимание политической ситуации.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Таким образом, задачи на вероятность и стратегическое планирование не просто развивают логическое мышление, но и помогают учащимся стать более внимательными, аналитичными и уверенными в своих выводах. Эти дисциплины побуждают к размышлениям, которые выходят за пределы обычной математики, превращая учебный процесс в исследование, насыщенное открытиями и глубокими инсайтами.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Подготовка к реальной жизни — важный аспект образования, который требует не только передачи теоретических знаний, но и их привязки к практическим задачам. Стохастика и теория игр в этом смысле оказываются незаменимыми инструментами. Они дают ученикам возможность моделировать и анализировать процессы, с которыми они неизбежно столкнутся за пределами учебной аудитории, начиная от управления рисками и заканчивая оптимизацией сложных систем.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Знания из стохастики помогают учащимся понимать природу случайных процессов, которые пронизывают нашу повседневную жизнь. Например, понятие вероятности находит применение в самых разных областях — от медицинской диагностики до финансового планирования. Учащиеся учатся оценивать риски, рассчитывать вероятность того или иного события, интерпретировать статистические данные. Эти навыки особенно важны в современном мире, где принятие решений часто основывается на анализе больших массивов данных. Понимание того, как обрабатывать такие данные и выявлять в них закономерности, позволяет учащимся уверенно ориентироваться в сложных ситуациях, принимать взвешенные решения и адаптироваться к меняющимся обстоятельствам.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Теория игр, в свою очередь, обучает учащихся подходить к процессам с позиции стратегического мышления. В реальной жизни редко бывает так, что решения принимаются в вакууме. Как правило, они зависят от действий других людей, будь то конкуренты на рынке, коллеги по проекту или даже члены семьи. Теория игр учит моделировать такие взаимодействия, предсказывать возможные исходы и вырабатывать оптимальные стратегии. Например, знание основ теории игр может помочь в переговорах, где важно не только отстоять свои интересы, но и прийти к соглашению, выгодному для всех сторон.</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Кроме того, стохастика и теория игр открывают двери к пониманию процессов, лежащих в основе многих современных технологий. Алгоритмы искусственного интеллекта, системы управления запасами, модели поведения в социальных сетях — все это опирается на методы, которые изучаются в этих дисциплинах. Учащиеся, освоившие эти концепции, получают не только академические знания, но и инструменты для работы с реальными проблемами, будь то оптимизация транспортных маршрутов или прогнозирование потребительского спроса.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Интеграция стохастики и теории игр в образовательный процесс подготавливает учащихся к тому, чтобы не просто понимать реальный мир, но и активно в нем действовать. Эти знания и навыки формируют у них способность видеть закономерности там, где другие видят хаос, и находить решения в сложных ситуациях. Это делает их не просто успешными учениками, </w:t>
      </w:r>
      <w:r w:rsidRPr="00382DF1">
        <w:rPr>
          <w:rFonts w:ascii="Times New Roman" w:eastAsia="Times New Roman" w:hAnsi="Times New Roman" w:cs="Times New Roman"/>
          <w:sz w:val="28"/>
          <w:szCs w:val="28"/>
          <w:lang w:eastAsia="ru-RU"/>
        </w:rPr>
        <w:lastRenderedPageBreak/>
        <w:t>но и готовыми к жизни людьми, способными эффективно справляться с вызовами современности.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Развитие навыков принятия решений является одной из ключевых задач образования, так как эти умения необходимы как в повседневной жизни, так и в профессиональной деятельности. Теория игр в этом контексте становится уникальным инструментом, который помогает не только лучше понять сложные процессы взаимодействия, но и эффективно адаптировать свои действия в условиях неопределенности и конкуренции.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Одним из центральных аспектов теории игр является анализ поведения других участников. В реальной жизни практически каждое решение, которое мы принимаем, связано с взаимодействием с другими людьми, будь то коллеги, конкуренты, партнеры или друзья. Теория игр позволяет моделировать такие ситуации, помогая учащимся изучать, как поведение одного человека влияет на действия других и как предсказать их возможные реакции. Например, задача из области теории игр может включать выбор оптимальной стратегии в условиях ограниченных ресурсов или нахождение баланса между собственными интересами и интересами группы.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Этот аналитический подход способствует развитию у учащихся способности мыслить стратегически. Вместо того чтобы полагаться на интуицию, они учатся оценивать доступные данные, предвидеть потенциальные последствия своих действий и учитывать возможные варианты поведения других участников. Например, такие навыки становятся критически важными в переговорах, где успех часто зависит от умения учитывать интересы обеих сторон и находить компромиссы. Теория игр дает учащимся базу для понимания логики таких ситуаций, превращая процесс принятия решений в осознанный и обоснованный шаг.</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Еще одним важным аспектом является способность адаптироваться. Теория игр учит не только выбирать оптимальные стратегии, но и корректировать их в зависимости от изменяющихся условий. В современном мире, где скорость изменений зачастую превышает возможности традиционного планирования, это становится особенно актуальным. Учащиеся, осваивающие эти принципы, приобретают гибкость мышления, которая позволяет им быстро реагировать на неожиданные вызовы и находить эффективные решения.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Наконец, практическое применение теории игр выходит далеко за рамки учебного процесса. Ее методы активно используются в экономике, политике, бизнесе и даже в семейных отношениях. Умение предвидеть действия других, выстраивать долгосрочные стратегии и находить точки пересечения интересов делает эту дисциплину незаменимой для формирования успешной личности, готовой к сотрудничеству, конкуренции и принятию решений в сложных ситуациях.</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Таким образом, изучение теории игр в образовательном процессе развивает не просто математическое или логическое мышление, но и глубокие практические навыки, необходимые для эффективного взаимодействия с миром. Учащиеся получают инструменты, которые помогают не только решать </w:t>
      </w:r>
      <w:r w:rsidRPr="00382DF1">
        <w:rPr>
          <w:rFonts w:ascii="Times New Roman" w:eastAsia="Times New Roman" w:hAnsi="Times New Roman" w:cs="Times New Roman"/>
          <w:sz w:val="28"/>
          <w:szCs w:val="28"/>
          <w:lang w:eastAsia="ru-RU"/>
        </w:rPr>
        <w:lastRenderedPageBreak/>
        <w:t>учебные задачи, но и действовать уверенно и рационально в самых разных аспектах жизни.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Использование стохастики и теории игр в проектной и исследовательской деятельности открывает перед учащимися уникальные возможности для углубленного изучения сложных систем и разработки собственных подходов к решению практических задач. Эти дисциплины предоставляют богатый инструментарий для анализа реальных процессов, что делает их особенно ценными в образовательной среде, направленной на развитие исследовательских навыков.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Стохастика, основанная на изучении случайных процессов, предоставляет учащимся возможность исследовать явления, которые трудно поддаются детерминированному анализу. Примеры таких процессов можно найти везде: от естественных явлений, таких как изменения погоды, до социальных взаимодействий, таких как распространение информации в сети. Исследовательский проект может включать изучение случайных блужданий, моделирование систем массового обслуживания или анализ вероятностей в биологических или финансовых системах. Такие задачи позволяют учащимся погружаться в реальный мир, применяя математические методы для нахождения закономерностей и построения моделей, объясняющих сложные явления.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Теория игр добавляет еще одно измерение к исследовательской деятельности, фокусируясь на стратегических взаимодействиях между участниками. Например, учащиеся могут моделировать поведение людей или организаций в условиях конкуренции или кооперации, анализируя, как различные стратегии влияют на общий результат. Исследования могут быть направлены на изучение оптимальных стратегий в экономических системах, анализ выбора в политике или поиск лучших подходов в управлении ресурсами. Такие проекты не только дают возможность работать с реальными данными, но и способствуют развитию навыков анализа сложных систем и принятия решений в условиях неопределенности.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Проекты, основанные на задачах из стохастики и теории игр, часто требуют междисциплинарного подхода. Учащимся необходимо использовать не только математические методы, но и знания из других областей: информатики, экономики, социологии или биологии. Это делает процесс обучения более интегративным и помогает развивать системное мышление. Например, проект по моделированию поведения в социальных сетях может включать изучение алгоритмов распространения информации, анализа данных и понимания человеческого поведения.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Кроме того, участие в таких проектах развивает у учащихся исследовательские компетенции, такие как сбор данных, их обработка, интерпретация результатов и презентация выводов. Они учатся формулировать гипотезы, проверять их с использованием математических методов и делать обоснованные выводы. Эти навыки являются основой для успешной работы не только в научной, но и в профессиональной деятельности.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Задачи из стохастики и теории игр представляют собой не только интересный учебный материал, но и мощный инструмент для проведения исследовательских проектов. Они помогают учащимся развивать аналитическое мышление, междисциплинарный подход и навыки решения реальных задач, что делает их подготовку к жизни и профессиональной деятельности более полной и осмысленной.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Интеграция стохастики и теории игр с другими дисциплинами является мощным инструментом для создания междисциплинарного подхода в образовании, который позволяет ученикам видеть взаимосвязь различных областей знаний и их практическое применение. Эти дисциплины находят широкий отклик в таких сферах, как экономика, биология, информатика, социология и даже искусство, что делает их незаменимыми в процессе подготовки к современным вызовам.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Стохастика предоставляет основу для работы с вероятностями и случайными процессами, что делает её важной в науках, где необходим анализ неопределенности. Например, в экономике стохастические модели используются для прогнозирования рыночных трендов и анализа финансовых рисков. В биологии они помогают изучать эволюционные процессы, распространение заболеваний и популяционную динамику. Подобные исследования требуют от учащихся понимания основ математики, но также включают элементы биологических, социальных и экологических знаний, формируя междисциплинарное мышление.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Теория игр, в свою очередь, предоставляет инструменты для анализа стратегических взаимодействий, что делает её особенно ценной в социальных науках. В экономике она применяется для изучения рыночного поведения, конкуренции и кооперации между компаниями. В политологии помогает моделировать переговоры и анализировать выборные стратегии. В социологии её методы используются для понимания социальных динамик и поведения групп людей. Такое широкое применение теории игр позволяет учащимся увидеть, как математические концепции могут быть интегрированы в изучение человеческого поведения и общества.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информатике обе эти дисциплины играют ключевую роль. Стохастические алгоритмы лежат в основе искусственного интеллекта, машинного обучения и обработки больших данных. Теория игр находит применение в разработке систем, где важно учитывать взаимодействие между различными агентами, например, в многопользовательских онлайн-платформах или системах кибербезопасности. Интеграция этих методов позволяет учащимся понимать, как сложные технологические системы работают на практике, и учиться разрабатывать свои решения.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Междисциплинарный подход становится особенно актуальным в проектной и исследовательской деятельности. Например, изучение экологических систем может включать стохастическое моделирование популяций животных, а анализ поведения потребителей — элементы теории игр и социологии. Такие проекты требуют от учащихся не только </w:t>
      </w:r>
      <w:r w:rsidRPr="00382DF1">
        <w:rPr>
          <w:rFonts w:ascii="Times New Roman" w:eastAsia="Times New Roman" w:hAnsi="Times New Roman" w:cs="Times New Roman"/>
          <w:sz w:val="28"/>
          <w:szCs w:val="28"/>
          <w:lang w:eastAsia="ru-RU"/>
        </w:rPr>
        <w:lastRenderedPageBreak/>
        <w:t>математических знаний, но и способности к синтезу информации из разных областей, что развивает их аналитическое мышление и творческий подход.</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Интеграция стохастики и теории игр с другими дисциплинами демонстрирует, как математические методы могут быть полезны для решения реальных задач, делая обучение более увлекательным и практикоориентированным. Учащиеся начинают видеть мир через призму взаимосвязанных процессов, понимая, как знания из одной области могут обогатить и расширить понимание в другой. Это подготавливает их к работе в условиях быстро меняющегося мира, где комплексные проблемы требуют комплексных решений.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Развитие сотрудничества и командной работы — одна из ключевых целей современного образования, поскольку эти навыки необходимы для успешной профессиональной и социальной жизни. Теория игр, с её акцентом на взаимодействие между участниками, предоставляет уникальные возможности для формирования этих компетенций. Она не только знакомит учащихся с математическими методами анализа взаимодействий, но и создаёт условия, в которых можно практиковать коллективную работу, учиться вести переговоры и находить общие решения.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Многие задачи теории игр моделируют ситуации, где действия одного участника напрямую влияют на результаты остальных. Например, знаменитая «дилемма заключённого» или игры на распределение ресурсов требуют от учащихся учитывать интересы других участников, анализировать возможные исходы и искать пути к выгодному для всех решению. Такие упражнения развивают способность понимать перспективу другого человека, прогнозировать его поведение и вырабатывать стратегии, которые способствуют достижению консенсуса.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Работа над такими задачами в группе усиливает эти эффекты. Учащиеся учатся слушать и понимать мнения других, анализировать и обсуждать различные подходы, делить обязанности и приходить к единому решению. Процесс коллективного решения задач из теории игр стимулирует диалог, аргументацию и совместное планирование. Это помогает участникам осознать, что сотрудничество зачастую приводит к лучшим результатам, чем конкуренция.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Теория игр также учит вести переговоры. В играх, моделирующих реальные переговорные процессы, учащиеся практикуют навыки, которые могут быть полезны в жизни: умение находить компромиссы, убеждать собеседников, строить доверительные отношения и учитывать долгосрочные последствия своих решений. Эти навыки особенно актуальны в мире, где коллективная работа и способность договариваться становятся важнейшими факторами успеха.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Кроме того, задачи теории игр помогают развивать эмоциональный интеллект. Учащиеся учатся распознавать эмоции и мотивации других участников, регулировать свои собственные эмоциональные реакции и находить конструктивные способы взаимодействия даже в условиях </w:t>
      </w:r>
      <w:r w:rsidRPr="00382DF1">
        <w:rPr>
          <w:rFonts w:ascii="Times New Roman" w:eastAsia="Times New Roman" w:hAnsi="Times New Roman" w:cs="Times New Roman"/>
          <w:sz w:val="28"/>
          <w:szCs w:val="28"/>
          <w:lang w:eastAsia="ru-RU"/>
        </w:rPr>
        <w:lastRenderedPageBreak/>
        <w:t>конфликтов или разногласий. Это делает их более подготовленными к работе в командах, где разнообразие точек зрения и подходов часто становится вызовом.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интеграция задач теории игр в образовательный процесс не только развивает математические и аналитические способности, но и формирует важные социальные навыки. Учащиеся выходят за рамки индивидуального решения задач, осознавая ценность коллективного подхода, приобретают опыт межличностного взаимодействия и становятся более готовыми к жизни и профессиональной деятельности, где сотрудничество и командная работа играют центральную роль.</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Интерактивность и вовлечённость играют ключевую роль в образовательном процессе, поскольку именно эти аспекты делают обучение увлекательным, динамичным и мотивирующим. Стохастика и теория игр, благодаря своей природе, предоставляют уникальные возможности для внедрения игровых моделей и задач, которые преобразуют привычное восприятие учебного материала и создают глубокую эмоциональную связь учащихся с процессом обучения.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Игровые задачи и модели позволяют учащимся стать активными участниками процесса. Вместо того чтобы просто изучать теорию, они могут разыгрывать сценарии, исследовать различные стратегии и лично ощущать последствия своих решений. Например, моделирование ситуации из теории игр, такой как «торговые переговоры» или «распределение ресурсов», превращает сложные абстрактные концепции в живой процесс, который требует взаимодействия, анализа и принятия решений. Это не только делает обучение более наглядным, но и вызывает у учащихся неподдельный интерес, поскольку они видят, как их действия влияют на результаты.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Интерактивные элементы стимулируют любопытство и создают атмосферу, где ошибки становятся неотъемлемой частью обучения. В игровом контексте учащиеся чувствуют себя свободнее экспериментировать, пробовать новые подходы и анализировать последствия своих действий. Это формирует у них не только более глубокое понимание материала, но и уверенность в своих способностях решать задачи, даже если первоначальные попытки были неудачными. Например, задачи на вероятность могут включать симуляции случайных событий, которые учащиеся могут проводить самостоятельно или в группах, анализируя полученные результаты и делая выводы.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Еще одним важным аспектом является групповая динамика, которая часто сопровождает игровые задания. Коллективное участие в игровых моделях не только усиливает вовлечённость, но и формирует навыки сотрудничества и коммуникации. Учащиеся обсуждают стратегии, делятся своими точками зрения и учатся принимать совместные решения. Это создаёт позитивный эмоциональный фон и укрепляет межличностные связи, что особенно важно в образовательной среде.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Игровые модели также позволяют интегрировать различные формы обучения. Технологии, такие как симуляторы, компьютерные игры или интерактивные платформы, делают процесс ещё более увлекательным. Например, компьютерные программы могут предложить сложные сценарии, </w:t>
      </w:r>
      <w:r w:rsidRPr="00382DF1">
        <w:rPr>
          <w:rFonts w:ascii="Times New Roman" w:eastAsia="Times New Roman" w:hAnsi="Times New Roman" w:cs="Times New Roman"/>
          <w:sz w:val="28"/>
          <w:szCs w:val="28"/>
          <w:lang w:eastAsia="ru-RU"/>
        </w:rPr>
        <w:lastRenderedPageBreak/>
        <w:t>где учащиеся анализируют данные, принимают решения и наблюдают за их результатами в реальном времени. Такой подход объединяет теоретическое обучение с практическим опытом, превращая процесс в увлекательное исследование.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использование игровых моделей и задач в обучении стохастике и теории игр делает образовательный процесс не только более интерактивным, но и мотивирующим. Учащиеся начинают воспринимать математику как инструмент, который помогает решать реальные проблемы, а не просто набор абстрактных правил. Это повышает их интерес, вовлечённость и готовность к дальнейшему изучению, создавая прочную основу для успешного обучения и применения знаний в будущем.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Примеры применения стохастики и теории игр на разных уровнях образования демонстрируют, как эти дисциплины могут быть адаптированы для возрастных и когнитивных особенностей учащихся, помогая формировать базовые и углублённые знания, а также развивать ключевые навыки.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начальной школе использование простых игр на вероятность становится отличным способом увлечь детей и заложить основы понимания случайности. Например, игра с броском кубика или подбрасыванием монетки помогает объяснить, что некоторые события происходят случайным образом, но при этом можно предсказать их вероятности. Дети узнают, что, подбрасывая монету множество раз, они приблизятся к вероятности 50% для орла или решки. Такие задания развивают не только математические навыки, но и любопытство, обучая наблюдать закономерности в простых действиях.</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средней школе задачи усложняются и начинают включать элементы стратегии. Здесь на первый план выходит теория игр, позволяя учащимся анализировать взаимодействия и принимать решения. Например, «дилемма заключённого» или игры на конкуренцию, такие как аукционы или торговые переговоры, помогают учащимся понять, как их выбор влияет на результат всей системы. Эти задачи учат не только основам математического анализа, но и стратегическому мышлению, развивают умение предсказывать действия других и искать оптимальные решения. Кроме того, подобные задания помогают учащимся осознать важность сотрудничества и компромиссов, что делает их полезными и с точки зрения социального обучения.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старших классах и вузах задачи становятся более сложными и прикладными. Учащиеся начинают работать с моделированием экономических процессов, изучают Nash Equilibrium и его приложения в бизнесе, политике или биологии. Например, моделирование поведения компаний на рынке или распределения ресурсов в обществе позволяет наглядно понять, как математические модели используются для анализа реальных проблем. Студенты могут решать задачи, связанные с оптимизацией процессов, изучать взаимодействие в конкурентных средах или анализировать механизмы голосования. Это формирует у них не только глубокие знания теории, но и навыки, применимые в профессиональной деятельности.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На всех этапах образования применение стохастики и теории игр стимулирует у учащихся интерес к математике, делая её живой и </w:t>
      </w:r>
      <w:r w:rsidRPr="00382DF1">
        <w:rPr>
          <w:rFonts w:ascii="Times New Roman" w:eastAsia="Times New Roman" w:hAnsi="Times New Roman" w:cs="Times New Roman"/>
          <w:sz w:val="28"/>
          <w:szCs w:val="28"/>
          <w:lang w:eastAsia="ru-RU"/>
        </w:rPr>
        <w:lastRenderedPageBreak/>
        <w:t>практикоориентированной. Такие задания помогают не только понять теоретические основы, но и увидеть их значение в реальной жизни, что повышает мотивацию и способствует более глубокому усвоению материала.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Роль педагога в обучении стохастике и теории игр является ключевой, так как именно он направляет процесс освоения сложных концепций, помогает учащимся видеть их практическое значение и обеспечивает поддержку в развитии навыков, необходимых для успешного решения задач. Педагог выступает не только источником знаний, но и организатором интерактивной, вовлечённой и мотивирующей образовательной среды.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Первостепенная задача педагога — объяснить учащимся сложные понятия стохастики и теории игр на доступном и понятном языке. Вероятность, случайность, стратегическое планирование — эти идеи могут показаться абстрактными, особенно для младших школьников или студентов, впервые сталкивающихся с ними. Педагог должен найти способы, чтобы сделать эти понятия наглядными и интересными, используя игровые задачи, жизненные примеры и современные технологии. Например, демонстрация случайности через бросок кубика или обсуждение реальных ситуаций, связанных с дилеммой заключённого, может помочь учащимся лучше понять суть этих концепций.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Педагог также играет важную роль в поддержании интереса учащихся. Стохастика и теория игр предлагают широкий спектр увлекательных задач, которые можно адаптировать под уровень и интересы учащихся. Педагог может включать в уроки интерактивные симуляции, командные игры и исследования, чтобы сделать процесс обучения более вовлечённым. Например, организация групповой работы над задачей, требующей стратегического мышления, способствует не только освоению материала, но и развитию навыков сотрудничества.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Ещё одной важной функцией педагога является развитие у учащихся навыков анализа и критического мышления. В теории игр и стохастике часто нет однозначно правильного ответа; вместо этого учащиеся должны исследовать возможные сценарии, оценивать их преимущества и недостатки и принимать осознанные решения. Педагог помогает им в этом, задавая вопросы, направляя их размышления и побуждая к самостоятельному поиску решений.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Кроме того, педагог должен обеспечивать междисциплинарный подход, связывая стохастику и теорию игр с другими предметами и реальными жизненными ситуациями. Это особенно важно в старших классах и вузах, где такие связи становятся очевидными. Педагог может показывать, как методы стохастики используются в экономике, биологии, информатике или социологии, вдохновляя учащихся на исследование междисциплинарных проектов.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Наконец, педагог создаёт поддерживающую атмосферу, где ошибки воспринимаются как часть процесса обучения. Работа со случайностью и стратегическим планированием неизбежно включает моменты, когда учащиеся допускают ошибки или сталкиваются с неудачами. Педагог помогает им </w:t>
      </w:r>
      <w:r w:rsidRPr="00382DF1">
        <w:rPr>
          <w:rFonts w:ascii="Times New Roman" w:eastAsia="Times New Roman" w:hAnsi="Times New Roman" w:cs="Times New Roman"/>
          <w:sz w:val="28"/>
          <w:szCs w:val="28"/>
          <w:lang w:eastAsia="ru-RU"/>
        </w:rPr>
        <w:lastRenderedPageBreak/>
        <w:t>осознавать, что это не повод для разочарования, а возможность для анализа и роста.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роль педагога в обучении стохастике и теории игр заключается в том, чтобы направлять учащихся, вдохновлять их на исследования, показывать взаимосвязи с реальным миром и создавать условия для глубокого и увлекательного освоения материала. Это требует от учителя не только профессиональных знаний, но и творческого подхода, гибкости и эмпатии.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Связь стохастики и теории игр с современными образовательными стандартами отражается в интеграции этих дисциплин в учебные программы, направленные на развитие ключевых компетенций XXI века, таких как аналитическое мышление, умение работать с данными, принимать решения в условиях неопределённости и решать комплексные задачи. Современные образовательные стандарты, такие как Федеральный государственный образовательный стандарт (ФГОС) в России или международные подходы (например, PISA), акцентируют внимание на междисциплинарности, практической направленности и подготовке учащихся к жизни в условиях сложного и быстро меняющегося мира.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Стохастика способствует формированию математической грамотности, которая является одним из приоритетных направлений современных стандартов. Учащиеся учатся:</w:t>
      </w:r>
    </w:p>
    <w:p w:rsidR="00382DF1" w:rsidRPr="00382DF1" w:rsidRDefault="00382DF1" w:rsidP="00382DF1">
      <w:pPr>
        <w:numPr>
          <w:ilvl w:val="0"/>
          <w:numId w:val="8"/>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Анализировать и интерпретировать данные, что является важной частью исследований в науке, экономике, социологии и других областях.</w:t>
      </w:r>
    </w:p>
    <w:p w:rsidR="00382DF1" w:rsidRPr="00382DF1" w:rsidRDefault="00382DF1" w:rsidP="00382DF1">
      <w:pPr>
        <w:numPr>
          <w:ilvl w:val="0"/>
          <w:numId w:val="8"/>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Работать с вероятностями и статистическими моделями, что развивает умение прогнозировать события и понимать закономерности в сложных системах.</w:t>
      </w:r>
    </w:p>
    <w:p w:rsidR="00382DF1" w:rsidRPr="00382DF1" w:rsidRDefault="00382DF1" w:rsidP="00382DF1">
      <w:pPr>
        <w:numPr>
          <w:ilvl w:val="0"/>
          <w:numId w:val="8"/>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Решать прикладные задачи, связанные с рисками, которые находят отражение в реальной жизни, например, оценка вероятности успеха проектов или интерпретация статистических данных.</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Современные образовательные программы включают элементы статистики и анализа данных уже на школьном уровне. Это соответствует мировым трендам, где большое внимание уделяется STEM-образованию (наука, технологии, инженерия, математика).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Теория игр направлена на развитие стратегического мышления и навыков взаимодействия, что соответствует образовательным целям по развитию у школьников и студентов таких компетенций, как:</w:t>
      </w:r>
    </w:p>
    <w:p w:rsidR="00382DF1" w:rsidRPr="00382DF1" w:rsidRDefault="00382DF1" w:rsidP="00382DF1">
      <w:pPr>
        <w:numPr>
          <w:ilvl w:val="0"/>
          <w:numId w:val="9"/>
        </w:numPr>
        <w:tabs>
          <w:tab w:val="clear" w:pos="720"/>
          <w:tab w:val="left" w:pos="993"/>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Навыки сотрудничества и коммуникации. Через игровые модели учащиеся понимают, как достигать компромиссов и находить оптимальные решения в командной работе.</w:t>
      </w:r>
    </w:p>
    <w:p w:rsidR="00382DF1" w:rsidRPr="00382DF1" w:rsidRDefault="00382DF1" w:rsidP="00382DF1">
      <w:pPr>
        <w:numPr>
          <w:ilvl w:val="0"/>
          <w:numId w:val="9"/>
        </w:numPr>
        <w:tabs>
          <w:tab w:val="clear" w:pos="720"/>
          <w:tab w:val="left" w:pos="993"/>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Критическое мышление. Умение анализировать действия других участников и просчитывать последствия собственных решений готовит к решению практических задач в условиях конкуренции или ограниченных ресурсов.</w:t>
      </w:r>
    </w:p>
    <w:p w:rsidR="00382DF1" w:rsidRPr="00382DF1" w:rsidRDefault="00382DF1" w:rsidP="00382DF1">
      <w:pPr>
        <w:numPr>
          <w:ilvl w:val="0"/>
          <w:numId w:val="9"/>
        </w:numPr>
        <w:tabs>
          <w:tab w:val="clear" w:pos="720"/>
          <w:tab w:val="left" w:pos="993"/>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Принятие решений в условиях неопределенности. Это важное умение формируется через моделирование ситуаций, где участники должны выбрать стратегию, основываясь на частичной информации.</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Примеры интеграции в образовательные стандарты:</w:t>
      </w:r>
    </w:p>
    <w:p w:rsidR="00382DF1" w:rsidRPr="00382DF1" w:rsidRDefault="00382DF1" w:rsidP="00382DF1">
      <w:pPr>
        <w:numPr>
          <w:ilvl w:val="0"/>
          <w:numId w:val="10"/>
        </w:numPr>
        <w:tabs>
          <w:tab w:val="clear" w:pos="720"/>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России ФГОС предусматривает развитие функциональной грамотности, в том числе математической и информационной, что включает работу с вероятностными и статистическими задачами. В рамках математики в старших классах и университете введены курсы, охватывающие основы стохастики и элементы теории игр.</w:t>
      </w:r>
    </w:p>
    <w:p w:rsidR="00382DF1" w:rsidRPr="00382DF1" w:rsidRDefault="00382DF1" w:rsidP="00382DF1">
      <w:pPr>
        <w:numPr>
          <w:ilvl w:val="0"/>
          <w:numId w:val="10"/>
        </w:numPr>
        <w:tabs>
          <w:tab w:val="clear" w:pos="720"/>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Международная программа PISA оценивает способность учащихся применять математические знания в реальных жизненных ситуациях, включая задачи, связанные с анализом данных, неопределённостью и выбором стратегии.</w:t>
      </w:r>
    </w:p>
    <w:p w:rsidR="00382DF1" w:rsidRPr="00382DF1" w:rsidRDefault="00382DF1" w:rsidP="00382DF1">
      <w:pPr>
        <w:numPr>
          <w:ilvl w:val="0"/>
          <w:numId w:val="10"/>
        </w:numPr>
        <w:tabs>
          <w:tab w:val="clear" w:pos="720"/>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программах IB (International Baccalaureate) и A-levels (Великобритания) теория вероятностей и математическое моделирование включены в обязательные модули. Теория игр представлена в факультативных курсах, направленных на развитие исследовательских навыков.</w:t>
      </w:r>
    </w:p>
    <w:p w:rsidR="00382DF1" w:rsidRPr="00382DF1" w:rsidRDefault="00382DF1" w:rsidP="00382DF1">
      <w:pPr>
        <w:numPr>
          <w:ilvl w:val="0"/>
          <w:numId w:val="10"/>
        </w:numPr>
        <w:tabs>
          <w:tab w:val="clear" w:pos="720"/>
          <w:tab w:val="num" w:pos="1134"/>
        </w:tabs>
        <w:spacing w:after="0" w:line="240" w:lineRule="auto"/>
        <w:ind w:left="0"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университетских программах на основе образовательных стандартов большое внимание уделяется прикладным аспектам стохастики и теории игр, особенно в экономике, менеджменте, информатике и социологии. Например, изучение равновесия Нэша стало неотъемлемой частью курсов по микроэкономике.</w:t>
      </w:r>
    </w:p>
    <w:p w:rsidR="00382DF1" w:rsidRPr="00382DF1" w:rsidRDefault="00382DF1" w:rsidP="00382DF1">
      <w:pPr>
        <w:numPr>
          <w:ilvl w:val="0"/>
          <w:numId w:val="10"/>
        </w:numPr>
        <w:tabs>
          <w:tab w:val="clear" w:pos="720"/>
          <w:tab w:val="num" w:pos="1134"/>
        </w:tabs>
        <w:spacing w:after="0" w:line="240" w:lineRule="auto"/>
        <w:ind w:left="0" w:firstLine="851"/>
        <w:contextualSpacing/>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В Казахстане интеграция стохастики и теории игр в образовательные стандарты осуществляется через внедрение STEM-образования, направленного на развитие навыков критического мышления, решения проблем и применения научных знаний в реальных ситуациях. В 2023 году Национальная академия образования имени Ы. Алтынсарина разработала концепцию STEM-образования, определяющую цели и задачи реструктуризации содержания среднего образования с использованием STEM-технологий. </w:t>
      </w:r>
    </w:p>
    <w:p w:rsidR="00382DF1" w:rsidRPr="00382DF1" w:rsidRDefault="00382DF1" w:rsidP="00382DF1">
      <w:pPr>
        <w:tabs>
          <w:tab w:val="num" w:pos="1134"/>
        </w:tabs>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Эта концепция предусматривает интеграцию естественных наук, технологий, инженерии и математики в единый образовательный процесс, что способствует формированию у учащихся способности анализировать данные, работать с вероятностями и принимать обоснованные решения в условиях неопределенности. Такие навыки являются основополагающими в стохастике и теории игр.</w:t>
      </w:r>
    </w:p>
    <w:p w:rsidR="00382DF1" w:rsidRPr="00382DF1" w:rsidRDefault="00382DF1" w:rsidP="00382DF1">
      <w:pPr>
        <w:tabs>
          <w:tab w:val="num" w:pos="1134"/>
        </w:tabs>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Кроме того, в Казахстане проводятся мероприятия, направленные на популяризацию и внедрение STEAM-образования (включающего искусство) в школах. Например, фестиваль науки Pro.NRG Fest собирает молодых ученых, педагогов и учащихся для обмена опытом и продвижения STEAM-подходов в обучении. </w:t>
      </w:r>
    </w:p>
    <w:p w:rsidR="00382DF1" w:rsidRPr="00382DF1" w:rsidRDefault="00382DF1" w:rsidP="00382DF1">
      <w:pPr>
        <w:tabs>
          <w:tab w:val="num" w:pos="1134"/>
        </w:tabs>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Однако, несмотря на предпринимаемые шаги, массовое внедрение STEAM-подходов, включая элементы стохастики и теории игр, в образовательные программы Казахстана находится на начальной стадии. Основными препятствиями являются недостаточная осведомленность </w:t>
      </w:r>
      <w:r w:rsidRPr="00382DF1">
        <w:rPr>
          <w:rFonts w:ascii="Times New Roman" w:eastAsia="Times New Roman" w:hAnsi="Times New Roman" w:cs="Times New Roman"/>
          <w:sz w:val="28"/>
          <w:szCs w:val="28"/>
          <w:lang w:eastAsia="ru-RU"/>
        </w:rPr>
        <w:lastRenderedPageBreak/>
        <w:t xml:space="preserve">педагогов, нехватка необходимого оборудования и разработанных учебных программ. </w:t>
      </w:r>
    </w:p>
    <w:p w:rsidR="00382DF1" w:rsidRPr="00382DF1" w:rsidRDefault="00382DF1" w:rsidP="00382DF1">
      <w:pPr>
        <w:tabs>
          <w:tab w:val="num" w:pos="1134"/>
        </w:tabs>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Таким образом, интеграция стохастики и теории игр в образовательные стандарты Казахстана осуществляется через развитие STEM/STEAM-образования, однако для полноценного внедрения этих дисциплин требуется дальнейшая работа по подготовке педагогических кадров, обеспечению материально-технической базы и разработке соответствующих методических материалов.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Современные образовательные стандарты требуют, чтобы обучение стохастике и теории игр было не только теоретическим, но и включало практические задания и проекты. Учебный процесс всё чаще строится на использовании цифровых инструментов, симуляций и программного обеспечения для моделирования вероятностных процессов и игровых ситуаций. Такой подход повышает мотивацию учащихся и позволяет адаптировать обучение под реальные условия.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результате стохастика и теория игр не только способствуют развитию мышления и ключевых компетенций, но и полностью интегрируются в цели современного образования, готовя учащихся к вызовам современной жизни и профессиональной деятельности.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Стохастика и теория игр в педагогическом процессе, очень значима для формирования математического мышления, критического анализа и стратегического планирования у учащихся. Мы представили широкую панораму применения этих дисциплин, начиная от развития базовых вероятностных представлений у младших школьников до сложных моделей принятия решений, используемых в университетском обучении и профессиональной деятельности.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Стохастика, изучающая случайные процессы, учит работать с неопределенностью, прогнозировать будущие события и принимать обоснованные решения на основе данных. Теория игр, в свою очередь, помогает моделировать ситуации взаимодействия между участниками, анализировать конкуренцию и кооперацию, разрабатывать оптимальные стратегии. Вместе эти направления дают учащимся мощный инструмент для анализа реальных процессов, будь то экономика, политика, социология или технологии.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Важной темой главы является связь данных дисциплин с современными образовательными стандартами. Отмечается, что международные и национальные программы все активнее включают в себя элементы стохастики и теории игр, развивая у учащихся навыки принятия решений, анализа данных и стратегического мышления. Однако подчеркиваются и проблемы, связанные с внедрением этих направлений, включая нехватку подготовленных педагогов, методических материалов и технологической базы.</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 xml:space="preserve">Особое внимание уделено практическому применению стохастики и теории игр в образовательном процессе. Приведены примеры использования игровых моделей, симуляций, проектной деятельности, которые способствуют повышению мотивации учащихся и делают изучение математики более </w:t>
      </w:r>
      <w:r w:rsidRPr="00382DF1">
        <w:rPr>
          <w:sz w:val="28"/>
          <w:szCs w:val="28"/>
        </w:rPr>
        <w:lastRenderedPageBreak/>
        <w:t>интерактивным и осмысленным. Кроме того, рассмотрена роль педагога как ключевого элемента в успешной интеграции этих дисциплин в обучение.</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Таким образом, стохастика и теория игр играют важную роль в формировании универсальных компетенций, необходимых в современном мире. Их интеграция в образовательный процесс позволяет не только улучшить математическую подготовку учащихся, но и развить у них критическое мышление, стратегическое планирование и способность работать в условиях неопределенности.</w:t>
      </w:r>
    </w:p>
    <w:p w:rsidR="00382DF1" w:rsidRPr="00382DF1" w:rsidRDefault="00382DF1" w:rsidP="00382DF1">
      <w:pPr>
        <w:spacing w:after="0" w:line="240" w:lineRule="auto"/>
        <w:ind w:firstLine="709"/>
        <w:jc w:val="both"/>
        <w:rPr>
          <w:rFonts w:ascii="Times New Roman" w:eastAsia="Times New Roman" w:hAnsi="Times New Roman" w:cs="Times New Roman"/>
          <w:b/>
          <w:sz w:val="28"/>
          <w:szCs w:val="28"/>
          <w:lang w:eastAsia="ru-RU"/>
        </w:rPr>
      </w:pPr>
    </w:p>
    <w:p w:rsidR="00382DF1" w:rsidRPr="00382DF1" w:rsidRDefault="00382DF1" w:rsidP="00382DF1">
      <w:pPr>
        <w:spacing w:after="0" w:line="240" w:lineRule="auto"/>
        <w:ind w:firstLine="709"/>
        <w:jc w:val="both"/>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Выводы по первому разделу</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Профессиональная направленность является важным компонентом личностного и профессионального становления человека. Государственная политика Казахстана, направленная на подготовку квалифицированных специалистов, подчеркивает необходимость развития образовательных программ, ориентированных на профессиональную практику и технологические инновации. Президент страны Касым-Жомарт Токаев отметил дефицит специалистов в ключевых отраслях, что требует активного внедрения программ обучения и переподготовки. В условиях стремительного развития технологий особенно важно готовить кадры не только для существующих сфер, но и для профессий будущего.</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Профессиональная направленность формируется под воздействием внутренних и внешних факторов. Она включает в себя интересы, мотивацию, склонности и способности человека, которые определяют выбор профессии. Этот процесс проходит несколько этапов, начиная с детского возраста, когда основное влияние оказывает семья и образовательная среда, и заканчивая профессиональным самоопределением во взрослом возрасте. В юности человек активно исследует свои возможности, экспериментирует и анализирует собственные склонности. Взрослые же могут менять направление профессиональной деятельности в зависимости от новых интересов, рыночных условий и социальной ситуации.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В научном сообществе профессиональная направленность рассматривается с различных позиций. Американские исследователи делают акцент на индивидуальных особенностях личности, мотивационных аспектах и стратегиях профессионального выбора. Советские ученые анализировали этот процесс через призму социальной среды, образовательных факторов и деятельности. Оба подхода позволяют выявить механизмы формирования профессионального интереса и разработать эффективные методы профориентации. Изучение внутренней и внешней мотивации подтверждает, что наибольшего успеха достигают люди, для которых профессиональная деятельность соответствует их личным интересам и ценностям. Внешние стимулы, такие как уровень зарплаты или общественный престиж, являются дополнительным фактором, но без внутренней заинтересованности профессиональная реализация может быть затруднена.</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 xml:space="preserve">Гендерные и социальные аспекты также оказывают значительное влияние на выбор профессии. В культурах, где гендерные стереотипы выражены </w:t>
      </w:r>
      <w:r w:rsidRPr="00382DF1">
        <w:rPr>
          <w:sz w:val="28"/>
          <w:szCs w:val="28"/>
        </w:rPr>
        <w:lastRenderedPageBreak/>
        <w:t>особенно ярко, женщины и мужчины нередко выбирают те специальности, которые традиционно считаются «подходящими» для их пола. Социально-экономическое положение семьи влияет на доступность качественного образования, что сказывается на дальнейшем профессиональном пути. Люди, имеющие больший доступ к образовательным ресурсам, могут позволить себе выбрать профессию, ориентируясь не только на материальный аспект, но и на личные предпочтения.</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Современные технологии в значительной степени меняют процесс профориентации и профессионального самоопределения. Цифровая среда предоставляет широкий спектр возможностей, включая онлайн-курсы, интерактивные тесты и виртуальные стажировки. Благодаря этим инструментам молодые специалисты могут заранее познакомиться с будущей сферой деятельности, что делает процесс выбора более осознанным. Важным направлением является интеграция инновационных методик в систему образования. Интерактивные технологии, проектная деятельность и профессиональные пробы помогают учащимся не только понять свои склонности, но и развить практические навыки.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Диагностика и коррекция профессиональной направленности являются ключевыми инструментами в процессе профессионального становления. Современные методы включают тестирование интересов, анализ мотивации, наблюдения и профориентационные консультации. Диагностические инструменты позволяют выявить предпочтения личности, а коррекционные программы помогают развить необходимые качества и скорректировать профессиональные установки. В образовательном процессе особую роль играет поддерживающая среда, способствующая раскрытию потенциала учащегося. Профессиональное консультирование, наставничество и практическая деятельность повышают осознанность выбора профессии и помогают адаптироваться к будущей работе.</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Важность профессиональной направленности подтверждается исследованиями в области стохастики и теории игр, которые широко применяются в образовании. Эти дисциплины развивают аналитическое и стратегическое мышление, помогают понимать закономерности в условиях неопределенности, учат прогнозировать риски и принимать обоснованные решения. Стохастические методы активно используются в экономике, менеджменте, социальных науках, биологии и технологиях. Теория игр позволяет анализировать конкурентные и кооперативные стратегии, что делает ее незаменимой в управлении, переговорах и повседневных решениях.</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Современные образовательные программы все чаще включают элементы стохастики и теории игр, поскольку они помогают формировать универсальные компетенции, востребованные на рынке труда. Они развивают навыки критического мышления, математического анализа и принятия решений. Эти дисциплины находят применение в управлении проектами, моделировании экономических процессов, машинном обучении и стратегическом планировании. Их интеграция в образовательный процесс делает обучение более осмысленным и практикоориентированным.</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lastRenderedPageBreak/>
        <w:t>Роль преподавателя в обучении стохастике и теории игр особенно значима. Он не только передает знания, но и формирует у учащихся навыки анализа сложных систем, стратегического планирования и работы с неопределенностью. Для эффективного преподавания этих дисциплин необходимы современные методики, интерактивные задачи и цифровые технологии, которые делают процесс обучения более динамичным и увлекательным. Интерактивные симуляции, ролевые игры и практические проекты позволяют учащимся почувствовать связь между теоретическими концепциями и реальными задачами.</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Современные образовательные стандарты требуют, чтобы обучение было не только теоретическим, но и включало практические задания и проекты. Международные программы, такие как PISA, IB и A-levels, уже интегрируют стохастику и элементы теории игр в свои курсы, развивая у учащихся навыки анализа данных, стратегического мышления и принятия решений в условиях неопределенности. В России и Казахстане также ведется работа по внедрению этих дисциплин в образовательные стандарты. Однако остаются вызовы, связанные с нехваткой подготовленных педагогов, методических материалов и технологий, необходимых для массового внедрения данных подходов.</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Профессиональная направленность, как многокомпонентное личностное образование, требует комплексного подхода, включающего совершенствование образовательных программ, развитие мотивации, использование современных технологий и обеспечение психолого-педагогической поддержки. Современные методы профориентации и профессионального консультирования помогают человеку осознанно выбрать сферу деятельности, адаптироваться к условиям рынка труда и достичь профессиональной реализации. В условиях стремительного развития технологий и изменений в экономике важно готовить специалистов, обладающих не только знаниями, но и способностью адаптироваться к новым вызовам, принимать решения в условиях неопределенности и применять аналитические методы для решения сложных задач.</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p>
    <w:p w:rsidR="00382DF1" w:rsidRDefault="00382DF1" w:rsidP="00382DF1">
      <w:pPr>
        <w:spacing w:after="0" w:line="240" w:lineRule="auto"/>
        <w:ind w:firstLine="709"/>
        <w:jc w:val="both"/>
        <w:rPr>
          <w:rFonts w:ascii="Times New Roman" w:hAnsi="Times New Roman" w:cs="Times New Roman"/>
          <w:sz w:val="28"/>
          <w:szCs w:val="28"/>
        </w:rPr>
      </w:pPr>
    </w:p>
    <w:p w:rsidR="00B15279" w:rsidRDefault="00B15279" w:rsidP="00382DF1">
      <w:pPr>
        <w:spacing w:after="0" w:line="240" w:lineRule="auto"/>
        <w:ind w:firstLine="709"/>
        <w:jc w:val="both"/>
        <w:rPr>
          <w:rFonts w:ascii="Times New Roman" w:hAnsi="Times New Roman" w:cs="Times New Roman"/>
          <w:sz w:val="28"/>
          <w:szCs w:val="28"/>
        </w:rPr>
      </w:pPr>
    </w:p>
    <w:p w:rsidR="00B15279" w:rsidRDefault="00B15279" w:rsidP="00382DF1">
      <w:pPr>
        <w:spacing w:after="0" w:line="240" w:lineRule="auto"/>
        <w:ind w:firstLine="709"/>
        <w:jc w:val="both"/>
        <w:rPr>
          <w:rFonts w:ascii="Times New Roman" w:hAnsi="Times New Roman" w:cs="Times New Roman"/>
          <w:sz w:val="28"/>
          <w:szCs w:val="28"/>
        </w:rPr>
      </w:pPr>
    </w:p>
    <w:p w:rsidR="00B15279" w:rsidRDefault="00B15279" w:rsidP="00382DF1">
      <w:pPr>
        <w:spacing w:after="0" w:line="240" w:lineRule="auto"/>
        <w:ind w:firstLine="709"/>
        <w:jc w:val="both"/>
        <w:rPr>
          <w:rFonts w:ascii="Times New Roman" w:hAnsi="Times New Roman" w:cs="Times New Roman"/>
          <w:sz w:val="28"/>
          <w:szCs w:val="28"/>
        </w:rPr>
      </w:pPr>
    </w:p>
    <w:p w:rsidR="00B15279" w:rsidRDefault="00B15279" w:rsidP="00382DF1">
      <w:pPr>
        <w:spacing w:after="0" w:line="240" w:lineRule="auto"/>
        <w:ind w:firstLine="709"/>
        <w:jc w:val="both"/>
        <w:rPr>
          <w:rFonts w:ascii="Times New Roman" w:hAnsi="Times New Roman" w:cs="Times New Roman"/>
          <w:sz w:val="28"/>
          <w:szCs w:val="28"/>
        </w:rPr>
      </w:pPr>
    </w:p>
    <w:p w:rsidR="00B15279" w:rsidRDefault="00B15279" w:rsidP="00382DF1">
      <w:pPr>
        <w:spacing w:after="0" w:line="240" w:lineRule="auto"/>
        <w:ind w:firstLine="709"/>
        <w:jc w:val="both"/>
        <w:rPr>
          <w:rFonts w:ascii="Times New Roman" w:hAnsi="Times New Roman" w:cs="Times New Roman"/>
          <w:sz w:val="28"/>
          <w:szCs w:val="28"/>
        </w:rPr>
      </w:pPr>
    </w:p>
    <w:p w:rsidR="00B15279" w:rsidRDefault="00B15279" w:rsidP="00382DF1">
      <w:pPr>
        <w:spacing w:after="0" w:line="240" w:lineRule="auto"/>
        <w:ind w:firstLine="709"/>
        <w:jc w:val="both"/>
        <w:rPr>
          <w:rFonts w:ascii="Times New Roman" w:hAnsi="Times New Roman" w:cs="Times New Roman"/>
          <w:sz w:val="28"/>
          <w:szCs w:val="28"/>
        </w:rPr>
      </w:pPr>
    </w:p>
    <w:p w:rsidR="00B15279" w:rsidRPr="00382DF1" w:rsidRDefault="00B15279" w:rsidP="00382DF1">
      <w:pPr>
        <w:spacing w:after="0" w:line="240" w:lineRule="auto"/>
        <w:ind w:firstLine="709"/>
        <w:jc w:val="both"/>
        <w:rPr>
          <w:rFonts w:ascii="Times New Roman" w:hAnsi="Times New Roman" w:cs="Times New Roman"/>
          <w:sz w:val="28"/>
          <w:szCs w:val="28"/>
        </w:rPr>
      </w:pPr>
    </w:p>
    <w:p w:rsidR="00382DF1" w:rsidRPr="00382DF1" w:rsidRDefault="00B15279" w:rsidP="00B15279">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r w:rsidRPr="00382DF1">
        <w:rPr>
          <w:rFonts w:ascii="Times New Roman" w:eastAsia="Times New Roman" w:hAnsi="Times New Roman" w:cs="Times New Roman"/>
          <w:b/>
          <w:color w:val="000000" w:themeColor="text1"/>
          <w:sz w:val="28"/>
          <w:szCs w:val="28"/>
          <w:lang w:eastAsia="ru-RU"/>
        </w:rPr>
        <w:t xml:space="preserve">2. МЕТОДИЧЕСКИЕ АСПЕКТЫ </w:t>
      </w:r>
      <w:r w:rsidRPr="00382DF1">
        <w:rPr>
          <w:rFonts w:ascii="Times New Roman" w:eastAsia="Times New Roman" w:hAnsi="Times New Roman" w:cs="Times New Roman"/>
          <w:b/>
          <w:sz w:val="28"/>
          <w:szCs w:val="28"/>
          <w:lang w:eastAsia="ru-RU"/>
        </w:rPr>
        <w:t>РАЗРАБОТКИ СИСТЕМЫ СТОХАСТИКО-ИГРОВЫХ УПРАЖНЕНИЙ ДЛЯ ФОРМИРОВАНИЯ ПРОФЕССИОНАЛЬНОЙ НАПРАВЛЕННОСТИ</w:t>
      </w:r>
    </w:p>
    <w:p w:rsidR="00B15279" w:rsidRDefault="00B15279" w:rsidP="00B15279">
      <w:pPr>
        <w:spacing w:after="0" w:line="240" w:lineRule="auto"/>
        <w:ind w:firstLine="709"/>
        <w:jc w:val="both"/>
        <w:outlineLvl w:val="1"/>
        <w:rPr>
          <w:rFonts w:ascii="Times New Roman" w:eastAsia="Times New Roman" w:hAnsi="Times New Roman" w:cs="Times New Roman"/>
          <w:b/>
          <w:bCs/>
          <w:color w:val="000000" w:themeColor="text1"/>
          <w:sz w:val="28"/>
          <w:szCs w:val="28"/>
          <w:lang w:eastAsia="ru-RU"/>
        </w:rPr>
      </w:pPr>
    </w:p>
    <w:p w:rsidR="00382DF1" w:rsidRPr="00B15279" w:rsidRDefault="00382DF1" w:rsidP="00B15279">
      <w:pPr>
        <w:spacing w:after="0" w:line="240" w:lineRule="auto"/>
        <w:ind w:firstLine="709"/>
        <w:jc w:val="both"/>
        <w:outlineLvl w:val="1"/>
        <w:rPr>
          <w:rFonts w:ascii="Times New Roman" w:eastAsia="Times New Roman" w:hAnsi="Times New Roman" w:cs="Times New Roman"/>
          <w:b/>
          <w:bCs/>
          <w:color w:val="000000" w:themeColor="text1"/>
          <w:sz w:val="28"/>
          <w:szCs w:val="28"/>
          <w:lang w:eastAsia="ru-RU"/>
        </w:rPr>
      </w:pPr>
      <w:r w:rsidRPr="00B15279">
        <w:rPr>
          <w:rFonts w:ascii="Times New Roman" w:eastAsia="Times New Roman" w:hAnsi="Times New Roman" w:cs="Times New Roman"/>
          <w:b/>
          <w:bCs/>
          <w:color w:val="000000" w:themeColor="text1"/>
          <w:sz w:val="28"/>
          <w:szCs w:val="28"/>
          <w:lang w:eastAsia="ru-RU"/>
        </w:rPr>
        <w:t xml:space="preserve">2.1.  </w:t>
      </w:r>
      <w:r w:rsidRPr="00B15279">
        <w:rPr>
          <w:rFonts w:ascii="Times New Roman" w:eastAsia="Times New Roman" w:hAnsi="Times New Roman" w:cs="Times New Roman"/>
          <w:b/>
          <w:bCs/>
          <w:sz w:val="28"/>
          <w:szCs w:val="28"/>
          <w:lang w:eastAsia="ru-RU"/>
        </w:rPr>
        <w:t>Разработка концептуальной модели методологии формирования профессиональной направленности через стохастико-игровые упражнения</w:t>
      </w:r>
    </w:p>
    <w:p w:rsidR="00B15279" w:rsidRDefault="00B15279" w:rsidP="00382DF1">
      <w:pPr>
        <w:pStyle w:val="a4"/>
        <w:spacing w:before="0" w:beforeAutospacing="0" w:after="0" w:afterAutospacing="0"/>
        <w:ind w:firstLine="851"/>
        <w:jc w:val="both"/>
        <w:rPr>
          <w:sz w:val="28"/>
          <w:szCs w:val="28"/>
        </w:rPr>
      </w:pP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Методология формирования профессиональной направленности через стохастико-игровые упражнения представляет собой комплексный подход к обучению, в котором студенты погружаются в моделируемые профессиональные ситуации, содержащие элементы неопределенности и случайности. Данный подход основывается на вероятностных моделях и игровых сценариях, что позволяет формировать адаптивное мышление, развивать стратегическое планирование и повышать уровень профессиональной подготовки обучающихся.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Одной из наиболее известных моделей является модель профессионального самоопределения через деловые игры, разработанная Г</w:t>
      </w:r>
      <w:r w:rsidR="008567F1">
        <w:rPr>
          <w:sz w:val="28"/>
          <w:szCs w:val="28"/>
        </w:rPr>
        <w:t>.</w:t>
      </w:r>
      <w:r w:rsidRPr="00382DF1">
        <w:rPr>
          <w:sz w:val="28"/>
          <w:szCs w:val="28"/>
        </w:rPr>
        <w:t xml:space="preserve"> П</w:t>
      </w:r>
      <w:r w:rsidR="008567F1">
        <w:rPr>
          <w:sz w:val="28"/>
          <w:szCs w:val="28"/>
        </w:rPr>
        <w:t>.</w:t>
      </w:r>
      <w:r w:rsidRPr="00382DF1">
        <w:rPr>
          <w:sz w:val="28"/>
          <w:szCs w:val="28"/>
        </w:rPr>
        <w:t xml:space="preserve"> Щедровицким. В её основе лежит идея, что профессиональное становление происходит в процессе участия в специально разработанных деловых играх, которые моделируют реальные производственные и управленческие ситуации. Благодаря этому студенты могут примерить на себя различные профессиональные роли, проанализировать сложные кейсы и осознать свой уровень компетентности. Однако данный подход требует высокой квалификации преподавателей, так как неправильное управление процессом игры может существенно снизить её эффективность. </w:t>
      </w:r>
    </w:p>
    <w:p w:rsidR="00E02BC6" w:rsidRDefault="00382DF1" w:rsidP="00382DF1">
      <w:pPr>
        <w:pStyle w:val="a4"/>
        <w:spacing w:before="0" w:beforeAutospacing="0" w:after="0" w:afterAutospacing="0"/>
        <w:ind w:firstLine="851"/>
        <w:jc w:val="both"/>
        <w:rPr>
          <w:sz w:val="28"/>
          <w:szCs w:val="28"/>
        </w:rPr>
      </w:pPr>
      <w:r w:rsidRPr="00382DF1">
        <w:rPr>
          <w:sz w:val="28"/>
          <w:szCs w:val="28"/>
        </w:rPr>
        <w:t>Другой значимой моделью является методика вероятностного обучения в профессиональной подготовке, разработанная Н</w:t>
      </w:r>
      <w:r w:rsidR="00E02BC6">
        <w:rPr>
          <w:sz w:val="28"/>
          <w:szCs w:val="28"/>
        </w:rPr>
        <w:t>.</w:t>
      </w:r>
      <w:r w:rsidRPr="00382DF1">
        <w:rPr>
          <w:sz w:val="28"/>
          <w:szCs w:val="28"/>
        </w:rPr>
        <w:t xml:space="preserve"> В</w:t>
      </w:r>
      <w:r w:rsidR="00E02BC6">
        <w:rPr>
          <w:sz w:val="28"/>
          <w:szCs w:val="28"/>
        </w:rPr>
        <w:t>.</w:t>
      </w:r>
      <w:r w:rsidRPr="00382DF1">
        <w:rPr>
          <w:sz w:val="28"/>
          <w:szCs w:val="28"/>
        </w:rPr>
        <w:t xml:space="preserve"> Смирновым. Этот подход использует вероятностные модели для подготовки студентов к неопределенным условиям профессиональной деятельности. Например, моделируются кризисные или нестандартные ситуации, в которых обучаемые должны принимать решения, основываясь на вероятностных исходах. Это способствует развитию адаптивности и стратегического мышления, однако методика требует сложных алгоритмов для моделирования ситуаций и качественного программного обеспечения. Высокая зависимость от корректности введенных данных также является существенным недостатком. </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Методология ситуационного моделирования с неопределенностью, предложенная В</w:t>
      </w:r>
      <w:r w:rsidR="00E02BC6">
        <w:rPr>
          <w:sz w:val="28"/>
          <w:szCs w:val="28"/>
        </w:rPr>
        <w:t>.</w:t>
      </w:r>
      <w:r w:rsidRPr="00382DF1">
        <w:rPr>
          <w:sz w:val="28"/>
          <w:szCs w:val="28"/>
        </w:rPr>
        <w:t xml:space="preserve"> Ф</w:t>
      </w:r>
      <w:r w:rsidR="00E02BC6">
        <w:rPr>
          <w:sz w:val="28"/>
          <w:szCs w:val="28"/>
        </w:rPr>
        <w:t>.</w:t>
      </w:r>
      <w:r w:rsidRPr="00382DF1">
        <w:rPr>
          <w:sz w:val="28"/>
          <w:szCs w:val="28"/>
        </w:rPr>
        <w:t xml:space="preserve"> Кабанцевым, строится на создании обучающих сценариев, где множество параметров находятся в неопределенном состоянии, что требует от студентов аналитического подхода и прогнозирования. Благодаря этому они приобретают опыт принятия решений в условиях многовариантности, что делает их более подготовленными к реальной профессиональной деятельности. Однако полноценная реализация данного подхода требует мощных вычислительных ресурсов и сложного программного обеспечения, способного обрабатывать множество переменных в режиме реального времени. </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Игровые методики развития профессионального мышления, разработанные А</w:t>
      </w:r>
      <w:r w:rsidR="00E02BC6">
        <w:rPr>
          <w:sz w:val="28"/>
          <w:szCs w:val="28"/>
        </w:rPr>
        <w:t>.</w:t>
      </w:r>
      <w:r w:rsidRPr="00382DF1">
        <w:rPr>
          <w:sz w:val="28"/>
          <w:szCs w:val="28"/>
        </w:rPr>
        <w:t xml:space="preserve"> А</w:t>
      </w:r>
      <w:r w:rsidR="00E02BC6">
        <w:rPr>
          <w:sz w:val="28"/>
          <w:szCs w:val="28"/>
        </w:rPr>
        <w:t>.</w:t>
      </w:r>
      <w:r w:rsidRPr="00382DF1">
        <w:rPr>
          <w:sz w:val="28"/>
          <w:szCs w:val="28"/>
        </w:rPr>
        <w:t xml:space="preserve"> Вербицким, делают акцент на вовлечение студентов в проблемные игровые ситуации, требующие нестандартного мышления и креативного подхода. Эти методы способствуют развитию профессионального самосознания, уверенности в себе и способности решать сложные задачи в изменяющихся условиях. Однако основным недостатком данной методики является её сложность в адаптации к разным образовательным средам. Кроме </w:t>
      </w:r>
      <w:r w:rsidRPr="00382DF1">
        <w:rPr>
          <w:sz w:val="28"/>
          <w:szCs w:val="28"/>
        </w:rPr>
        <w:lastRenderedPageBreak/>
        <w:t xml:space="preserve">того, объективная оценка степени профессионального роста студентов может быть затруднена из-за вариативности индивидуальных результатов. </w:t>
      </w:r>
    </w:p>
    <w:p w:rsidR="00382DF1" w:rsidRDefault="00382DF1" w:rsidP="00382DF1">
      <w:pPr>
        <w:pStyle w:val="a4"/>
        <w:spacing w:before="0" w:beforeAutospacing="0" w:after="0" w:afterAutospacing="0"/>
        <w:ind w:firstLine="851"/>
        <w:jc w:val="both"/>
        <w:rPr>
          <w:sz w:val="28"/>
          <w:szCs w:val="28"/>
        </w:rPr>
      </w:pPr>
      <w:r w:rsidRPr="00382DF1">
        <w:rPr>
          <w:sz w:val="28"/>
          <w:szCs w:val="28"/>
        </w:rPr>
        <w:t>Метод стохастических игр в образовательных технологиях, предложенный Г</w:t>
      </w:r>
      <w:r w:rsidR="00E02BC6">
        <w:rPr>
          <w:sz w:val="28"/>
          <w:szCs w:val="28"/>
        </w:rPr>
        <w:t>.</w:t>
      </w:r>
      <w:r w:rsidRPr="00382DF1">
        <w:rPr>
          <w:sz w:val="28"/>
          <w:szCs w:val="28"/>
        </w:rPr>
        <w:t xml:space="preserve"> К</w:t>
      </w:r>
      <w:r w:rsidR="00E02BC6">
        <w:rPr>
          <w:sz w:val="28"/>
          <w:szCs w:val="28"/>
        </w:rPr>
        <w:t>.</w:t>
      </w:r>
      <w:r w:rsidRPr="00382DF1">
        <w:rPr>
          <w:sz w:val="28"/>
          <w:szCs w:val="28"/>
        </w:rPr>
        <w:t xml:space="preserve"> Селевко, ориентирован на использование случайных факторов в игровых упражнениях. Например, в ходе переговоров или управленческих решений могут вводиться непредсказуемые события, требующие быстрой реакции и корректировки стратегии. Этот метод развивает гибкость мышления и умение работать в условиях неопределенности, однако его существенным недостатком является высокая вариативность результатов обучения. Влияние случайных факторов может сделать процесс менее предсказуемым, а студенты, не привыкшие к такому подходу, могут испытывать стресс. </w:t>
      </w:r>
    </w:p>
    <w:p w:rsidR="0085628B" w:rsidRDefault="0085628B" w:rsidP="00382DF1">
      <w:pPr>
        <w:pStyle w:val="a4"/>
        <w:spacing w:before="0" w:beforeAutospacing="0" w:after="0" w:afterAutospacing="0"/>
        <w:ind w:firstLine="851"/>
        <w:jc w:val="both"/>
        <w:rPr>
          <w:sz w:val="28"/>
          <w:szCs w:val="28"/>
        </w:rPr>
      </w:pPr>
    </w:p>
    <w:p w:rsidR="0085628B" w:rsidRDefault="0085628B" w:rsidP="0085628B">
      <w:pPr>
        <w:spacing w:after="0" w:line="240" w:lineRule="auto"/>
        <w:jc w:val="both"/>
        <w:rPr>
          <w:rFonts w:ascii="Times New Roman" w:hAnsi="Times New Roman" w:cs="Times New Roman"/>
          <w:sz w:val="28"/>
          <w:szCs w:val="28"/>
        </w:rPr>
      </w:pPr>
      <w:r w:rsidRPr="00754CA0">
        <w:rPr>
          <w:rFonts w:ascii="Times New Roman" w:hAnsi="Times New Roman" w:cs="Times New Roman"/>
          <w:sz w:val="28"/>
          <w:szCs w:val="28"/>
        </w:rPr>
        <w:t xml:space="preserve">Таблица 11 – </w:t>
      </w:r>
      <w:r w:rsidR="00404BCC" w:rsidRPr="00754CA0">
        <w:rPr>
          <w:rFonts w:ascii="Times New Roman" w:hAnsi="Times New Roman" w:cs="Times New Roman"/>
          <w:sz w:val="28"/>
          <w:szCs w:val="28"/>
        </w:rPr>
        <w:t>Анализ моделей профессионального обучения и их особенности</w:t>
      </w:r>
    </w:p>
    <w:p w:rsidR="00006755" w:rsidRPr="00754CA0" w:rsidRDefault="00006755" w:rsidP="0085628B">
      <w:pPr>
        <w:spacing w:after="0" w:line="240" w:lineRule="auto"/>
        <w:jc w:val="both"/>
        <w:rPr>
          <w:rStyle w:val="a5"/>
          <w:rFonts w:ascii="Times New Roman" w:hAnsi="Times New Roman" w:cs="Times New Roman"/>
          <w:b w:val="0"/>
          <w:sz w:val="28"/>
          <w:szCs w:val="28"/>
        </w:rPr>
      </w:pPr>
    </w:p>
    <w:tbl>
      <w:tblPr>
        <w:tblStyle w:val="a3"/>
        <w:tblW w:w="9634" w:type="dxa"/>
        <w:tblLayout w:type="fixed"/>
        <w:tblLook w:val="04A0" w:firstRow="1" w:lastRow="0" w:firstColumn="1" w:lastColumn="0" w:noHBand="0" w:noVBand="1"/>
      </w:tblPr>
      <w:tblGrid>
        <w:gridCol w:w="445"/>
        <w:gridCol w:w="2258"/>
        <w:gridCol w:w="1403"/>
        <w:gridCol w:w="3260"/>
        <w:gridCol w:w="2268"/>
      </w:tblGrid>
      <w:tr w:rsidR="00382DF1" w:rsidRPr="00382DF1" w:rsidTr="008567F1">
        <w:tc>
          <w:tcPr>
            <w:tcW w:w="445"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w:t>
            </w:r>
          </w:p>
        </w:tc>
        <w:tc>
          <w:tcPr>
            <w:tcW w:w="2258"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Модель</w:t>
            </w:r>
          </w:p>
        </w:tc>
        <w:tc>
          <w:tcPr>
            <w:tcW w:w="1403"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Автор</w:t>
            </w:r>
          </w:p>
        </w:tc>
        <w:tc>
          <w:tcPr>
            <w:tcW w:w="3260"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Суть</w:t>
            </w:r>
          </w:p>
        </w:tc>
        <w:tc>
          <w:tcPr>
            <w:tcW w:w="2268"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Недостатки</w:t>
            </w:r>
          </w:p>
        </w:tc>
      </w:tr>
      <w:tr w:rsidR="00382DF1" w:rsidRPr="00382DF1" w:rsidTr="008567F1">
        <w:tc>
          <w:tcPr>
            <w:tcW w:w="445"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1</w:t>
            </w:r>
          </w:p>
        </w:tc>
        <w:tc>
          <w:tcPr>
            <w:tcW w:w="2258"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Модель профессионального самоопределения через деловые игры [70]</w:t>
            </w:r>
          </w:p>
        </w:tc>
        <w:tc>
          <w:tcPr>
            <w:tcW w:w="1403"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Щедровицкий Г.П.</w:t>
            </w:r>
          </w:p>
        </w:tc>
        <w:tc>
          <w:tcPr>
            <w:tcW w:w="3260"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Профессиональное становление происходит в процессе участия в специально разработанных играх, моделирующих реальные производственные ситуации. Эти игры позволяют студентам примерить на себя разные роли, оценить свою компетентность и освоить практические навыки в контексте профессиональной деятельности.</w:t>
            </w:r>
          </w:p>
        </w:tc>
        <w:tc>
          <w:tcPr>
            <w:tcW w:w="2268" w:type="dxa"/>
          </w:tcPr>
          <w:p w:rsidR="00382DF1" w:rsidRPr="00382DF1" w:rsidRDefault="00382DF1" w:rsidP="00382DF1">
            <w:pPr>
              <w:pStyle w:val="a4"/>
              <w:spacing w:before="0" w:beforeAutospacing="0" w:after="0" w:afterAutospacing="0"/>
              <w:jc w:val="both"/>
              <w:rPr>
                <w:sz w:val="28"/>
                <w:szCs w:val="28"/>
              </w:rPr>
            </w:pPr>
            <w:r w:rsidRPr="00382DF1">
              <w:rPr>
                <w:sz w:val="28"/>
                <w:szCs w:val="28"/>
              </w:rPr>
              <w:t>Требует высокой квалификации преподавателей, так как неправильное управление игрой может снизить ее эффективность. Также сложно объективно оценить достигнутые результаты.</w:t>
            </w:r>
          </w:p>
        </w:tc>
      </w:tr>
    </w:tbl>
    <w:p w:rsidR="00382DF1" w:rsidRPr="00382DF1" w:rsidRDefault="00382DF1" w:rsidP="00382DF1">
      <w:pPr>
        <w:pStyle w:val="a4"/>
        <w:spacing w:before="0" w:beforeAutospacing="0" w:after="0" w:afterAutospacing="0"/>
        <w:jc w:val="both"/>
        <w:rPr>
          <w:sz w:val="28"/>
          <w:szCs w:val="28"/>
        </w:rPr>
      </w:pPr>
    </w:p>
    <w:p w:rsidR="002129F8" w:rsidRDefault="002129F8" w:rsidP="00382DF1">
      <w:pPr>
        <w:pStyle w:val="a4"/>
        <w:spacing w:before="0" w:beforeAutospacing="0" w:after="0" w:afterAutospacing="0"/>
        <w:ind w:firstLine="851"/>
        <w:jc w:val="both"/>
        <w:rPr>
          <w:sz w:val="28"/>
          <w:szCs w:val="28"/>
        </w:rPr>
      </w:pPr>
    </w:p>
    <w:p w:rsidR="002129F8" w:rsidRDefault="002129F8" w:rsidP="00382DF1">
      <w:pPr>
        <w:pStyle w:val="a4"/>
        <w:spacing w:before="0" w:beforeAutospacing="0" w:after="0" w:afterAutospacing="0"/>
        <w:ind w:firstLine="851"/>
        <w:jc w:val="both"/>
        <w:rPr>
          <w:sz w:val="28"/>
          <w:szCs w:val="28"/>
        </w:rPr>
      </w:pPr>
    </w:p>
    <w:p w:rsidR="002129F8" w:rsidRDefault="002129F8" w:rsidP="00382DF1">
      <w:pPr>
        <w:pStyle w:val="a4"/>
        <w:spacing w:before="0" w:beforeAutospacing="0" w:after="0" w:afterAutospacing="0"/>
        <w:ind w:firstLine="851"/>
        <w:jc w:val="both"/>
        <w:rPr>
          <w:sz w:val="28"/>
          <w:szCs w:val="28"/>
        </w:rPr>
      </w:pPr>
    </w:p>
    <w:p w:rsidR="002129F8" w:rsidRDefault="002129F8" w:rsidP="00382DF1">
      <w:pPr>
        <w:pStyle w:val="a4"/>
        <w:spacing w:before="0" w:beforeAutospacing="0" w:after="0" w:afterAutospacing="0"/>
        <w:ind w:firstLine="851"/>
        <w:jc w:val="both"/>
        <w:rPr>
          <w:sz w:val="28"/>
          <w:szCs w:val="28"/>
        </w:rPr>
      </w:pPr>
    </w:p>
    <w:p w:rsidR="002129F8" w:rsidRDefault="002129F8" w:rsidP="00382DF1">
      <w:pPr>
        <w:pStyle w:val="a4"/>
        <w:spacing w:before="0" w:beforeAutospacing="0" w:after="0" w:afterAutospacing="0"/>
        <w:ind w:firstLine="851"/>
        <w:jc w:val="both"/>
        <w:rPr>
          <w:sz w:val="28"/>
          <w:szCs w:val="28"/>
        </w:rPr>
      </w:pPr>
    </w:p>
    <w:p w:rsidR="00006755" w:rsidRDefault="00006755" w:rsidP="00382DF1">
      <w:pPr>
        <w:pStyle w:val="a4"/>
        <w:spacing w:before="0" w:beforeAutospacing="0" w:after="0" w:afterAutospacing="0"/>
        <w:ind w:firstLine="851"/>
        <w:jc w:val="both"/>
        <w:rPr>
          <w:sz w:val="28"/>
          <w:szCs w:val="28"/>
        </w:rPr>
      </w:pPr>
      <w:r>
        <w:rPr>
          <w:sz w:val="28"/>
          <w:szCs w:val="28"/>
        </w:rPr>
        <w:t>Продолжение таблицы 11</w:t>
      </w:r>
    </w:p>
    <w:p w:rsidR="00006755" w:rsidRDefault="00006755" w:rsidP="00382DF1">
      <w:pPr>
        <w:pStyle w:val="a4"/>
        <w:spacing w:before="0" w:beforeAutospacing="0" w:after="0" w:afterAutospacing="0"/>
        <w:ind w:firstLine="851"/>
        <w:jc w:val="both"/>
        <w:rPr>
          <w:sz w:val="28"/>
          <w:szCs w:val="28"/>
        </w:rPr>
      </w:pPr>
    </w:p>
    <w:tbl>
      <w:tblPr>
        <w:tblStyle w:val="a3"/>
        <w:tblW w:w="0" w:type="auto"/>
        <w:tblLook w:val="04A0" w:firstRow="1" w:lastRow="0" w:firstColumn="1" w:lastColumn="0" w:noHBand="0" w:noVBand="1"/>
      </w:tblPr>
      <w:tblGrid>
        <w:gridCol w:w="356"/>
        <w:gridCol w:w="2599"/>
        <w:gridCol w:w="1541"/>
        <w:gridCol w:w="2570"/>
        <w:gridCol w:w="2570"/>
      </w:tblGrid>
      <w:tr w:rsidR="002129F8" w:rsidTr="002129F8">
        <w:tc>
          <w:tcPr>
            <w:tcW w:w="355"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2</w:t>
            </w:r>
          </w:p>
        </w:tc>
        <w:tc>
          <w:tcPr>
            <w:tcW w:w="2592"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 xml:space="preserve">Модель вероятностного обучения в профессиональной </w:t>
            </w:r>
            <w:r w:rsidRPr="00382DF1">
              <w:rPr>
                <w:sz w:val="28"/>
                <w:szCs w:val="28"/>
              </w:rPr>
              <w:lastRenderedPageBreak/>
              <w:t>подготовке [71]</w:t>
            </w:r>
          </w:p>
        </w:tc>
        <w:tc>
          <w:tcPr>
            <w:tcW w:w="1541"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lastRenderedPageBreak/>
              <w:t>Смирнов Н.В.</w:t>
            </w:r>
          </w:p>
        </w:tc>
        <w:tc>
          <w:tcPr>
            <w:tcW w:w="2570"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 xml:space="preserve">Используются вероятностные модели в обучении, позволяющие </w:t>
            </w:r>
            <w:r w:rsidRPr="00382DF1">
              <w:rPr>
                <w:sz w:val="28"/>
                <w:szCs w:val="28"/>
              </w:rPr>
              <w:lastRenderedPageBreak/>
              <w:t>подготовиться к неопределенным условиям работы. Например, моделируются кризисные ситуации, в которых необходимо принимать решения с учетом вероятностных исходов. Это формирует адаптивность и стратегическое мышление.</w:t>
            </w:r>
          </w:p>
        </w:tc>
        <w:tc>
          <w:tcPr>
            <w:tcW w:w="2570"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lastRenderedPageBreak/>
              <w:t xml:space="preserve">Реализация требует сложных алгоритмов и качественного </w:t>
            </w:r>
            <w:r w:rsidRPr="00382DF1">
              <w:rPr>
                <w:sz w:val="28"/>
                <w:szCs w:val="28"/>
              </w:rPr>
              <w:lastRenderedPageBreak/>
              <w:t>программного обеспечения для моделирования вероятностных сценариев. Высокая зависимость от корректности введенных данных.</w:t>
            </w:r>
          </w:p>
        </w:tc>
      </w:tr>
      <w:tr w:rsidR="002129F8" w:rsidTr="002129F8">
        <w:tc>
          <w:tcPr>
            <w:tcW w:w="355"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lastRenderedPageBreak/>
              <w:t>3</w:t>
            </w:r>
          </w:p>
        </w:tc>
        <w:tc>
          <w:tcPr>
            <w:tcW w:w="2592"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Методология ситуационного моделирования с неопределенностью [72]</w:t>
            </w:r>
          </w:p>
        </w:tc>
        <w:tc>
          <w:tcPr>
            <w:tcW w:w="1541"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Кабанцев В.Ф.</w:t>
            </w:r>
          </w:p>
        </w:tc>
        <w:tc>
          <w:tcPr>
            <w:tcW w:w="2570"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Обучение строится на моделировании ситуаций с неопределенными параметрами, требующих анализа и прогнозирования. В таких моделях возможно множество вариантов развития событий, что стимулирует студентов к развитию аналитических навыков, гибкости мышления и принятию решений в условиях риска.</w:t>
            </w:r>
          </w:p>
        </w:tc>
        <w:tc>
          <w:tcPr>
            <w:tcW w:w="2570"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Для полноценного функционирования необходимы мощные вычислительные ресурсы, а также сложное программное обеспечение, способное обрабатывать и анализировать множество переменных в режиме реального времени.</w:t>
            </w:r>
          </w:p>
        </w:tc>
      </w:tr>
    </w:tbl>
    <w:p w:rsidR="002129F8" w:rsidRDefault="002129F8" w:rsidP="002129F8">
      <w:pPr>
        <w:pStyle w:val="a4"/>
        <w:spacing w:before="0" w:beforeAutospacing="0" w:after="0" w:afterAutospacing="0"/>
        <w:ind w:firstLine="851"/>
        <w:jc w:val="both"/>
        <w:rPr>
          <w:sz w:val="28"/>
          <w:szCs w:val="28"/>
        </w:rPr>
      </w:pPr>
    </w:p>
    <w:p w:rsidR="002129F8" w:rsidRDefault="002129F8" w:rsidP="002129F8">
      <w:pPr>
        <w:pStyle w:val="a4"/>
        <w:spacing w:before="0" w:beforeAutospacing="0" w:after="0" w:afterAutospacing="0"/>
        <w:ind w:firstLine="851"/>
        <w:jc w:val="both"/>
        <w:rPr>
          <w:sz w:val="28"/>
          <w:szCs w:val="28"/>
        </w:rPr>
      </w:pPr>
      <w:r>
        <w:rPr>
          <w:sz w:val="28"/>
          <w:szCs w:val="28"/>
        </w:rPr>
        <w:t>Продолжение таблицы 11</w:t>
      </w:r>
    </w:p>
    <w:p w:rsidR="002129F8" w:rsidRDefault="002129F8" w:rsidP="002129F8">
      <w:pPr>
        <w:pStyle w:val="a4"/>
        <w:spacing w:before="0" w:beforeAutospacing="0" w:after="0" w:afterAutospacing="0"/>
        <w:ind w:firstLine="851"/>
        <w:jc w:val="both"/>
        <w:rPr>
          <w:sz w:val="28"/>
          <w:szCs w:val="28"/>
        </w:rPr>
      </w:pPr>
    </w:p>
    <w:tbl>
      <w:tblPr>
        <w:tblStyle w:val="a3"/>
        <w:tblW w:w="0" w:type="auto"/>
        <w:tblLook w:val="04A0" w:firstRow="1" w:lastRow="0" w:firstColumn="1" w:lastColumn="0" w:noHBand="0" w:noVBand="1"/>
      </w:tblPr>
      <w:tblGrid>
        <w:gridCol w:w="535"/>
        <w:gridCol w:w="2577"/>
        <w:gridCol w:w="1588"/>
        <w:gridCol w:w="2577"/>
        <w:gridCol w:w="2577"/>
      </w:tblGrid>
      <w:tr w:rsidR="002129F8" w:rsidTr="002129F8">
        <w:tc>
          <w:tcPr>
            <w:tcW w:w="1925"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4</w:t>
            </w:r>
          </w:p>
        </w:tc>
        <w:tc>
          <w:tcPr>
            <w:tcW w:w="1925"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Игровые методики развития профессионального мышления [73]</w:t>
            </w:r>
          </w:p>
        </w:tc>
        <w:tc>
          <w:tcPr>
            <w:tcW w:w="1926"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Вербицкий А.А.</w:t>
            </w:r>
          </w:p>
        </w:tc>
        <w:tc>
          <w:tcPr>
            <w:tcW w:w="1926"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 xml:space="preserve">Методика основана на вовлечении студентов в проблемные </w:t>
            </w:r>
            <w:r w:rsidRPr="00382DF1">
              <w:rPr>
                <w:sz w:val="28"/>
                <w:szCs w:val="28"/>
              </w:rPr>
              <w:lastRenderedPageBreak/>
              <w:t>игровые ситуации, которые требуют нестандартного мышления и профессиональной креативности. Это способствует формированию нестандартных решений, профессионального самосознания и уверенности в своих силах.</w:t>
            </w:r>
          </w:p>
        </w:tc>
        <w:tc>
          <w:tcPr>
            <w:tcW w:w="1926"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lastRenderedPageBreak/>
              <w:t xml:space="preserve">Методику сложно применять в универсальной форме, так как она </w:t>
            </w:r>
            <w:r w:rsidRPr="00382DF1">
              <w:rPr>
                <w:sz w:val="28"/>
                <w:szCs w:val="28"/>
              </w:rPr>
              <w:lastRenderedPageBreak/>
              <w:t>требует адаптации к разным образовательным средам. Также сложно объективно оценить степень профессионального роста студента.</w:t>
            </w:r>
          </w:p>
        </w:tc>
      </w:tr>
      <w:tr w:rsidR="002129F8" w:rsidTr="002129F8">
        <w:tc>
          <w:tcPr>
            <w:tcW w:w="1925"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lastRenderedPageBreak/>
              <w:t>5</w:t>
            </w:r>
          </w:p>
        </w:tc>
        <w:tc>
          <w:tcPr>
            <w:tcW w:w="1925"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Стохастические игры в образовательных технологиях [74]</w:t>
            </w:r>
          </w:p>
        </w:tc>
        <w:tc>
          <w:tcPr>
            <w:tcW w:w="1926"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Селевко Г.К.</w:t>
            </w:r>
          </w:p>
        </w:tc>
        <w:tc>
          <w:tcPr>
            <w:tcW w:w="1926"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Применяются случайные факторы в игровых упражнениях, которые учат студентов работать в неопределенных условиях. Например, в переговорах или управленческих решениях вводятся случайные события, требующие мгновенной адаптации и корректировки стратегии.</w:t>
            </w:r>
          </w:p>
        </w:tc>
        <w:tc>
          <w:tcPr>
            <w:tcW w:w="1926" w:type="dxa"/>
          </w:tcPr>
          <w:p w:rsidR="002129F8" w:rsidRPr="00382DF1" w:rsidRDefault="002129F8" w:rsidP="002129F8">
            <w:pPr>
              <w:pStyle w:val="a4"/>
              <w:spacing w:before="0" w:beforeAutospacing="0" w:after="0" w:afterAutospacing="0"/>
              <w:jc w:val="both"/>
              <w:rPr>
                <w:sz w:val="28"/>
                <w:szCs w:val="28"/>
              </w:rPr>
            </w:pPr>
            <w:r w:rsidRPr="00382DF1">
              <w:rPr>
                <w:sz w:val="28"/>
                <w:szCs w:val="28"/>
              </w:rPr>
              <w:t>Результаты обучения могут быть слишком вариативными, так как влияние случайных факторов делает процесс обучения менее предсказуемым. Требуется длительная адаптация студентов к подобным методикам.</w:t>
            </w:r>
          </w:p>
        </w:tc>
      </w:tr>
    </w:tbl>
    <w:p w:rsidR="00006755" w:rsidRDefault="00006755" w:rsidP="00382DF1">
      <w:pPr>
        <w:pStyle w:val="a4"/>
        <w:spacing w:before="0" w:beforeAutospacing="0" w:after="0" w:afterAutospacing="0"/>
        <w:ind w:firstLine="851"/>
        <w:jc w:val="both"/>
        <w:rPr>
          <w:sz w:val="28"/>
          <w:szCs w:val="28"/>
        </w:rPr>
      </w:pP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методология стохастико-игровых упражнений включает в себя различные модели, каждая из которых имеет как преимущества, так и недостатки. Общими сложностями для всех этих подходов являются необходимость высоких технологических ресурсов, сложность объективной оценки результатов и необходимость подготовки преподавателей к использованию подобных методик. Однако развитие цифровых технологий, использование искусственного интеллекта и автоматизированных систем оценки, а также адаптация методик к образовательным стандартам могут значительно повысить их эффективность и сделать их доступными для более широкого круга обучающихся.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 xml:space="preserve"> В Казахстане образовательные модели, основанные на интеграции математики, статистики, теории вероятностей и цифровых технологий, активно изучаются и внедряются в рамках как школьного, так и вузовского образования. Эти модели опираются на стратегии, отраженные в концепции «Цифровой Казахстан», а также на обновленные стандарты школьного образования и реформы высших учебных заведений [75]. Они направлены на развитие аналитических и прикладных навыков у учащихся и студентов, чтобы подготовить их к вызовам цифровой экономики. Тем не менее, эти подходы не лишены недостатков, требующих устранения для повышения их эффективности.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Одним из ключевых минусов таких моделей является их недостаточная адаптация к практическим условиям образовательных учреждений. Хотя концептуальные рамки и цели четко определены, реализация сталкивается с нехваткой квалифицированных кадров, способных эффективно интегрировать математические методы и цифровые технологии в учебный процесс. Преподаватели зачастую обучались по традиционным методикам и не имеют достаточного опыта в использовании цифровых инструментов или разработке междисциплинарных курсов. Это ограничивает потенциал таких моделей и снижает их эффективность.</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Еще одной проблемой является разрыв между школьным и вузовским образованием. В рамках обновленного содержания школьного образования были введены такие подходы, как критическое мышление, работа с проектами, интеграция STEM-дисциплин (наука, технология, инженерия, математика), а также элементы аналитического мышления [76]. Однако эти изменения часто остаются поверхностными из-за нехватки времени на углубленное изучение. Кроме того, в вузах не всегда удается продолжить этот подход, так как программы высшего образования недостаточно синхронизированы с обновленными школьными стандартами. Например, студенты приходят в вузы с разным уровнем подготовки в зависимости от школы, что затрудняет выстраивание единой траектории обучения.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Еще один недостаток связан с нехваткой финансирования для оснащения образовательных учреждений современными технологиями и инструментами. Для реализации образовательных моделей, включающих работу с большими данными, статистическими программами и симуляциями, необходимы мощные компьютеры, доступ к специализированному программному обеспечению и обученные кадры. Однако многие школы и университеты, особенно в сельской местности, не имеют такого оборудования. Это создает дисбаланс в качестве образования между разными регионами.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Также следует отметить перегрузку учащихся. Обновленные образовательные стандарты школы внедрили больше интегрированных дисциплин и аналитических заданий, что потребовало от школьников освоения большого объема знаний. Это создает стресс и снижает мотивацию. Похожая ситуация наблюдается в вузах, где студенты могут испытывать трудности с междисциплинарными заданиями из-за высокой сложности и недостаточной подготовки.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Для решения этих проблем требуется системный подход. Во-первых, необходимо усилить подготовку преподавателей через программы повышения квалификации, направленные на освоение цифровых технологий и междисциплинарных методов преподавания. Это позволит устранить разрыв между современными образовательными стандартами и реальной практикой преподавания. Такие программы могут проводиться на базе ведущих вузов Казахстана или с привлечением международных экспертов.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Во-вторых, для преодоления разрыва между школьным и вузовским образованием важно разработать программы, которые обеспечат плавный переход. Это может включать введение курсов адаптации для первокурсников, где они смогут выровнять свои знания в зависимости от уровня школьной подготовки. Также стоит усилить связь между школами и вузами, создавая общие образовательные проекты, где студенты смогут применять знания, полученные в школе, в более сложных задачах.</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В-третьих, для устранения проблемы с финансированием и оборудованием важно развивать государственно-частное партнерство. Компании, заинтересованные в выпускниках с высокими аналитическими навыками, могут инвестировать в образовательные учреждения, предоставляя оборудование, доступ к данным и возможности стажировок. Это не только улучшит материальную базу, но и обеспечит более тесную связь между образованием и реальным рынком труда.</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Перегрузка учащихся может быть снижена за счет гибкой адаптации образовательных программ. Например, вместо общего стандартизированного подхода можно внедрить персонализированные траектории обучения, которые учитывают способности, интересы и темпы освоения материала каждым учащимся. Это позволит сбалансировать объем нагрузки и повысить мотивацию учащихся.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Модернизации в школьном и вузовском образовании Казахстана уже внесли значительные изменения. В школьных программах больше внимания уделяется аналитическим дисциплинам, STEM-направлениям и проектной деятельности. Во многих вузах внедряются программы на основе цифровых технологий и прикладной математики. Однако для повышения эффективности этих изменений необходимо устранить вышеуказанные проблемы, а также усилить интеграцию между разными уровнями образования. В конечном итоге, это позволит создать образовательную систему, способную готовить квалифицированных специалистов, которые смогут успешно работать в условиях цифровой экономики и глобальных вызовов.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Разработка концептуальной модели методологии формирования профессиональной направленности через упражнения по стохастике и теории игр представляет собой сложный и многогранный процесс, направленный на создание инновационного подхода к образовательной и профессиональной подготовке. В этой главе рассматривается, как стохастические методы и игровые механизмы могут быть интегрированы в образовательную практику для формирования устойчивой профессиональной мотивации у учащихся.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Формирование профессиональной направленности — это один из ключевых аспектов развития личности. Этот процесс включает осознание профессиональных интересов, склонностей, ценностей и возможностей учащегося. Он требует не только предоставления информации о профессиях, но и активного вовлечения человека в процесс принятия решений, связанных с выбором будущей карьеры. В условиях динамично развивающегося общества и экономики, где неопределённость является одной из ключевых характеристик профессиональной деятельности, особенно важно подготовить учащихся к работе в условиях риска и многовариантности.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Стохастика и теория игр предоставляют мощный инструментарий для моделирования таких ситуаций. Стохастические методы позволяют включать элементы случайности и неопределённости в образовательный процесс, имитируя реальные профессиональные ситуации, в которых учащимся необходимо принимать решения на основе вероятностных сценариев. Теория игр, в свою очередь, даёт возможность смоделировать взаимодействие между участниками, что особенно важно в профессиях, где требуется командная работа или конкурентное поведение. Объединение этих двух подходов в рамках одной методологии создаёт условия для развития критического мышления, способности прогнозировать последствия своих действий и принимать взвешенные решения.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Разработка концептуальной модели требует выделения её ключевых элементов и определения их взаимосвязей. В центре модели находится профессиональная направленность как цель, которую необходимо достичь. Основные методы, использующие стохастику и теорию игр, включают в себя упражнения, построенные на моделировании профессиональных ситуаций с элементами неопределённости. Эти упражнения должны быть адаптированы к образовательному уровню, интересам и профессиональным предпочтениям учащихся, чтобы обеспечить их максимальную вовлечённость и эффективность обучения.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Сценарии упражнений строятся таким образом, чтобы учащиеся могли применять полученные теоретические знания в практике, принимая решения на основе анализа данных, прогнозирования вероятностей и стратегического планирования. Например, в рамках экономических профессий упражнения могут включать моделирование рынка с элементами конкуренции и случайных факторов, влияющих на спрос и предложение. Для технических специальностей упражнения могут фокусироваться на управлении проектами или решении инженерных задач в условиях ограниченных ресурсов и неопределённых условий.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Особое внимание уделяется интеграции элементов игры, поскольку игровая форма обучения стимулирует эмоциональную вовлечённость и интерес учащихся. Игровые механизмы создают среду, в которой ошибки не только допустимы, но и становятся источником обучения, что особенно важно для формирования уверенности и готовности к риску. Кроме того, игры развивают навыки коммуникации, переговоров и сотрудничества, что является важным для многих профессиональных сфер.</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Эффективность предложенной модели оценивается через анализ динамики профессиональной мотивации, уровня вовлечённости учащихся и их способности решать профессионально ориентированные задачи. Для этого используются различные инструменты, такие как анкетирование, наблюдения, анализ результатов упражнений и обратная связь от участников. Полученные данные позволяют оценить, насколько успешно стохастические упражнения и игровые механизмы способствуют формированию профессиональной направленности, а также выявить области для улучшения методологии.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разработка концептуальной модели методологии формирования профессиональной направленности через упражнения по стохастике и теории игр является важным шагом в создании инновационных образовательных технологий. Эта модель объединяет теоретические и практические аспекты, обеспечивая учащимся возможность подготовиться к реальным профессиональным вызовам в условиях неопределённости. Она способствует не только развитию профессиональных навыков, но и формированию устойчивого интереса к выбранной профессии, что делает её ценной как для образовательной системы, так и для общества в целом.</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На рисунке</w:t>
      </w:r>
      <w:r w:rsidR="009E7EA8">
        <w:rPr>
          <w:sz w:val="28"/>
          <w:szCs w:val="28"/>
        </w:rPr>
        <w:t xml:space="preserve"> 6</w:t>
      </w:r>
      <w:r w:rsidRPr="00382DF1">
        <w:rPr>
          <w:sz w:val="28"/>
          <w:szCs w:val="28"/>
        </w:rPr>
        <w:t xml:space="preserve"> представлена модель </w:t>
      </w:r>
      <w:r w:rsidRPr="00382DF1">
        <w:rPr>
          <w:bCs/>
          <w:sz w:val="28"/>
          <w:szCs w:val="28"/>
        </w:rPr>
        <w:t>методологии формирования профессиональной направленности через стохастико-игровые упражнения</w:t>
      </w:r>
    </w:p>
    <w:p w:rsidR="00382DF1" w:rsidRDefault="003B12D4" w:rsidP="00382DF1">
      <w:pPr>
        <w:pStyle w:val="a4"/>
        <w:spacing w:before="0" w:beforeAutospacing="0" w:after="0" w:afterAutospacing="0"/>
        <w:jc w:val="both"/>
        <w:rPr>
          <w:sz w:val="28"/>
          <w:szCs w:val="28"/>
        </w:rPr>
      </w:pPr>
      <w:r w:rsidRPr="003B12D4">
        <w:rPr>
          <w:noProof/>
          <w:sz w:val="28"/>
          <w:szCs w:val="28"/>
        </w:rPr>
        <w:lastRenderedPageBreak/>
        <w:drawing>
          <wp:inline distT="0" distB="0" distL="0" distR="0">
            <wp:extent cx="6120130" cy="8840188"/>
            <wp:effectExtent l="0" t="0" r="0" b="0"/>
            <wp:docPr id="2" name="Рисунок 2" descr="C:\Users\Huawei\OneDrive\Рабочий стол\Презентация109898775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awei\OneDrive\Рабочий стол\Презентация109898775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840188"/>
                    </a:xfrm>
                    <a:prstGeom prst="rect">
                      <a:avLst/>
                    </a:prstGeom>
                    <a:noFill/>
                    <a:ln>
                      <a:noFill/>
                    </a:ln>
                  </pic:spPr>
                </pic:pic>
              </a:graphicData>
            </a:graphic>
          </wp:inline>
        </w:drawing>
      </w:r>
    </w:p>
    <w:p w:rsidR="009E7EA8" w:rsidRPr="00382DF1" w:rsidRDefault="009E7EA8" w:rsidP="009E7EA8">
      <w:pPr>
        <w:pStyle w:val="a4"/>
        <w:spacing w:before="0" w:beforeAutospacing="0" w:after="0" w:afterAutospacing="0"/>
        <w:jc w:val="center"/>
        <w:rPr>
          <w:sz w:val="28"/>
          <w:szCs w:val="28"/>
        </w:rPr>
      </w:pPr>
      <w:r>
        <w:rPr>
          <w:sz w:val="28"/>
          <w:szCs w:val="28"/>
        </w:rPr>
        <w:t>Рисунок 6 – М</w:t>
      </w:r>
      <w:r w:rsidRPr="00382DF1">
        <w:rPr>
          <w:sz w:val="28"/>
          <w:szCs w:val="28"/>
        </w:rPr>
        <w:t>одель</w:t>
      </w:r>
      <w:r>
        <w:rPr>
          <w:sz w:val="28"/>
          <w:szCs w:val="28"/>
        </w:rPr>
        <w:t xml:space="preserve"> </w:t>
      </w:r>
      <w:r w:rsidRPr="00382DF1">
        <w:rPr>
          <w:bCs/>
          <w:sz w:val="28"/>
          <w:szCs w:val="28"/>
        </w:rPr>
        <w:t>методологии формирования профессиональной направленности через стохастико-игровые упражнения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Данная модель направлена на подготовку специалистов, обладающих аналитическими навыками, которые востребованы в современном рынке труда. Она строится на интеграции математических дисциплин, таких как теория вероятностей, математическая статистика и теория игр, с современными образовательными подходами, основанными на кейсах, проектной деятельности и использовании цифровых технологий.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 основе модели лежат нормативно-правовые акты, включая законодательство Республики Казахстан в области образования, которое регулирует профессиональную подготовку, и концепция «Цифровой Казахстан», нацеленная на развитие навыков работы с данными. Эти нормативные документы задают рамки и определяют стратегическое направление подготовки кадров, включая развитие цифровых технологий и их интеграцию в образовательные программы.</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Целевые компетенции, которые формируются в процессе обучения, включают когнитивные, профессиональные и личностные качества. Когнитивные компетенции ориентированы на развитие аналитического мышления, умения работать с данными, проводить статистические анализы и применять вероятностные подходы для построения моделей. Это дает студентам возможность лучше понимать процессы, прогнозировать события и принимать обоснованные решения. Профессиональные навыки сосредоточены на использовании математических методов для решения прикладных задач в выбранной профессиональной области, моделировании систем, оценке рисков и прогнозировании результатов. Личностные качества направлены на развитие уверенности в принятии решений, а также на формирование интереса к профессиональной деятельности, связанной с решением сложных задач.</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Роли отдельных дисциплин четко определены. Теория вероятностей служит основой для работы с неопределенностью, позволяя анализировать вероятностные сценарии и оценивать риски. Математическая статистика обеспечивает навыки сбора, обработки и визуализации данных, а также формирования гипотез и создания моделей. Теория игр добавляет элементы анализа взаимодействия между субъектами, например, в конкурентной бизнес-среде или в условиях командной работы, помогая разрабатывать оптимальные стратегии.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Методологическая основа модели базируется на интеграции реальных задач из профессиональной среды, использовании кейс-ориентированного подхода и игровых методов. Важное место занимает проектная деятельность, которая мотивирует студентов применять знания на практике и решать сложные задачи. Использование цифровых инструментов делает процесс обучения более интерактивным и современным, что соответствует трендам цифровизации.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Модель предполагает многоуровневый подход к обучению. На базовом уровне студенты получают теоретические знания по теории вероятностей, статистике и теории игр. Затем эти знания закрепляются через решение простых задач с готовыми инструкциями, что позволяет сформировать уверенность в своих действиях. На следующем этапе применяются активные </w:t>
      </w:r>
      <w:r w:rsidRPr="00382DF1">
        <w:rPr>
          <w:sz w:val="28"/>
          <w:szCs w:val="28"/>
        </w:rPr>
        <w:lastRenderedPageBreak/>
        <w:t>методы обучения, такие как игровые модели, симуляции и решение сложных кейсов, взятых из реальной профессиональной практики. Такой подход обеспечивает постепенное углубление знаний и развитие у студентов аналитического мышления.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Этапы реализации модели включают несколько шагов. На начальном этапе проводится диагностика уровня знаний студентов, их интересов и профессиональных предпочтений. Это помогает адаптировать учебную программу к индивидуальным потребностям обучающихся. Далее вводятся теоретические основы, которые сразу же применяются через практические задачи. После этого осуществляется рефлексия, где анализируются результаты выполнения заданий, а студенты оценивают свои успехи. В конце цикла проводится коррекция программы, если в процессе реализации были выявлены слабые места или дополнительные потребности.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Ожидаемые результаты от внедрения данной модели связаны с несколькими ключевыми аспектами. Во-первых, у студентов формируется четкое представление о применении математических методов в профессиональной деятельности. Во-вторых, развиваются навыки работы с данными, принятия решений в условиях неопределенности, а также способности разрабатывать и анализировать модели. В-третьих, у обучающихся повышается интерес к математике как к инструменту, способному решать реальные задачи, что формирует их профессиональную мотивацию.</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модель ориентирована на подготовку специалистов, способных работать в условиях неопределенности и активно применять аналитические инструменты в различных профессиональных сферах. Её основными преимуществами являются интеграция дисциплин, использование современных методов обучения и гибкость, позволяющая адаптировать содержание программы под потребности студентов и работодателей.</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Анализ концептуальной модели методологии формирования профессиональной направленности через стохастико-игровые упражнения показывает, что данный подход объединяет теоретические и практические аспекты обучения, делая образовательный процесс более адаптивным к современным требованиям профессиональной подготовки. Использование стохастических методов и игровых механизмов способствует развитию у студентов аналитического мышления, способности к принятию решений в условиях неопределенности и стратегического планирования.</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Вывод по данной модели заключается в том, что стохастико-игровые упражнения обладают значительным потенциалом для подготовки специалистов, способных адаптироваться к неопределенным условиям профессиональной деятельности. Однако их успешная реализация требует комплексного подхода, включающего модернизацию образовательных стандартов, цифровизацию процесса обучения и подготовку преподавателей к использованию новых методик.</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Для эффективного внедрения данной методологии необходимо учитывать несколько аспектов. Прежде всего, требуется разработка образовательных программ, синхронизированных с актуальными требованиями </w:t>
      </w:r>
      <w:r w:rsidRPr="00382DF1">
        <w:rPr>
          <w:rFonts w:ascii="Times New Roman" w:eastAsia="Times New Roman" w:hAnsi="Times New Roman" w:cs="Times New Roman"/>
          <w:sz w:val="28"/>
          <w:szCs w:val="28"/>
          <w:lang w:eastAsia="ru-RU"/>
        </w:rPr>
        <w:lastRenderedPageBreak/>
        <w:t>рынка труда и цифровой экономики. Это особенно важно для Казахстана, где реализация концепции «Цифровой Казахстан» требует подготовки кадров, обладающих аналитическими и статистическими компетенциями. Развитие таких образовательных моделей должно сопровождаться усилением связи между школьным и вузовским образованием, чтобы минимизировать разрыв в уровне подготовки студентов.</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Методология стохастико-игровых упражнений имеет высокий потенциал для формирования профессиональной направленности, но ее эффективное внедрение требует системного подхода. Комбинация цифровых технологий, продвинутых образовательных методик и адаптации программ к потребностям рынка труда позволит создать систему подготовки специалистов, способных успешно работать в условиях неопределенности и цифровой трансформации.</w:t>
      </w:r>
    </w:p>
    <w:p w:rsidR="00382DF1" w:rsidRPr="00382DF1" w:rsidRDefault="00382DF1" w:rsidP="00382DF1">
      <w:pPr>
        <w:spacing w:after="0" w:line="240" w:lineRule="auto"/>
        <w:ind w:firstLine="851"/>
        <w:jc w:val="both"/>
        <w:outlineLvl w:val="1"/>
        <w:rPr>
          <w:rFonts w:ascii="Times New Roman" w:eastAsia="Times New Roman" w:hAnsi="Times New Roman" w:cs="Times New Roman"/>
          <w:bCs/>
          <w:sz w:val="28"/>
          <w:szCs w:val="28"/>
          <w:lang w:eastAsia="ru-RU"/>
        </w:rPr>
      </w:pPr>
    </w:p>
    <w:p w:rsidR="00382DF1" w:rsidRDefault="00382DF1" w:rsidP="00382DF1">
      <w:pPr>
        <w:pStyle w:val="a4"/>
        <w:shd w:val="clear" w:color="auto" w:fill="FFFFFF"/>
        <w:spacing w:before="0" w:beforeAutospacing="0" w:after="0" w:afterAutospacing="0"/>
        <w:ind w:firstLine="851"/>
        <w:jc w:val="both"/>
        <w:rPr>
          <w:b/>
          <w:color w:val="000000" w:themeColor="text1"/>
          <w:sz w:val="28"/>
          <w:szCs w:val="28"/>
        </w:rPr>
      </w:pPr>
      <w:r w:rsidRPr="00382DF1">
        <w:rPr>
          <w:b/>
          <w:color w:val="000000" w:themeColor="text1"/>
          <w:sz w:val="28"/>
          <w:szCs w:val="28"/>
        </w:rPr>
        <w:t>2.2. Методические требования к с</w:t>
      </w:r>
      <w:r w:rsidRPr="00382DF1">
        <w:rPr>
          <w:b/>
          <w:sz w:val="28"/>
          <w:szCs w:val="28"/>
        </w:rPr>
        <w:t>озданию интегрированной системы стохастико-игровых упражнений</w:t>
      </w:r>
      <w:r w:rsidRPr="00382DF1">
        <w:rPr>
          <w:b/>
          <w:color w:val="000000" w:themeColor="text1"/>
          <w:sz w:val="28"/>
          <w:szCs w:val="28"/>
        </w:rPr>
        <w:t>.</w:t>
      </w:r>
    </w:p>
    <w:p w:rsidR="00660E20" w:rsidRPr="00382DF1" w:rsidRDefault="00660E20" w:rsidP="00382DF1">
      <w:pPr>
        <w:pStyle w:val="a4"/>
        <w:shd w:val="clear" w:color="auto" w:fill="FFFFFF"/>
        <w:spacing w:before="0" w:beforeAutospacing="0" w:after="0" w:afterAutospacing="0"/>
        <w:ind w:firstLine="851"/>
        <w:jc w:val="both"/>
        <w:rPr>
          <w:b/>
          <w:color w:val="000000" w:themeColor="text1"/>
          <w:sz w:val="28"/>
          <w:szCs w:val="28"/>
        </w:rPr>
      </w:pP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Создание интегрированной системы упражнений по стохастике и теории игр является актуальной задачей в условиях современного образовательного процесса. Эти дисциплины обладают высокой степенью прикладного значения и используются в различных областях науки и практики: от анализа экономических стратегий до разработки алгоритмов искусственного интеллекта. Знание принципов стохастики позволяет понимать и прогнозировать вероятностные процессы, что критически важно для работы с большими данными, статистическими моделями и задачами оптимизации. В то же время теория игр изучает стратегическое поведение и взаимодействие участников в конкурентной среде, что делает её незаменимой при анализе конфликтов, кооперации и принятия решений.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Ясность образовательных целей является ключевым аспектом при создании системы упражнений. Конкретные цели включают развитие интуиции в работе с вероятностями, освоение теоретико-игровых стратегий и применение математических методов в реальных ситуациях. Обучающиеся должны научиться идентифицировать основные вероятностные закономерности, разрабатывать и оценивать стратегии в условиях неопределённости, а также применять полученные знания для решения практических задач. Чётко сформулированные цели обеспечивают направленность образовательного процесса и позволяют концентрироваться на тех аспектах, которые наиболее важны для формирования профессиональных компетенций.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Интеграция стохастики и теории игр в единую систему упражнений обеспечивает развитие у обучающихся системного мышления, способности к моделированию сложных процессов и поиску оптимальных решений. Такая система не только формирует теоретические знания, но и способствует приобретению практических навыков, необходимых для успешной профессиональной деятельности. Основной задачей при разработке таких упражнений является создание условий, в которых обучающиеся смогут </w:t>
      </w:r>
      <w:r w:rsidRPr="00382DF1">
        <w:rPr>
          <w:sz w:val="28"/>
          <w:szCs w:val="28"/>
        </w:rPr>
        <w:lastRenderedPageBreak/>
        <w:t>применить свои знания на практике, научиться анализировать неопределённость и разрабатывать стратегии в условиях ограниченной информации.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Важность данной темы обусловлена не только её теоретической значимостью, но и растущим запросом со стороны общества на специалистов, способных решать сложные задачи в условиях неопределённости и стратегической неопределённости. Современные рынки труда требуют от профессионалов гибкости мышления, умения адаптироваться к новым условиям и принимать обоснованные решения в конкурентной среде. Именно эти качества развиваются при работе с задачами, интегрирующими элементы стохастики и теории игр.</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интегрированная система упражнений по стохастике и теории игр является мощным инструментом для развития у обучающихся ключевых навыков, востребованных в XXI веке. Она позволяет формировать не только глубокие теоретические знания, но и способность применять их в реальной жизни, что делает процесс обучения более осмысленным и практикоориентированным. Создание такой системы требует тщательной проработки методики, включающей постепенное усложнение задач, использование современных технологий и обеспечение обратной связи. Итогом станет повышение качества образования, развитие компетенций обучающихся и их готовность к решению современных вызовов.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Целеполагание и содержание системы упражнений в обучении стохастике и теории игр требует детального анализа, чтобы обеспечить эффективность процесса обучения. Начнем с постановки ясных образовательных целей. Необходимо четко определить, чему должны научиться студенты в результате выполнения упражнений. Например, если одной из задач является развитие интуиции в работе с вероятностями, то упражнения должны быть ориентированы на формирование умений видеть закономерности в случайных явлениях, оценивать вероятность событий и предвидеть результаты случайных экспериментов. Если акцент на освоении теоретико-игровых стратегий, то задачи должны включать анализ конфликтных ситуаций, моделирование решений игроков и применение таких концепций, как равновесие Нэша. Для применения математических методов в реальных жизненных ситуациях важно включить задачи, имитирующие повседневные или профессиональные сценарии, такие как управление портфелем активов, выбор оптимальной стратегии в условиях неопределенности или анализ рисков.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Междисциплинарность играет ключевую роль в содержании упражнений. Стохастика и теория игр тесно связаны с другими областями знаний, такими как экономика, управление рисками, программирование, оптимизация и аналитика данных. Для достижения этого подхода важно не ограничиваться только математической составляющей. Например, при изучении теории игр можно рассматривать экономические модели переговоров, где участники стремятся максимизировать свои выгоды. В случае задач по стохастике можно использовать примеры из анализа данных, где необходимо оценить вероятность успеха стартапа или спрогнозировать прибыль компании. </w:t>
      </w:r>
      <w:r w:rsidRPr="00382DF1">
        <w:rPr>
          <w:sz w:val="28"/>
          <w:szCs w:val="28"/>
        </w:rPr>
        <w:lastRenderedPageBreak/>
        <w:t>Это поможет студентам видеть практическую значимость изучаемого материала и укрепить их интерес к предмету.</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Не менее важно учитывать уровень подготовки студентов. Для начинающих подойдут упражнения, направленные на освоение базовых понятий, таких как вероятности, основные законы теории вероятностей и простейшие игровые сценарии. Например, задачи на подсчет вероятностей с использованием элементарных подходов или анализ игр с двумя участниками, где каждый имеет ограниченное количество стратегий. Для студентов со средним уровнем подготовки можно предлагать более сложные задачи, включающие расчет условных вероятностей, анализ смешанных стратегий и моделирование случайных процессов. Продвинутым учащимся могут быть предложены комплексные задачи, связанные с исследованием многомерных вероятностных распределений, оптимизацией стратегий в многопользовательских играх или применением машинного обучения для прогнозирования вероятностных событий. Такой дифференцированный подход обеспечит каждому студенту комфортный уровень сложности и создаст условия для постепенного и непрерывного роста.</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Поэтому, четкая постановка целей, использование междисциплинарного подхода и адаптация к уровню подготовки студентов обеспечат успешное применение системы упражнений для изучения стохастики и теории игр.</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 xml:space="preserve">Также немаловажны </w:t>
      </w:r>
      <w:proofErr w:type="gramStart"/>
      <w:r w:rsidRPr="00382DF1">
        <w:rPr>
          <w:rFonts w:ascii="Times New Roman" w:hAnsi="Times New Roman" w:cs="Times New Roman"/>
          <w:sz w:val="28"/>
          <w:szCs w:val="28"/>
        </w:rPr>
        <w:t>принципы</w:t>
      </w:r>
      <w:proofErr w:type="gramEnd"/>
      <w:r w:rsidRPr="00382DF1">
        <w:rPr>
          <w:rFonts w:ascii="Times New Roman" w:hAnsi="Times New Roman" w:cs="Times New Roman"/>
          <w:sz w:val="28"/>
          <w:szCs w:val="28"/>
        </w:rPr>
        <w:t xml:space="preserve"> по которым будут строиться упражнения. </w:t>
      </w:r>
      <w:r w:rsidRPr="00382DF1">
        <w:rPr>
          <w:rFonts w:ascii="Times New Roman" w:eastAsia="Times New Roman" w:hAnsi="Times New Roman" w:cs="Times New Roman"/>
          <w:sz w:val="28"/>
          <w:szCs w:val="28"/>
          <w:lang w:eastAsia="ru-RU"/>
        </w:rPr>
        <w:t>Принципы организации упражнений по стохастике и теории игр имеют фундаментальное значение для эффективного обучения студентов и формирования у них профессиональной направленности. Они определяют подходы к разработке и проведению занятий, обеспечивая условия для активного вовлечения учащихся и формирования ключевых компетенций.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Первым важным принципом является адаптивность упражнений. Каждый студент имеет свой уровень подготовки и индивидуальные особенности восприятия информации. Поэтому преподавателю необходимо варьировать сложность заданий в зависимости от уровня группы и прогресса обучающихся. Для начинающих можно предложить простые задачи, где случайные элементы минимальны, а варианты решений очевидны. Для более продвинутых студентов упражнения могут включать сложные сценарии с большим числом неопределенных факторов и многовариантными решениями.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Практическая направленность упражнений является еще одним важным принципом. Теоретические концепции стохастики и теории игр сложно воспринимать без связи с реальными примерами. Поэтому задания должны моделировать ситуации, которые учащиеся могут встретить в профессиональной деятельности. Это могут быть кейсы из области финансового планирования, управления проектами, маркетинга или управления рисками. Например, вместо абстрактных задач на вероятность можно предложить студентам разработать стратегию оптимизации бизнес-процесса с учетом возможных случайных перебоев.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Принцип стохастичности подразумевает обязательное включение элементов случайности в упражнения. Это позволяет моделировать условия </w:t>
      </w:r>
      <w:r w:rsidRPr="00382DF1">
        <w:rPr>
          <w:rFonts w:ascii="Times New Roman" w:eastAsia="Times New Roman" w:hAnsi="Times New Roman" w:cs="Times New Roman"/>
          <w:sz w:val="28"/>
          <w:szCs w:val="28"/>
          <w:lang w:eastAsia="ru-RU"/>
        </w:rPr>
        <w:lastRenderedPageBreak/>
        <w:t>реальной жизни, где события редко развиваются строго по плану. Стохастические элементы могут включать случайные изменения параметров задачи, такие как изменения спроса на продукцию, изменение цен на рынке или непредвиденные обстоятельства в производственном процессе. Студенты учатся принимать решения в условиях неопределенности и прогнозировать возможные последствия своих действий.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Еще одним ключевым принципом является игровое взаимодействие. Теория игр предполагает анализ стратегий взаимодействия между участниками, поэтому упражнения должны включать элементы соревнования и сотрудничества. Это может быть моделирование переговорного процесса, где студенты играют роли противоположных сторон с различными интересами, или кооперативные задачи, где необходимо совместными усилиями достичь наилучшего результата. Игровой формат способствует активному вовлечению студентов, развивает их коммуникативные навыки и позволяет отработать стратегии взаимодействия в команде.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Рефлексия играет важную роль в процессе обучения и является обязательным элементом упражнений. После выполнения задания необходимо выделить время для обсуждения результатов. Преподаватель вместе со студентами анализирует принятые решения, выявляет успешные стратегии и обсуждает допущенные ошибки. Это помогает студентам лучше осознать свои действия и понять, как можно улучшить свои решения в будущем. Рефлексия способствует формированию аналитического мышления и укреплению профессиональных навыков.</w:t>
      </w:r>
    </w:p>
    <w:p w:rsidR="00382DF1" w:rsidRPr="00382DF1" w:rsidRDefault="00382DF1" w:rsidP="00322A85">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итоге, правильная организация упражнений на основе этих принципов создает благоприятную среду для развития профессиональной направленности студентов. Она не только помогает им освоить сложные концепции стохастики и теории игр, но и готовит их к решению реальных задач в условиях неопределенности и взаимодействия с другими участниками профессиональной деятельности.</w:t>
      </w:r>
    </w:p>
    <w:p w:rsidR="00322A85" w:rsidRPr="0032392C" w:rsidRDefault="00322A85" w:rsidP="0032392C">
      <w:pPr>
        <w:pStyle w:val="a4"/>
        <w:spacing w:before="0" w:beforeAutospacing="0" w:after="0" w:afterAutospacing="0"/>
        <w:ind w:firstLine="709"/>
        <w:jc w:val="both"/>
        <w:rPr>
          <w:sz w:val="28"/>
          <w:szCs w:val="28"/>
        </w:rPr>
      </w:pPr>
      <w:r w:rsidRPr="00322A85">
        <w:rPr>
          <w:sz w:val="28"/>
          <w:szCs w:val="28"/>
        </w:rPr>
        <w:t xml:space="preserve">Структурирование упражнений для изучения стохастики и теории игр должно обеспечивать логическую последовательность изучения тем и способствовать постепенному углублению знаний. Один из наиболее эффективных подходов к этому – модульный принцип, который позволяет разбить материал на взаимосвязанные тематические блоки, а также организовать обучение таким образом, чтобы оно охватывало все ключевые аспекты дисциплины. Важным аспектом является использование Таксономии Блума для формирования заданий различного уровня сложности и обеспечения </w:t>
      </w:r>
      <w:r w:rsidRPr="0032392C">
        <w:rPr>
          <w:sz w:val="28"/>
          <w:szCs w:val="28"/>
        </w:rPr>
        <w:t>дифференциации обучения.</w:t>
      </w:r>
    </w:p>
    <w:p w:rsidR="0032392C" w:rsidRPr="0032392C" w:rsidRDefault="0032392C" w:rsidP="0032392C">
      <w:pPr>
        <w:pStyle w:val="a4"/>
        <w:spacing w:before="0" w:beforeAutospacing="0" w:after="0" w:afterAutospacing="0"/>
        <w:ind w:firstLine="709"/>
        <w:jc w:val="both"/>
        <w:rPr>
          <w:sz w:val="28"/>
          <w:szCs w:val="28"/>
        </w:rPr>
      </w:pPr>
      <w:r w:rsidRPr="0032392C">
        <w:rPr>
          <w:sz w:val="28"/>
          <w:szCs w:val="28"/>
        </w:rPr>
        <w:t>Таксономия Блума — это иерархическая модель, которая помогает структурировать образовательные цели в зависимости от сложности мышления. Она начинается с простого запоминания информации, затем переходит к пониманию и объяснению, далее к применению знаний на практике, после чего следует анализ закономерностей и зависимостей. Затем идет оценка информации, где требуется критическое мышление, а на высшем уровне — создание новых идей и моделей.</w:t>
      </w:r>
    </w:p>
    <w:p w:rsidR="00F47878" w:rsidRDefault="00F47878" w:rsidP="00F47878">
      <w:pPr>
        <w:pStyle w:val="a4"/>
        <w:spacing w:before="0" w:beforeAutospacing="0" w:after="0" w:afterAutospacing="0"/>
        <w:jc w:val="center"/>
        <w:rPr>
          <w:sz w:val="28"/>
          <w:szCs w:val="28"/>
        </w:rPr>
      </w:pPr>
      <w:r w:rsidRPr="00F47878">
        <w:rPr>
          <w:noProof/>
          <w:sz w:val="28"/>
          <w:szCs w:val="28"/>
        </w:rPr>
        <w:lastRenderedPageBreak/>
        <w:drawing>
          <wp:inline distT="0" distB="0" distL="0" distR="0">
            <wp:extent cx="3861261" cy="3861261"/>
            <wp:effectExtent l="0" t="0" r="6350" b="6350"/>
            <wp:docPr id="4" name="Рисунок 4" descr="C:\Users\Huawei\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awei\Downloads\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166" cy="3878166"/>
                    </a:xfrm>
                    <a:prstGeom prst="rect">
                      <a:avLst/>
                    </a:prstGeom>
                    <a:noFill/>
                    <a:ln>
                      <a:noFill/>
                    </a:ln>
                  </pic:spPr>
                </pic:pic>
              </a:graphicData>
            </a:graphic>
          </wp:inline>
        </w:drawing>
      </w:r>
    </w:p>
    <w:p w:rsidR="00F47878" w:rsidRDefault="00F47878" w:rsidP="00F47878">
      <w:pPr>
        <w:pStyle w:val="a4"/>
        <w:spacing w:before="0" w:beforeAutospacing="0" w:after="0" w:afterAutospacing="0"/>
        <w:jc w:val="center"/>
        <w:rPr>
          <w:sz w:val="28"/>
          <w:szCs w:val="28"/>
        </w:rPr>
      </w:pPr>
    </w:p>
    <w:p w:rsidR="00F47878" w:rsidRDefault="00F47878" w:rsidP="00F47878">
      <w:pPr>
        <w:pStyle w:val="a4"/>
        <w:spacing w:before="0" w:beforeAutospacing="0" w:after="0" w:afterAutospacing="0"/>
        <w:jc w:val="center"/>
        <w:rPr>
          <w:sz w:val="28"/>
          <w:szCs w:val="28"/>
        </w:rPr>
      </w:pPr>
      <w:r>
        <w:rPr>
          <w:sz w:val="28"/>
          <w:szCs w:val="28"/>
        </w:rPr>
        <w:t>Рисунок 7 – Таксономия Блума</w:t>
      </w:r>
    </w:p>
    <w:p w:rsidR="00F47878" w:rsidRDefault="00F47878" w:rsidP="00F47878">
      <w:pPr>
        <w:pStyle w:val="a4"/>
        <w:spacing w:before="0" w:beforeAutospacing="0" w:after="0" w:afterAutospacing="0"/>
        <w:jc w:val="center"/>
        <w:rPr>
          <w:sz w:val="28"/>
          <w:szCs w:val="28"/>
        </w:rPr>
      </w:pPr>
    </w:p>
    <w:p w:rsidR="0032392C" w:rsidRPr="00DC47C4" w:rsidRDefault="0032392C" w:rsidP="00DC47C4">
      <w:pPr>
        <w:pStyle w:val="a4"/>
        <w:spacing w:before="0" w:beforeAutospacing="0" w:after="0" w:afterAutospacing="0"/>
        <w:ind w:firstLine="709"/>
        <w:jc w:val="both"/>
        <w:rPr>
          <w:sz w:val="28"/>
          <w:szCs w:val="28"/>
        </w:rPr>
      </w:pPr>
      <w:r w:rsidRPr="0032392C">
        <w:rPr>
          <w:sz w:val="28"/>
          <w:szCs w:val="28"/>
        </w:rPr>
        <w:t xml:space="preserve">Дифференциация в обучении позволяет адаптировать процесс к разным уровням подготовки студентов. Она может выражаться в изменении сложности материала, подборе различных методов обучения, разнообразии форм отчетности о знаниях и создании гибкой образовательной среды. Например, одним ученикам может быть предложено изучить только базовые понятия, а другим — более сложные методы и анализ данных. Это делает обучение более </w:t>
      </w:r>
      <w:r w:rsidRPr="00DC47C4">
        <w:rPr>
          <w:sz w:val="28"/>
          <w:szCs w:val="28"/>
        </w:rPr>
        <w:t>доступным и эффективным, помогая каждому студенту освоить материал в соответствии с его уровнем и потребностями.</w:t>
      </w:r>
    </w:p>
    <w:p w:rsidR="00DC47C4" w:rsidRPr="00DC47C4" w:rsidRDefault="00DC47C4" w:rsidP="00DC47C4">
      <w:pPr>
        <w:pStyle w:val="a4"/>
        <w:spacing w:before="0" w:beforeAutospacing="0" w:after="0" w:afterAutospacing="0"/>
        <w:ind w:firstLine="709"/>
        <w:jc w:val="both"/>
        <w:rPr>
          <w:sz w:val="28"/>
          <w:szCs w:val="28"/>
        </w:rPr>
      </w:pPr>
      <w:r w:rsidRPr="00DC47C4">
        <w:rPr>
          <w:sz w:val="28"/>
          <w:szCs w:val="28"/>
        </w:rPr>
        <w:t>Дифференциация обучения охватывает семь ключевых направлений, которые позволяют адаптировать образовательный процесс к потребностям учащихся.</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t>Первая — дифференциация по содержанию</w:t>
      </w:r>
      <w:r w:rsidRPr="00DC47C4">
        <w:rPr>
          <w:sz w:val="28"/>
          <w:szCs w:val="28"/>
        </w:rPr>
        <w:t>. Это означает, что ученики изучают разные аспекты одной темы в зависимости от уровня их подготовки. Одним предлагаются базовые понятия, другим — углубленный материал с теоретическими обоснованиями и сложными задачами.</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t>Вторая — дифференциация по процессу обучения</w:t>
      </w:r>
      <w:r w:rsidRPr="00DC47C4">
        <w:rPr>
          <w:sz w:val="28"/>
          <w:szCs w:val="28"/>
        </w:rPr>
        <w:t>. Ученики осваивают материал разными способами: кто-то через дискуссии, кто-то через практические задания, а кто-то через чтение и анализ текстов. Это учитывает индивидуальные стили восприятия информации.</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t>Третья — дифференциация по продукту</w:t>
      </w:r>
      <w:r w:rsidRPr="00DC47C4">
        <w:rPr>
          <w:sz w:val="28"/>
          <w:szCs w:val="28"/>
        </w:rPr>
        <w:t>. Учащиеся могут демонстрировать свои знания в разных форматах: решая задачи, создавая проекты, делая презентации или готовя аналитические отчеты. Это позволяет каждому проявить себя наилучшим образом.</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lastRenderedPageBreak/>
        <w:t>Четвертая — дифференциация по среде обучения</w:t>
      </w:r>
      <w:r w:rsidRPr="00DC47C4">
        <w:rPr>
          <w:sz w:val="28"/>
          <w:szCs w:val="28"/>
        </w:rPr>
        <w:t>. Организация пространства и условий влияет на эффективность усвоения знаний. Кто-то лучше учится в тихой индивидуальной обстановке, а кому-то необходима групповая работа или цифровые образовательные платформы.</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t>Пятая — дифференциация по темпу обучения</w:t>
      </w:r>
      <w:r w:rsidRPr="00DC47C4">
        <w:rPr>
          <w:sz w:val="28"/>
          <w:szCs w:val="28"/>
        </w:rPr>
        <w:t>. Ученики осваивают материал с разной скоростью, поэтому одни могут двигаться быстрее и переходить к сложным заданиям, а другие — повторять ключевые моменты и закреплять знания в своем ритме.</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t>Шестая — дифференциация по уровню поддержки</w:t>
      </w:r>
      <w:r w:rsidRPr="00DC47C4">
        <w:rPr>
          <w:sz w:val="28"/>
          <w:szCs w:val="28"/>
        </w:rPr>
        <w:t>. Некоторым учащимся требуется больше наставничества, разъяснений и помощи, в то время как другим достаточно минимального контроля и возможности работать самостоятельно.</w:t>
      </w:r>
    </w:p>
    <w:p w:rsidR="00DC47C4" w:rsidRPr="00DC47C4" w:rsidRDefault="00DC47C4" w:rsidP="00DC47C4">
      <w:pPr>
        <w:pStyle w:val="a4"/>
        <w:spacing w:before="0" w:beforeAutospacing="0" w:after="0" w:afterAutospacing="0"/>
        <w:ind w:firstLine="709"/>
        <w:jc w:val="both"/>
        <w:rPr>
          <w:sz w:val="28"/>
          <w:szCs w:val="28"/>
        </w:rPr>
      </w:pPr>
      <w:r w:rsidRPr="00DC47C4">
        <w:rPr>
          <w:rStyle w:val="a5"/>
          <w:b w:val="0"/>
          <w:sz w:val="28"/>
          <w:szCs w:val="28"/>
        </w:rPr>
        <w:t>Седьмая — дифференциация по интересам и мотивации</w:t>
      </w:r>
      <w:r w:rsidRPr="00DC47C4">
        <w:rPr>
          <w:sz w:val="28"/>
          <w:szCs w:val="28"/>
        </w:rPr>
        <w:t>. Материал может быть адаптирован с учетом предпочтений учащихся, например, через включение в учебный процесс кейсов из их области интересов, что повышает вовлеченность и заинтересованность.</w:t>
      </w:r>
    </w:p>
    <w:p w:rsidR="00DC47C4" w:rsidRPr="00DC47C4" w:rsidRDefault="00DC47C4" w:rsidP="00DC47C4">
      <w:pPr>
        <w:pStyle w:val="a4"/>
        <w:spacing w:before="0" w:beforeAutospacing="0" w:after="0" w:afterAutospacing="0"/>
        <w:ind w:firstLine="709"/>
        <w:jc w:val="both"/>
        <w:rPr>
          <w:sz w:val="28"/>
          <w:szCs w:val="28"/>
        </w:rPr>
      </w:pPr>
      <w:r w:rsidRPr="00DC47C4">
        <w:rPr>
          <w:sz w:val="28"/>
          <w:szCs w:val="28"/>
        </w:rPr>
        <w:t>Использование этих видов дифференциации позволяет сделать процесс обучения гибким, персонализированным и эффективным, помогая каждому ученику достичь своих образовательных целей.</w:t>
      </w:r>
    </w:p>
    <w:p w:rsidR="00382DF1" w:rsidRPr="00DC47C4" w:rsidRDefault="00382DF1" w:rsidP="00DC47C4">
      <w:pPr>
        <w:pStyle w:val="a4"/>
        <w:spacing w:before="0" w:beforeAutospacing="0" w:after="0" w:afterAutospacing="0"/>
        <w:ind w:firstLine="851"/>
        <w:jc w:val="both"/>
        <w:rPr>
          <w:sz w:val="28"/>
          <w:szCs w:val="28"/>
        </w:rPr>
      </w:pPr>
    </w:p>
    <w:p w:rsidR="00382DF1" w:rsidRDefault="00AF4DA0" w:rsidP="00F051C1">
      <w:pPr>
        <w:pStyle w:val="a4"/>
        <w:spacing w:before="0" w:beforeAutospacing="0" w:after="0" w:afterAutospacing="0"/>
        <w:jc w:val="both"/>
        <w:rPr>
          <w:sz w:val="28"/>
          <w:szCs w:val="28"/>
        </w:rPr>
      </w:pPr>
      <w:r w:rsidRPr="00AF4DA0">
        <w:rPr>
          <w:noProof/>
          <w:sz w:val="28"/>
          <w:szCs w:val="28"/>
        </w:rPr>
        <w:drawing>
          <wp:inline distT="0" distB="0" distL="0" distR="0" wp14:anchorId="27FB13A8" wp14:editId="74C9F605">
            <wp:extent cx="6120130" cy="30778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77845"/>
                    </a:xfrm>
                    <a:prstGeom prst="rect">
                      <a:avLst/>
                    </a:prstGeom>
                  </pic:spPr>
                </pic:pic>
              </a:graphicData>
            </a:graphic>
          </wp:inline>
        </w:drawing>
      </w:r>
    </w:p>
    <w:p w:rsidR="00F051C1" w:rsidRDefault="00F051C1" w:rsidP="00F051C1">
      <w:pPr>
        <w:pStyle w:val="a4"/>
        <w:spacing w:before="0" w:beforeAutospacing="0" w:after="0" w:afterAutospacing="0"/>
        <w:jc w:val="center"/>
        <w:rPr>
          <w:sz w:val="28"/>
          <w:szCs w:val="28"/>
        </w:rPr>
      </w:pPr>
    </w:p>
    <w:p w:rsidR="00F051C1" w:rsidRPr="00382DF1" w:rsidRDefault="00F051C1" w:rsidP="00F051C1">
      <w:pPr>
        <w:pStyle w:val="a4"/>
        <w:spacing w:before="0" w:beforeAutospacing="0" w:after="0" w:afterAutospacing="0"/>
        <w:jc w:val="center"/>
        <w:rPr>
          <w:sz w:val="28"/>
          <w:szCs w:val="28"/>
        </w:rPr>
      </w:pPr>
      <w:r>
        <w:rPr>
          <w:sz w:val="28"/>
          <w:szCs w:val="28"/>
        </w:rPr>
        <w:t>Рисунок 7 – М</w:t>
      </w:r>
      <w:r w:rsidRPr="00382DF1">
        <w:rPr>
          <w:sz w:val="28"/>
          <w:szCs w:val="28"/>
        </w:rPr>
        <w:t>одульный</w:t>
      </w:r>
      <w:r>
        <w:rPr>
          <w:sz w:val="28"/>
          <w:szCs w:val="28"/>
        </w:rPr>
        <w:t xml:space="preserve"> </w:t>
      </w:r>
      <w:r w:rsidRPr="00382DF1">
        <w:rPr>
          <w:sz w:val="28"/>
          <w:szCs w:val="28"/>
        </w:rPr>
        <w:t>принцип</w:t>
      </w:r>
      <w:r>
        <w:rPr>
          <w:sz w:val="28"/>
          <w:szCs w:val="28"/>
        </w:rPr>
        <w:t xml:space="preserve"> </w:t>
      </w:r>
      <w:r w:rsidRPr="00382DF1">
        <w:rPr>
          <w:sz w:val="28"/>
          <w:szCs w:val="28"/>
        </w:rPr>
        <w:t>для изучения стохастики и теории игр</w:t>
      </w:r>
    </w:p>
    <w:p w:rsidR="00F051C1" w:rsidRDefault="00F051C1" w:rsidP="00382DF1">
      <w:pPr>
        <w:pStyle w:val="a4"/>
        <w:spacing w:before="0" w:beforeAutospacing="0" w:after="0" w:afterAutospacing="0"/>
        <w:ind w:firstLine="851"/>
        <w:jc w:val="both"/>
        <w:rPr>
          <w:sz w:val="28"/>
          <w:szCs w:val="28"/>
        </w:rPr>
      </w:pPr>
    </w:p>
    <w:p w:rsidR="00322A85" w:rsidRPr="00322A85" w:rsidRDefault="00322A85" w:rsidP="00322A85">
      <w:pPr>
        <w:pStyle w:val="a4"/>
        <w:spacing w:before="0" w:beforeAutospacing="0" w:after="0" w:afterAutospacing="0"/>
        <w:ind w:firstLine="709"/>
        <w:jc w:val="both"/>
        <w:rPr>
          <w:sz w:val="28"/>
          <w:szCs w:val="28"/>
        </w:rPr>
      </w:pPr>
      <w:r w:rsidRPr="00322A85">
        <w:rPr>
          <w:sz w:val="28"/>
          <w:szCs w:val="28"/>
        </w:rPr>
        <w:t xml:space="preserve">Первый модуль может быть посвящен основам вероятности. Здесь важно сосредоточиться на базовых понятиях, таких как случайные события, вероятности их наступления, законы сложения и умножения вероятностей, условные вероятности и независимость событий. Упражнения в этом модуле должны включать простейшие эксперименты, например, расчеты вероятностей выпадения различных исходов при подбрасывании монеты, броске кубика или выборе карт из колоды. Другая важная тема – вероятностные распределения </w:t>
      </w:r>
      <w:r w:rsidRPr="00322A85">
        <w:rPr>
          <w:sz w:val="28"/>
          <w:szCs w:val="28"/>
        </w:rPr>
        <w:lastRenderedPageBreak/>
        <w:t>(например, биномиальное, нормальное, пуассоновское), поэтому задачи должны включать примеры из жизни, где используются эти распределения, такие как оценка вероятности успеха при серийных испытаниях или анализ ошибок измерения.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Пример по первому модулю:</w:t>
      </w:r>
    </w:p>
    <w:p w:rsidR="00382DF1" w:rsidRPr="00382DF1" w:rsidRDefault="00382DF1" w:rsidP="00382DF1">
      <w:pPr>
        <w:spacing w:after="0" w:line="240" w:lineRule="auto"/>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Тема: Условная вероятность.</w:t>
      </w:r>
    </w:p>
    <w:p w:rsidR="00382DF1" w:rsidRPr="00382DF1" w:rsidRDefault="00382DF1" w:rsidP="00382DF1">
      <w:pPr>
        <w:spacing w:after="0" w:line="240" w:lineRule="auto"/>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1 (Базовый уровень)</w:t>
      </w:r>
    </w:p>
    <w:p w:rsidR="00382DF1" w:rsidRPr="00382DF1" w:rsidRDefault="00382DF1" w:rsidP="00382DF1">
      <w:p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Есть две колоды карт: одна стандартная (52 карты), другая без мастей червей (39 карт). Из каждой колоды случайно вытаскивают по одной карте. Найдите вероятность того, что из первой колоды вытащат червовую карту, а из второй — бубновую.</w:t>
      </w:r>
    </w:p>
    <w:p w:rsidR="00382DF1" w:rsidRPr="00382DF1" w:rsidRDefault="00382DF1" w:rsidP="00382DF1">
      <w:pPr>
        <w:spacing w:after="0" w:line="240" w:lineRule="auto"/>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2 (Средний уровень)</w:t>
      </w:r>
    </w:p>
    <w:p w:rsidR="00382DF1" w:rsidRPr="00382DF1" w:rsidRDefault="00382DF1" w:rsidP="00382DF1">
      <w:p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 заводе производятся детали, которые проходят два этапа контроля качества. Вероятность того, что деталь пройдет первый этап успешно — 0.9, а вероятность прохождения второго этапа при успешном первом — 0.8. Найдите вероятность того, что деталь пройдет оба этапа контроля.</w:t>
      </w:r>
    </w:p>
    <w:p w:rsidR="00382DF1" w:rsidRPr="00382DF1" w:rsidRDefault="00382DF1" w:rsidP="00382DF1">
      <w:pPr>
        <w:spacing w:after="0" w:line="240" w:lineRule="auto"/>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3 (Продвинутый уровень)</w:t>
      </w:r>
    </w:p>
    <w:p w:rsidR="00382DF1" w:rsidRPr="00382DF1" w:rsidRDefault="00382DF1" w:rsidP="00382DF1">
      <w:p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группе из 30 студентов 18 человек сдали контрольную работу, а 12 человек — домашнее задание. Среди них 8 студентов сдали оба задания. Найдите вероятность того, что случайно выбранный студент:</w:t>
      </w:r>
    </w:p>
    <w:p w:rsidR="00382DF1" w:rsidRPr="00382DF1" w:rsidRDefault="00382DF1" w:rsidP="00382DF1">
      <w:pPr>
        <w:numPr>
          <w:ilvl w:val="0"/>
          <w:numId w:val="15"/>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Сдал хотя бы одно задание.</w:t>
      </w:r>
    </w:p>
    <w:p w:rsidR="00382DF1" w:rsidRPr="00382DF1" w:rsidRDefault="00382DF1" w:rsidP="00382DF1">
      <w:pPr>
        <w:numPr>
          <w:ilvl w:val="0"/>
          <w:numId w:val="15"/>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Сдал только одно задание.</w:t>
      </w:r>
    </w:p>
    <w:p w:rsidR="00382DF1" w:rsidRPr="00382DF1" w:rsidRDefault="00382DF1" w:rsidP="00382DF1">
      <w:pPr>
        <w:spacing w:after="0" w:line="240" w:lineRule="auto"/>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4 (Продвинутый уровень с анализом)</w:t>
      </w:r>
    </w:p>
    <w:p w:rsidR="00382DF1" w:rsidRPr="00382DF1" w:rsidRDefault="00382DF1" w:rsidP="00382DF1">
      <w:p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медицинском тесте вероятность правильного положительного результата при наличии болезни — 0.95, вероятность правильного отрицательного результата при отсутствии болезни — 0.98. Вероятность заболевания в популяции — 0.01. Найдите вероятность того, что у человека есть болезнь, если тест оказался положительным.</w:t>
      </w:r>
    </w:p>
    <w:p w:rsidR="00382DF1" w:rsidRPr="00382DF1" w:rsidRDefault="00382DF1" w:rsidP="00382DF1">
      <w:pPr>
        <w:spacing w:after="0" w:line="240" w:lineRule="auto"/>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5 (Высокий уровень сложности)</w:t>
      </w:r>
    </w:p>
    <w:p w:rsidR="00382DF1" w:rsidRPr="00595DB7" w:rsidRDefault="00382DF1" w:rsidP="00595DB7">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На производстве вероятность того, что станок выдаст бракованную деталь, составляет 0.05. Вероятность того, что дефект будет обнаружен при проверке, равна 0.9. Если дефект не обнаружен, деталь отправляется покупателю. Какова </w:t>
      </w:r>
      <w:r w:rsidRPr="00595DB7">
        <w:rPr>
          <w:rFonts w:ascii="Times New Roman" w:eastAsia="Times New Roman" w:hAnsi="Times New Roman" w:cs="Times New Roman"/>
          <w:sz w:val="28"/>
          <w:szCs w:val="28"/>
          <w:lang w:eastAsia="ru-RU"/>
        </w:rPr>
        <w:t>вероятность того, что бракованная деталь попадет к покупателю?</w:t>
      </w:r>
    </w:p>
    <w:p w:rsidR="00595DB7" w:rsidRPr="00595DB7" w:rsidRDefault="00595DB7" w:rsidP="00595DB7">
      <w:pPr>
        <w:pStyle w:val="a4"/>
        <w:spacing w:before="0" w:beforeAutospacing="0" w:after="0" w:afterAutospacing="0"/>
        <w:ind w:firstLine="709"/>
        <w:jc w:val="both"/>
        <w:rPr>
          <w:sz w:val="28"/>
          <w:szCs w:val="28"/>
        </w:rPr>
      </w:pPr>
      <w:r w:rsidRPr="00595DB7">
        <w:rPr>
          <w:sz w:val="28"/>
          <w:szCs w:val="28"/>
        </w:rPr>
        <w:t>Второй модуль может быть посвящен основам статистики. Здесь важно сосредоточиться на базовых понятиях, таких как выборки и генеральные совокупности, меры центральной тенденции (среднее, медиана, мода) и меры разброса (дисперсия, стандартное отклонение). Также следует изучить основные принципы построения статистических распределений и визуализации данных. Упражнения должны включать анализ простых наборов данных, таких как результаты подбрасывания монеты или броска кубика. Дифференциация здесь предполагает переход от расчетов к интерпретации данных и выявлению закономерностей.</w:t>
      </w:r>
    </w:p>
    <w:p w:rsidR="00382DF1" w:rsidRPr="00595DB7" w:rsidRDefault="00382DF1" w:rsidP="00595DB7">
      <w:pPr>
        <w:pStyle w:val="a4"/>
        <w:spacing w:before="0" w:beforeAutospacing="0" w:after="0" w:afterAutospacing="0"/>
        <w:ind w:firstLine="851"/>
        <w:jc w:val="both"/>
        <w:rPr>
          <w:sz w:val="28"/>
          <w:szCs w:val="28"/>
        </w:rPr>
      </w:pPr>
      <w:r w:rsidRPr="00595DB7">
        <w:rPr>
          <w:sz w:val="28"/>
          <w:szCs w:val="28"/>
        </w:rPr>
        <w:t>Пример по второму модулю:</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 xml:space="preserve">Тема: </w:t>
      </w:r>
      <w:r w:rsidRPr="00382DF1">
        <w:rPr>
          <w:rFonts w:ascii="Times New Roman" w:hAnsi="Times New Roman" w:cs="Times New Roman"/>
          <w:b/>
          <w:sz w:val="28"/>
          <w:szCs w:val="28"/>
        </w:rPr>
        <w:t>Выборочные статистики, оценка параметров распределения.</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1 (Базовый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В классе из 10 учеников были получены следующие оценки по контрольной работе: 4, 5, 3, 4, 5, 4, 3, 5, 4, 4. Найдите среднее арифметическое, моду и медиану этих данных.</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2 (Средний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супермаркете за день были зарегистрированы следующие временные интервалы между покупками (в минутах): 3, 5, 2, 4, 3, 5, 6, 2, 3, 5. Найдите дисперсию и стандартное отклонение этих данных.</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3 (Продвинутый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Рассмотрите выборку из зарплат сотрудников небольшой компании (в тысячах тенге): 45, 47, 50, 46, 49, 48, 47, 200. Найдите среднее значение, медиану и объясните, почему медиана является более устойчивой мерой центральной тенденции в данном случае.</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4 (Продвинутый уровень с визуализацией)</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таблице приведены результаты измерений температуры двигателя на заводе за 10 дней: 80, 82, 79, 81, 83, 78, 82, 81, 80, 79 градусов. Постройте гистограмму этих данных и коробчатую диаграмму. Сделайте выводы о распределении температуры и наличии выбросов.</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5 (Высокий уровень сложности)</w:t>
      </w:r>
    </w:p>
    <w:p w:rsidR="00382DF1" w:rsidRPr="00595DB7" w:rsidRDefault="00382DF1" w:rsidP="00595DB7">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На производственной линии вероятность того, что деталь отклоняется от нормы, составляет 5%. В день производится 1000 деталей. Найдите вероятное количество дефектных деталей и оцените отклонения, предполагая, что распределение количества дефектов подчиняется биномиальному закону. Рассчитайте стандартное отклонение и вероятность того, что дефектных деталей </w:t>
      </w:r>
      <w:r w:rsidRPr="00595DB7">
        <w:rPr>
          <w:rFonts w:ascii="Times New Roman" w:eastAsia="Times New Roman" w:hAnsi="Times New Roman" w:cs="Times New Roman"/>
          <w:sz w:val="28"/>
          <w:szCs w:val="28"/>
          <w:lang w:eastAsia="ru-RU"/>
        </w:rPr>
        <w:t>окажется меньше 40.</w:t>
      </w:r>
    </w:p>
    <w:p w:rsidR="00595DB7" w:rsidRPr="00595DB7" w:rsidRDefault="00595DB7" w:rsidP="00595DB7">
      <w:pPr>
        <w:pStyle w:val="a4"/>
        <w:spacing w:before="0" w:beforeAutospacing="0" w:after="0" w:afterAutospacing="0"/>
        <w:ind w:firstLine="709"/>
        <w:jc w:val="both"/>
        <w:rPr>
          <w:sz w:val="28"/>
          <w:szCs w:val="28"/>
        </w:rPr>
      </w:pPr>
      <w:r w:rsidRPr="00595DB7">
        <w:rPr>
          <w:sz w:val="28"/>
          <w:szCs w:val="28"/>
        </w:rPr>
        <w:t>Третий модуль можно посвятить теории игр. Здесь полезно начать с матричных игр, изучения стратегий (чистых и смешанных) и применения критерия минимакса. Постепенное усложнение заданий позволит студентам перейти от простых решений к анализу стратегий с учетом вероятностных факторов.</w:t>
      </w:r>
    </w:p>
    <w:p w:rsidR="00382DF1" w:rsidRPr="00595DB7" w:rsidRDefault="00382DF1" w:rsidP="00595DB7">
      <w:pPr>
        <w:pStyle w:val="a4"/>
        <w:spacing w:before="0" w:beforeAutospacing="0" w:after="0" w:afterAutospacing="0"/>
        <w:ind w:firstLine="851"/>
        <w:jc w:val="both"/>
        <w:rPr>
          <w:sz w:val="28"/>
          <w:szCs w:val="28"/>
        </w:rPr>
      </w:pPr>
      <w:r w:rsidRPr="00595DB7">
        <w:rPr>
          <w:sz w:val="28"/>
          <w:szCs w:val="28"/>
        </w:rPr>
        <w:t>Пример по третьему модулю:</w:t>
      </w:r>
    </w:p>
    <w:p w:rsidR="00382DF1" w:rsidRPr="00595DB7" w:rsidRDefault="00382DF1" w:rsidP="00595DB7">
      <w:pPr>
        <w:spacing w:after="0" w:line="240" w:lineRule="auto"/>
        <w:jc w:val="both"/>
        <w:outlineLvl w:val="2"/>
        <w:rPr>
          <w:rFonts w:ascii="Times New Roman" w:eastAsia="Times New Roman" w:hAnsi="Times New Roman" w:cs="Times New Roman"/>
          <w:b/>
          <w:bCs/>
          <w:sz w:val="28"/>
          <w:szCs w:val="28"/>
          <w:lang w:eastAsia="ru-RU"/>
        </w:rPr>
      </w:pPr>
      <w:r w:rsidRPr="00595DB7">
        <w:rPr>
          <w:rFonts w:ascii="Times New Roman" w:eastAsia="Times New Roman" w:hAnsi="Times New Roman" w:cs="Times New Roman"/>
          <w:b/>
          <w:bCs/>
          <w:sz w:val="28"/>
          <w:szCs w:val="28"/>
          <w:lang w:eastAsia="ru-RU"/>
        </w:rPr>
        <w:t>Тема: Равновесие Нэша</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1 (Базовый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Рассмотрим игру с двумя игроками. Выплаты заданы следующей матрицей:</w:t>
      </w:r>
    </w:p>
    <w:p w:rsidR="00382DF1" w:rsidRPr="00382DF1" w:rsidRDefault="00382DF1" w:rsidP="00382DF1">
      <w:pPr>
        <w:spacing w:after="0" w:line="240" w:lineRule="auto"/>
        <w:jc w:val="center"/>
        <w:rPr>
          <w:rFonts w:ascii="Times New Roman" w:eastAsia="Times New Roman" w:hAnsi="Times New Roman" w:cs="Times New Roman"/>
          <w:sz w:val="28"/>
          <w:szCs w:val="28"/>
          <w:lang w:eastAsia="ru-RU"/>
        </w:rPr>
      </w:pPr>
      <w:r w:rsidRPr="00382DF1">
        <w:rPr>
          <w:rFonts w:ascii="Times New Roman" w:eastAsia="Times New Roman" w:hAnsi="Times New Roman" w:cs="Times New Roman"/>
          <w:noProof/>
          <w:sz w:val="28"/>
          <w:szCs w:val="28"/>
          <w:lang w:eastAsia="ru-RU"/>
        </w:rPr>
        <w:drawing>
          <wp:inline distT="0" distB="0" distL="0" distR="0" wp14:anchorId="3BDF8002" wp14:editId="083EAF56">
            <wp:extent cx="694690" cy="556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690" cy="556260"/>
                    </a:xfrm>
                    <a:prstGeom prst="rect">
                      <a:avLst/>
                    </a:prstGeom>
                    <a:noFill/>
                    <a:ln>
                      <a:noFill/>
                    </a:ln>
                  </pic:spPr>
                </pic:pic>
              </a:graphicData>
            </a:graphic>
          </wp:inline>
        </w:drawing>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Игрок 1 выбирает строки, игрок 2 — столбцы. Найдите оптимальную стратегию для каждого игрока, если они используют только чистые стратегии.</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2 (Средний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Рассмотрим ту же игру с матрицей выплат:</w:t>
      </w:r>
    </w:p>
    <w:p w:rsidR="00382DF1" w:rsidRPr="00382DF1" w:rsidRDefault="00382DF1" w:rsidP="00382DF1">
      <w:pPr>
        <w:spacing w:after="0" w:line="240" w:lineRule="auto"/>
        <w:jc w:val="center"/>
        <w:rPr>
          <w:rFonts w:ascii="Times New Roman" w:eastAsia="Times New Roman" w:hAnsi="Times New Roman" w:cs="Times New Roman"/>
          <w:sz w:val="28"/>
          <w:szCs w:val="28"/>
          <w:lang w:eastAsia="ru-RU"/>
        </w:rPr>
      </w:pPr>
      <w:r w:rsidRPr="00382DF1">
        <w:rPr>
          <w:rFonts w:ascii="Times New Roman" w:eastAsia="Times New Roman" w:hAnsi="Times New Roman" w:cs="Times New Roman"/>
          <w:noProof/>
          <w:sz w:val="28"/>
          <w:szCs w:val="28"/>
          <w:lang w:eastAsia="ru-RU"/>
        </w:rPr>
        <w:drawing>
          <wp:inline distT="0" distB="0" distL="0" distR="0" wp14:anchorId="67D92B37" wp14:editId="115BC6EF">
            <wp:extent cx="716915" cy="504825"/>
            <wp:effectExtent l="0" t="0" r="698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15" cy="504825"/>
                    </a:xfrm>
                    <a:prstGeom prst="rect">
                      <a:avLst/>
                    </a:prstGeom>
                    <a:noFill/>
                    <a:ln>
                      <a:noFill/>
                    </a:ln>
                  </pic:spPr>
                </pic:pic>
              </a:graphicData>
            </a:graphic>
          </wp:inline>
        </w:drawing>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Определите оптимальные смешанные стратегии для каждого игрока и найдите цену игры.</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3 (Продвинутый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В игре с двумя игроками задана следующая матрица выплат:</w:t>
      </w:r>
    </w:p>
    <w:p w:rsidR="00382DF1" w:rsidRPr="00382DF1" w:rsidRDefault="00382DF1" w:rsidP="00382DF1">
      <w:pPr>
        <w:spacing w:after="0" w:line="240" w:lineRule="auto"/>
        <w:jc w:val="center"/>
        <w:rPr>
          <w:rFonts w:ascii="Times New Roman" w:eastAsia="Times New Roman" w:hAnsi="Times New Roman" w:cs="Times New Roman"/>
          <w:sz w:val="28"/>
          <w:szCs w:val="28"/>
          <w:lang w:eastAsia="ru-RU"/>
        </w:rPr>
      </w:pPr>
      <w:r w:rsidRPr="00382DF1">
        <w:rPr>
          <w:rFonts w:ascii="Times New Roman" w:eastAsia="Times New Roman" w:hAnsi="Times New Roman" w:cs="Times New Roman"/>
          <w:noProof/>
          <w:sz w:val="28"/>
          <w:szCs w:val="28"/>
          <w:lang w:eastAsia="ru-RU"/>
        </w:rPr>
        <w:drawing>
          <wp:inline distT="0" distB="0" distL="0" distR="0" wp14:anchorId="08EB6C29" wp14:editId="4AA11040">
            <wp:extent cx="922020" cy="5264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020" cy="526415"/>
                    </a:xfrm>
                    <a:prstGeom prst="rect">
                      <a:avLst/>
                    </a:prstGeom>
                    <a:noFill/>
                    <a:ln>
                      <a:noFill/>
                    </a:ln>
                  </pic:spPr>
                </pic:pic>
              </a:graphicData>
            </a:graphic>
          </wp:inline>
        </w:drawing>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Найдите равновесие Нэша и цену игры. Объясните, почему это равновесие устойчиво.</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4 (Продвинутый уровень с анализом)</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Рассмотрим игру с двумя компаниями, которые конкурируют за рынок. Если обе компании одновременно увеличивают цены, каждая получает прибыль 4 млн рублей. Если только одна увеличивает цены, она теряет 1 млн рублей, а другая получает 6 млн. Если обе сохраняют текущие цены, каждая получает 3 млн рублей. Постройте матрицу выплат и найдите равновесие Нэша.</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5 (Высокий уровень сложности)</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Рассмотрим многошаговую игру между двумя странами, которые принимают решение о заключении торгового соглашения. На первом шаге каждая страна выбирает, сотрудничать или нет. На втором шаге они могут изменить свои решения в зависимости от поведения другой страны. В игре выигрыши следующие:</w:t>
      </w:r>
    </w:p>
    <w:p w:rsidR="00382DF1" w:rsidRPr="00382DF1" w:rsidRDefault="00382DF1" w:rsidP="00382DF1">
      <w:pPr>
        <w:numPr>
          <w:ilvl w:val="0"/>
          <w:numId w:val="16"/>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Обе сотрудничают: +10 для обеих</w:t>
      </w:r>
    </w:p>
    <w:p w:rsidR="00382DF1" w:rsidRPr="00382DF1" w:rsidRDefault="00382DF1" w:rsidP="00382DF1">
      <w:pPr>
        <w:numPr>
          <w:ilvl w:val="0"/>
          <w:numId w:val="16"/>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Одна нарушает соглашение, другая сотрудничает: +15 для нарушителя, -5 для другой</w:t>
      </w:r>
    </w:p>
    <w:p w:rsidR="00382DF1" w:rsidRPr="00382DF1" w:rsidRDefault="00382DF1" w:rsidP="00382DF1">
      <w:pPr>
        <w:numPr>
          <w:ilvl w:val="0"/>
          <w:numId w:val="16"/>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Обе не сотрудничают: 0 для обеих</w:t>
      </w:r>
    </w:p>
    <w:p w:rsidR="00382DF1" w:rsidRPr="00595DB7" w:rsidRDefault="00382DF1" w:rsidP="00595DB7">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Проанализируйте стабильность решений, найдите равновесие Нэша и </w:t>
      </w:r>
      <w:r w:rsidRPr="00595DB7">
        <w:rPr>
          <w:rFonts w:ascii="Times New Roman" w:eastAsia="Times New Roman" w:hAnsi="Times New Roman" w:cs="Times New Roman"/>
          <w:sz w:val="28"/>
          <w:szCs w:val="28"/>
          <w:lang w:eastAsia="ru-RU"/>
        </w:rPr>
        <w:t>оптимальные стратегии, если игра повторяется два раза.</w:t>
      </w:r>
    </w:p>
    <w:p w:rsidR="00595DB7" w:rsidRPr="00595DB7" w:rsidRDefault="00595DB7" w:rsidP="00595DB7">
      <w:pPr>
        <w:pStyle w:val="a4"/>
        <w:spacing w:before="0" w:beforeAutospacing="0" w:after="0" w:afterAutospacing="0"/>
        <w:ind w:firstLine="709"/>
        <w:jc w:val="both"/>
        <w:rPr>
          <w:sz w:val="28"/>
          <w:szCs w:val="28"/>
        </w:rPr>
      </w:pPr>
      <w:r w:rsidRPr="00595DB7">
        <w:rPr>
          <w:sz w:val="28"/>
          <w:szCs w:val="28"/>
        </w:rPr>
        <w:t>Четвертый модуль стоит сосредоточить на практических задачах, связанных с применением стохастики и теории игр в реальных ситуациях. Здесь важно учитывать многокритериальный анализ и моделирование стратегий. Например, можно предложить кейсы, связанные с оценкой рисков, оптимизацией бизнес-процессов или прогнозированием вероятностных сценариев.</w:t>
      </w:r>
    </w:p>
    <w:p w:rsidR="00382DF1" w:rsidRPr="00595DB7" w:rsidRDefault="00382DF1" w:rsidP="00595DB7">
      <w:pPr>
        <w:pStyle w:val="a4"/>
        <w:spacing w:before="0" w:beforeAutospacing="0" w:after="0" w:afterAutospacing="0"/>
        <w:ind w:firstLine="851"/>
        <w:jc w:val="both"/>
        <w:rPr>
          <w:sz w:val="28"/>
          <w:szCs w:val="28"/>
        </w:rPr>
      </w:pPr>
      <w:r w:rsidRPr="00595DB7">
        <w:rPr>
          <w:sz w:val="28"/>
          <w:szCs w:val="28"/>
        </w:rPr>
        <w:t>Пример по четвертому модулю:</w:t>
      </w:r>
    </w:p>
    <w:p w:rsidR="00382DF1" w:rsidRPr="00595DB7" w:rsidRDefault="00382DF1" w:rsidP="00595DB7">
      <w:pPr>
        <w:spacing w:after="0" w:line="240" w:lineRule="auto"/>
        <w:jc w:val="both"/>
        <w:outlineLvl w:val="2"/>
        <w:rPr>
          <w:rFonts w:ascii="Times New Roman" w:eastAsia="Times New Roman" w:hAnsi="Times New Roman" w:cs="Times New Roman"/>
          <w:b/>
          <w:bCs/>
          <w:sz w:val="28"/>
          <w:szCs w:val="28"/>
          <w:lang w:eastAsia="ru-RU"/>
        </w:rPr>
      </w:pPr>
      <w:r w:rsidRPr="00595DB7">
        <w:rPr>
          <w:rFonts w:ascii="Times New Roman" w:eastAsia="Times New Roman" w:hAnsi="Times New Roman" w:cs="Times New Roman"/>
          <w:b/>
          <w:bCs/>
          <w:sz w:val="28"/>
          <w:szCs w:val="28"/>
          <w:lang w:eastAsia="ru-RU"/>
        </w:rPr>
        <w:t xml:space="preserve">Тема: </w:t>
      </w:r>
      <w:r w:rsidRPr="00595DB7">
        <w:rPr>
          <w:rFonts w:ascii="Times New Roman" w:hAnsi="Times New Roman" w:cs="Times New Roman"/>
          <w:b/>
          <w:sz w:val="28"/>
          <w:szCs w:val="28"/>
        </w:rPr>
        <w:t>Стохастические модели в финансах и управлении рисками.</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1 (Базовый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Компания планирует вложить средства в один из двух проектов: А или B. Вероятность успеха проекта A составляет 70%, а проекта B — 50%. При успехе проект A принесет прибыль 5 млн рублей, а проект B — 8 млн рублей. Какой проект рациональнее выбрать, если компания ориентируется на максимизацию ожидаемой прибыли?</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2 (Средний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Компания планирует стратегию выхода на новый рынок. Если она установит низкие цены, вероятность успешного захвата рынка составит 80%, а при высоких ценах — только 50%. При этом низкие цены приведут к прибыли в 3 млн рублей, а высокие — к 5 млн рублей. Найдите оптимальную стратегию с учетом возможных действий конкурентов, которые могут также установить низкие или высокие цены с аналогичными вероятностями.</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lastRenderedPageBreak/>
        <w:t>Задача 3 (Продвинутый уровень)</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Финансовый аналитик оценивает вероятность успешной реализации стартапа. У компании есть два варианта: инвестировать сразу (вероятность успеха 40%) или провести предварительное исследование рынка (вероятность успеха исследования — 70%, после которого вероятность успеха стартапа возрастает до 60%). Стоимость исследования составляет 1 млн рублей, а ожидаемая прибыль от стартапа — 10 млн рублей. Выберите оптимальную стратегию и обоснуйте ее.</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4 (Продвинутый уровень с многошаговым анализом)</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Компания участвует в тендере на поставку продукции. Процесс состоит из трех этапов: подача заявки, корректировка предложения и финальное согласование. Вероятности прохождения каждого этапа составляют 0.9, 0.8 и 0.7 соответственно. Рассчитайте вероятность успешного завершения тендера и предложите оптимальную стратегию для увеличения шансов на победу.</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Задача 5 (Высокий уровень сложности)</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Рассмотрите сеть складов и пунктов доставки компании. Вероятности задержек поставок между узлами сети описываются следующей матрицей переходов:</w:t>
      </w:r>
    </w:p>
    <w:p w:rsidR="00382DF1" w:rsidRPr="00382DF1" w:rsidRDefault="00382DF1" w:rsidP="00382DF1">
      <w:pPr>
        <w:spacing w:after="0" w:line="240" w:lineRule="auto"/>
        <w:jc w:val="center"/>
        <w:rPr>
          <w:rFonts w:ascii="Times New Roman" w:eastAsia="Times New Roman" w:hAnsi="Times New Roman" w:cs="Times New Roman"/>
          <w:sz w:val="28"/>
          <w:szCs w:val="28"/>
          <w:lang w:eastAsia="ru-RU"/>
        </w:rPr>
      </w:pPr>
      <w:r w:rsidRPr="00382DF1">
        <w:rPr>
          <w:rFonts w:ascii="Times New Roman" w:eastAsia="Times New Roman" w:hAnsi="Times New Roman" w:cs="Times New Roman"/>
          <w:noProof/>
          <w:sz w:val="28"/>
          <w:szCs w:val="28"/>
          <w:lang w:eastAsia="ru-RU"/>
        </w:rPr>
        <w:drawing>
          <wp:inline distT="0" distB="0" distL="0" distR="0" wp14:anchorId="1FF9394C" wp14:editId="3717EE7A">
            <wp:extent cx="1382395" cy="73152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2395" cy="731520"/>
                    </a:xfrm>
                    <a:prstGeom prst="rect">
                      <a:avLst/>
                    </a:prstGeom>
                    <a:noFill/>
                    <a:ln>
                      <a:noFill/>
                    </a:ln>
                  </pic:spPr>
                </pic:pic>
              </a:graphicData>
            </a:graphic>
          </wp:inline>
        </w:drawing>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Где каждый элемент матрицы представляет вероятность перехода из одного узла в другой. Найдите стационарное распределение этой цепи Маркова и оцените вероятность стабильной доставки груза.</w:t>
      </w:r>
    </w:p>
    <w:p w:rsidR="00382DF1" w:rsidRPr="0032392C" w:rsidRDefault="00382DF1" w:rsidP="0032392C">
      <w:pPr>
        <w:pStyle w:val="a4"/>
        <w:spacing w:before="0" w:beforeAutospacing="0" w:after="0" w:afterAutospacing="0"/>
        <w:ind w:firstLine="851"/>
        <w:jc w:val="both"/>
        <w:rPr>
          <w:sz w:val="28"/>
          <w:szCs w:val="28"/>
        </w:rPr>
      </w:pPr>
      <w:r w:rsidRPr="00382DF1">
        <w:rPr>
          <w:sz w:val="28"/>
          <w:szCs w:val="28"/>
        </w:rPr>
        <w:t xml:space="preserve">Кроме модульного подхода, важно учесть принцип постепенного усложнения задач. Структурируя упражнения, стоит начинать с базовых, направленных на освоение фундаментальных понятий. Например, для начального уровня подойдут задачи на расчет элементарных вероятностей или анализ игр с фиксированным числом стратегий. Затем можно переходить к задачам средней сложности, которые требуют более глубокого анализа и комбинирования нескольких подходов, например, вычисление условных вероятностей или поиск равновесия в смешанных стратегиях. Для продвинутого уровня полезно включить комплексные задачи, включающие моделирование и многокритериальный анализ, такие как построение стохастических моделей для оценки рисков или разработка стратегий в многопользовательских играх с </w:t>
      </w:r>
      <w:r w:rsidRPr="0032392C">
        <w:rPr>
          <w:sz w:val="28"/>
          <w:szCs w:val="28"/>
        </w:rPr>
        <w:t>учетом динамики взаимодействия участников.</w:t>
      </w:r>
    </w:p>
    <w:p w:rsidR="0032392C" w:rsidRPr="0032392C" w:rsidRDefault="0032392C" w:rsidP="0032392C">
      <w:pPr>
        <w:pStyle w:val="a4"/>
        <w:spacing w:before="0" w:beforeAutospacing="0" w:after="0" w:afterAutospacing="0"/>
        <w:ind w:firstLine="709"/>
        <w:jc w:val="both"/>
        <w:rPr>
          <w:sz w:val="28"/>
          <w:szCs w:val="28"/>
        </w:rPr>
      </w:pPr>
      <w:r w:rsidRPr="0032392C">
        <w:rPr>
          <w:sz w:val="28"/>
          <w:szCs w:val="28"/>
        </w:rPr>
        <w:t>Таким образом, структурирование упражнений по модульному принципу с постепенным увеличением сложности, использование Таксономии Блума и подходов к дифференциации позволяют создать четкую и понятную траекторию обучения. Это способствует глубокому усвоению материала и его успешному применению в реальных задачах.</w:t>
      </w:r>
    </w:p>
    <w:p w:rsidR="00382DF1" w:rsidRPr="00382DF1" w:rsidRDefault="00382DF1" w:rsidP="0032392C">
      <w:pPr>
        <w:pStyle w:val="a4"/>
        <w:spacing w:before="0" w:beforeAutospacing="0" w:after="0" w:afterAutospacing="0"/>
        <w:ind w:firstLine="851"/>
        <w:jc w:val="both"/>
        <w:rPr>
          <w:sz w:val="28"/>
          <w:szCs w:val="28"/>
        </w:rPr>
      </w:pPr>
      <w:r w:rsidRPr="0032392C">
        <w:rPr>
          <w:sz w:val="28"/>
          <w:szCs w:val="28"/>
        </w:rPr>
        <w:t>Методика подачи материала по стохастике и теории игр должна быть организована так, чтобы процесс обучения стал максимально увлекательным,</w:t>
      </w:r>
      <w:r w:rsidRPr="00382DF1">
        <w:rPr>
          <w:sz w:val="28"/>
          <w:szCs w:val="28"/>
        </w:rPr>
        <w:t xml:space="preserve"> практичным и понятным для студентов. Для этого необходимо учитывать три ключевых аспекта: интерактивность, практическую направленность и </w:t>
      </w:r>
      <w:r w:rsidRPr="00382DF1">
        <w:rPr>
          <w:sz w:val="28"/>
          <w:szCs w:val="28"/>
        </w:rPr>
        <w:lastRenderedPageBreak/>
        <w:t>использование комбинированных форматов. Рассмотрим каждый из них подробно.</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Интерактивность является важнейшим элементом современной методики обучения, так как она вовлекает студентов в активное освоение материала и повышает мотивацию к изучению сложных тем. Одним из эффективных инструментов интерактивности является геймификация, которая позволяет представить сложные концепции через игровые элементы. Например, в процессе изучения теории игр можно организовать ролевую игру, где студенты будут выступать в качестве участников экономического рынка, решающих задачи оптимизации прибыли или поиска кооперативных стратегий. Еще одной формой интерактивности может быть использование симуляций, которые дают возможность моделировать вероятностные процессы или игровые сценарии в режиме реального времени. Например, можно использовать компьютерные программы для симуляции случайных процессов, таких как моделирование бросков монеты или кубика, а также для анализа многократных испытаний. В теории игр интерактивные приложения помогут визуализировать поведение игроков и показать влияние выбора стратегии на конечный результат.</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Практическая направленность упражнений имеет первостепенное значение, так как она помогает студентам увидеть связь теоретических знаний с реальной жизнью. Упражнения должны быть основаны на сценариях, которые отражают реальные проблемы и задачи. Например, при изучении вероятностей можно предложить студентам оценить риск при инвестировании в различные финансовые активы или рассчитать вероятность наступления определенных событий в процессе проектного управления. В теории игр полезно включать задачи, связанные с анализом стратегий в экономике: моделирование переговоров между двумя компаниями, выбор оптимального тарифа в условиях конкуренции или анализ поведения потребителей. Эти примеры позволяют студентам не только понимать математические принципы, но и видеть их практическую пользу.</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Использование комбинированных форматов подачи материала делает процесс обучения более разнообразным и эффективным. Традиционные текстовые задачи остаются важным компонентом, так как они развивают навыки аналитического мышления и математических расчетов. Однако их следует дополнять другими форматами. Например, визуализация данных в виде графиков, диаграмм и таблиц может помочь студентам лучше понять распределение вероятностей или динамику изменений в ходе игры. Визуальные материалы особенно полезны для представления многомерных данных, например, для анализа смешанных стратегий в теории игр или вероятностных распределений в стохастике. Также необходимо активно использовать программные среды и специализированные пакеты (например, Matplotlib для визуализации или Pyomo для моделирования оптимизационных задач). Это позволит студентам научиться работать с реальными инструментами анализа данных и моделирования, которые востребованы в профессиональной деятельности.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В сочетании эти три аспекта создают мощный методический комплекс, который делает обучение не только более интересным, но и более полезным. Интерактивные элементы вовлекают студентов и позволяют им активно участвовать в процессе. Практическая направленность помогает увидеть, как знания применяются в реальных условиях. Использование комбинированных форматов обогащает процесс обучения и развивает навыки работы с различными инструментами. Такой подход позволяет не просто изучать стохастику и теорию игр, но и эффективно применять их на практике, что особенно важно для подготовки современных специалистов.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Структура упражнений по стохастике и теории игр должна быть четко выстроена и последовательна для эффективного достижения образовательных целей. Каждое упражнение должно проходить определенные этапы, которые способствуют глубокому усвоению материала и развитию профессиональных компетенций студентов.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1. Постановка задачи и введение в контекст</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 этом этапе преподаватель знакомит студентов с задачей и объясняет цель упражнения. Важно донести, какие профессиональные навыки будут развиваться и какие концепции стохастики или теории игр будут применяться. Для повышения интереса можно предложить реальную профессиональную ситуацию или бизнес-кейс, который потребует анализа и принятия решений. Например, задача может быть связана с оптимизацией производства при нестабильных поставках или разработкой маркетинговой стратегии в условиях конкурентной среды.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2. Определение условий задачи и стохастических факторов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После постановки задачи преподаватель предоставляет начальные данные и вводит случайные параметры. Эти параметры могут изменяться на протяжении выполнения задания. Важно продемонстрировать студентам, как неопределенность влияет на процесс принятия решений. Примеры случайных факторов включают изменение рыночного спроса, задержки поставок, изменение предпочтений клиентов и другие переменные, характерные для реальной профессиональной деятельности.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3. Работа над решением задачи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 данном этапе студенты приступают к выполнению упражнения. Работа может быть организована как индивидуально, так и в группах. Важно создать условия для активного обсуждения возможных стратегий и обмена идеями. Если задание предполагает игровое взаимодействие, участники должны принимать решения, анализируя поведение других участников. Преподаватель выступает в роли консультанта, направляя студентов и помогая анализировать промежуточные результаты.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4. Моделирование сценариев и динамическое развитие задачи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Чтобы усилить элемент стохастичности и повысить интерес студентов, преподаватель может изменять условия задачи в процессе ее выполнения. Например, внезапное изменение рыночных условий может потребовать корректировки стратегий. Это учит студентов оперативно реагировать на изменения и адаптироваться к новым условиям.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lastRenderedPageBreak/>
        <w:t>5. Анализ и рефлексия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По завершении упражнения студенты проводят анализ своих решений. Преподаватель инициирует обсуждение результатов: какие стратегии оказались успешными, какие допущены ошибки, как можно было улучшить процесс принятия решений. Это этап является ключевым для осознания студентами своих действий и формирования выводов для будущей профессиональной деятельности. Важно поощрять студентов к самостоятельному анализу и выработке рекомендаций.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6. Закрепление и формулировка выводов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 последнем этапе преподаватель подводит итоги упражнения и формулирует основные выводы. Студенты делятся своими инсайтами и рассматривают, как полученные знания могут быть применены в реальной профессиональной деятельности. Заключительный акцент делается на профессиональную направленность и развитие навыков, необходимых для эффективного выполнения профессиональных задач.</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Эта структура обеспечивает системное и последовательное развитие компетенций у студентов, позволяя им не только освоить теоретические аспекты стохастики и теории игр, но и сформировать навыки практического применения этих знаний в профессиональной деятельности.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Вот еще один пример комплекса заданий:</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Комплекс практических заданий для усиления профессиональной направленности.</w:t>
      </w:r>
    </w:p>
    <w:p w:rsidR="00382DF1" w:rsidRPr="00382DF1" w:rsidRDefault="00382DF1" w:rsidP="00382DF1">
      <w:pPr>
        <w:spacing w:after="0" w:line="240" w:lineRule="auto"/>
        <w:jc w:val="both"/>
        <w:outlineLvl w:val="2"/>
        <w:rPr>
          <w:rFonts w:ascii="Times New Roman" w:hAnsi="Times New Roman" w:cs="Times New Roman"/>
          <w:b/>
          <w:sz w:val="28"/>
          <w:szCs w:val="28"/>
        </w:rPr>
      </w:pPr>
      <w:r w:rsidRPr="00382DF1">
        <w:rPr>
          <w:rFonts w:ascii="Times New Roman" w:eastAsia="Times New Roman" w:hAnsi="Times New Roman" w:cs="Times New Roman"/>
          <w:b/>
          <w:bCs/>
          <w:sz w:val="28"/>
          <w:szCs w:val="28"/>
          <w:lang w:eastAsia="ru-RU"/>
        </w:rPr>
        <w:t xml:space="preserve">Тема: </w:t>
      </w:r>
      <w:r w:rsidRPr="00382DF1">
        <w:rPr>
          <w:rFonts w:ascii="Times New Roman" w:hAnsi="Times New Roman" w:cs="Times New Roman"/>
          <w:b/>
          <w:sz w:val="28"/>
          <w:szCs w:val="28"/>
        </w:rPr>
        <w:t>Комбинаторика: перестановки, размещения, сочетания.</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Цель данного комплекса заданий – научить студентов применять комбинаторные методы в различных научных и практических областях. Упражнения охватывают основные принципы комбинаторики (перестановки, размещения, сочетания) и демонстрируют их значимость в реальном мире, включая лингвистику, биологию, физику, информатику и экономику.</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Задания ориентированы на развитие логического мышления, умения формализовать задачу, применять соответствующие формулы и анализировать полученные результаты.</w:t>
      </w:r>
    </w:p>
    <w:p w:rsidR="00382DF1" w:rsidRPr="00382DF1" w:rsidRDefault="00382DF1" w:rsidP="00382DF1">
      <w:pPr>
        <w:spacing w:after="0" w:line="240" w:lineRule="auto"/>
        <w:jc w:val="both"/>
        <w:outlineLvl w:val="3"/>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Ожидаемые результаты</w:t>
      </w:r>
    </w:p>
    <w:p w:rsidR="00382DF1" w:rsidRPr="00382DF1" w:rsidRDefault="00382DF1" w:rsidP="00382DF1">
      <w:pPr>
        <w:numPr>
          <w:ilvl w:val="0"/>
          <w:numId w:val="20"/>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Формирование фундаментальных знаний по комбинаторике</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Студенты освоят базовые операции (перестановки, размещения, сочетания) и научатся различать их в задачах.</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Закрепят понимание различий между этими операциями и научатся правильно выбирать подходящий метод решения.</w:t>
      </w:r>
    </w:p>
    <w:p w:rsidR="00382DF1" w:rsidRPr="00382DF1" w:rsidRDefault="00382DF1" w:rsidP="00382DF1">
      <w:pPr>
        <w:numPr>
          <w:ilvl w:val="0"/>
          <w:numId w:val="20"/>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Развитие межпредметных связей</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Осознание роли комбинаторики в других науках:</w:t>
      </w:r>
    </w:p>
    <w:p w:rsidR="00382DF1" w:rsidRPr="00382DF1" w:rsidRDefault="00382DF1" w:rsidP="00382DF1">
      <w:pPr>
        <w:numPr>
          <w:ilvl w:val="2"/>
          <w:numId w:val="20"/>
        </w:numPr>
        <w:tabs>
          <w:tab w:val="left" w:pos="851"/>
          <w:tab w:val="left" w:pos="1134"/>
        </w:tabs>
        <w:spacing w:after="0" w:line="240" w:lineRule="auto"/>
        <w:ind w:left="127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лингвистике – анализ формирования слов и алфавитов.</w:t>
      </w:r>
    </w:p>
    <w:p w:rsidR="00382DF1" w:rsidRPr="00382DF1" w:rsidRDefault="00382DF1" w:rsidP="00382DF1">
      <w:pPr>
        <w:numPr>
          <w:ilvl w:val="2"/>
          <w:numId w:val="20"/>
        </w:numPr>
        <w:tabs>
          <w:tab w:val="left" w:pos="851"/>
          <w:tab w:val="left" w:pos="1134"/>
        </w:tabs>
        <w:spacing w:after="0" w:line="240" w:lineRule="auto"/>
        <w:ind w:left="127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биоинформатике – исследование последовательностей ДНК.</w:t>
      </w:r>
    </w:p>
    <w:p w:rsidR="00382DF1" w:rsidRPr="00382DF1" w:rsidRDefault="00382DF1" w:rsidP="00382DF1">
      <w:pPr>
        <w:numPr>
          <w:ilvl w:val="2"/>
          <w:numId w:val="20"/>
        </w:numPr>
        <w:tabs>
          <w:tab w:val="left" w:pos="851"/>
          <w:tab w:val="left" w:pos="1134"/>
        </w:tabs>
        <w:spacing w:after="0" w:line="240" w:lineRule="auto"/>
        <w:ind w:left="127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физике – моделирование молекулярных состояний.</w:t>
      </w:r>
    </w:p>
    <w:p w:rsidR="00382DF1" w:rsidRPr="00382DF1" w:rsidRDefault="00382DF1" w:rsidP="00382DF1">
      <w:pPr>
        <w:numPr>
          <w:ilvl w:val="2"/>
          <w:numId w:val="20"/>
        </w:numPr>
        <w:tabs>
          <w:tab w:val="left" w:pos="851"/>
          <w:tab w:val="left" w:pos="1134"/>
        </w:tabs>
        <w:spacing w:after="0" w:line="240" w:lineRule="auto"/>
        <w:ind w:left="127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экономике – оптимизация инвестиционных решений.</w:t>
      </w:r>
    </w:p>
    <w:p w:rsidR="00382DF1" w:rsidRPr="00382DF1" w:rsidRDefault="00382DF1" w:rsidP="00382DF1">
      <w:pPr>
        <w:numPr>
          <w:ilvl w:val="2"/>
          <w:numId w:val="20"/>
        </w:numPr>
        <w:tabs>
          <w:tab w:val="left" w:pos="851"/>
          <w:tab w:val="left" w:pos="1134"/>
        </w:tabs>
        <w:spacing w:after="0" w:line="240" w:lineRule="auto"/>
        <w:ind w:left="127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информатике – применение в криптографии и машинном обучении.</w:t>
      </w:r>
    </w:p>
    <w:p w:rsidR="00382DF1" w:rsidRPr="00382DF1" w:rsidRDefault="00382DF1" w:rsidP="00382DF1">
      <w:pPr>
        <w:numPr>
          <w:ilvl w:val="0"/>
          <w:numId w:val="20"/>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Применение математического аппарата на практике</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Умение использовать факториалы, биномиальные коэффициенты и комбинаторные формулы для решения реальных задач.</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Навык работы с большими числами и их интерпретация в контексте задачи.</w:t>
      </w:r>
    </w:p>
    <w:p w:rsidR="00382DF1" w:rsidRPr="00382DF1" w:rsidRDefault="00382DF1" w:rsidP="00382DF1">
      <w:pPr>
        <w:numPr>
          <w:ilvl w:val="0"/>
          <w:numId w:val="20"/>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Развитие аналитического и критического мышления</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продвинутых задачах требуется не просто вычисление, а анализ условий, ограничений и альтернативных решений.</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Решение задач высокого уровня сложности развивает стратегическое мышление.</w:t>
      </w:r>
    </w:p>
    <w:p w:rsidR="00382DF1" w:rsidRPr="00382DF1" w:rsidRDefault="00382DF1" w:rsidP="00382DF1">
      <w:pPr>
        <w:numPr>
          <w:ilvl w:val="0"/>
          <w:numId w:val="20"/>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Подготовка к исследовательской деятельности и реальным задачам</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Освоение методов комбинаторного анализа, необходимых в программировании, статистике, математическом моделировании.</w:t>
      </w:r>
    </w:p>
    <w:p w:rsidR="00382DF1" w:rsidRPr="00382DF1" w:rsidRDefault="00382DF1" w:rsidP="00382DF1">
      <w:pPr>
        <w:numPr>
          <w:ilvl w:val="1"/>
          <w:numId w:val="20"/>
        </w:numPr>
        <w:tabs>
          <w:tab w:val="clear" w:pos="1440"/>
        </w:tabs>
        <w:spacing w:after="0" w:line="240" w:lineRule="auto"/>
        <w:ind w:left="426"/>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Знакомство с алгоритмическим подходом к решению задач в прикладных науках.</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Задание 1. Работа с текстом и тестовые вопросы</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История комбинаторики</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Комбинаторика как область математики имеет древние корни, уходящие в античность. Первые комбинаторные идеи встречаются в трудах древнекитайских, индийских, греческих и арабских математиков.</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Одним из самых ранних известных комбинаторных объектов был </w:t>
      </w:r>
      <w:r w:rsidRPr="00382DF1">
        <w:rPr>
          <w:rFonts w:ascii="Times New Roman" w:eastAsia="Times New Roman" w:hAnsi="Times New Roman" w:cs="Times New Roman"/>
          <w:b/>
          <w:bCs/>
          <w:sz w:val="28"/>
          <w:szCs w:val="28"/>
          <w:lang w:eastAsia="ru-RU"/>
        </w:rPr>
        <w:t>"квадрат Ло-Шу"</w:t>
      </w:r>
      <w:r w:rsidRPr="00382DF1">
        <w:rPr>
          <w:rFonts w:ascii="Times New Roman" w:eastAsia="Times New Roman" w:hAnsi="Times New Roman" w:cs="Times New Roman"/>
          <w:sz w:val="28"/>
          <w:szCs w:val="28"/>
          <w:lang w:eastAsia="ru-RU"/>
        </w:rPr>
        <w:t>, древнекитайская магическая квадратная таблица, использовавшаяся еще в III тысячелетии до н. э. В ней каждая строка, столбец и диагональ давала одно и то же число.</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В Древней Индии примерно в IV веке математик Пингала разработал правила для построения </w:t>
      </w:r>
      <w:r w:rsidRPr="00382DF1">
        <w:rPr>
          <w:rFonts w:ascii="Times New Roman" w:eastAsia="Times New Roman" w:hAnsi="Times New Roman" w:cs="Times New Roman"/>
          <w:b/>
          <w:bCs/>
          <w:sz w:val="28"/>
          <w:szCs w:val="28"/>
          <w:lang w:eastAsia="ru-RU"/>
        </w:rPr>
        <w:t>биномиальных коэффициентов</w:t>
      </w:r>
      <w:r w:rsidRPr="00382DF1">
        <w:rPr>
          <w:rFonts w:ascii="Times New Roman" w:eastAsia="Times New Roman" w:hAnsi="Times New Roman" w:cs="Times New Roman"/>
          <w:sz w:val="28"/>
          <w:szCs w:val="28"/>
          <w:lang w:eastAsia="ru-RU"/>
        </w:rPr>
        <w:t>, известных сегодня по треугольнику Паскаля. Эти идеи помогали индийским ученым в анализе стихотворных размеров.</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В Европе комбинаторика начала активно развиваться в Средние века. Один из важнейших вкладов сделал итальянский математик </w:t>
      </w:r>
      <w:r w:rsidRPr="00382DF1">
        <w:rPr>
          <w:rFonts w:ascii="Times New Roman" w:eastAsia="Times New Roman" w:hAnsi="Times New Roman" w:cs="Times New Roman"/>
          <w:b/>
          <w:bCs/>
          <w:sz w:val="28"/>
          <w:szCs w:val="28"/>
          <w:lang w:eastAsia="ru-RU"/>
        </w:rPr>
        <w:t>Лука Пачоли</w:t>
      </w:r>
      <w:r w:rsidRPr="00382DF1">
        <w:rPr>
          <w:rFonts w:ascii="Times New Roman" w:eastAsia="Times New Roman" w:hAnsi="Times New Roman" w:cs="Times New Roman"/>
          <w:sz w:val="28"/>
          <w:szCs w:val="28"/>
          <w:lang w:eastAsia="ru-RU"/>
        </w:rPr>
        <w:t xml:space="preserve"> (1445–1517), который описал некоторые принципы перестановок и сочетаний. Однако подлинный расцвет комбинаторики начался в XVII веке благодаря работам </w:t>
      </w:r>
      <w:r w:rsidRPr="00382DF1">
        <w:rPr>
          <w:rFonts w:ascii="Times New Roman" w:eastAsia="Times New Roman" w:hAnsi="Times New Roman" w:cs="Times New Roman"/>
          <w:b/>
          <w:bCs/>
          <w:sz w:val="28"/>
          <w:szCs w:val="28"/>
          <w:lang w:eastAsia="ru-RU"/>
        </w:rPr>
        <w:t>Блеза Паскаля</w:t>
      </w:r>
      <w:r w:rsidRPr="00382DF1">
        <w:rPr>
          <w:rFonts w:ascii="Times New Roman" w:eastAsia="Times New Roman" w:hAnsi="Times New Roman" w:cs="Times New Roman"/>
          <w:sz w:val="28"/>
          <w:szCs w:val="28"/>
          <w:lang w:eastAsia="ru-RU"/>
        </w:rPr>
        <w:t xml:space="preserve"> и </w:t>
      </w:r>
      <w:r w:rsidRPr="00382DF1">
        <w:rPr>
          <w:rFonts w:ascii="Times New Roman" w:eastAsia="Times New Roman" w:hAnsi="Times New Roman" w:cs="Times New Roman"/>
          <w:b/>
          <w:bCs/>
          <w:sz w:val="28"/>
          <w:szCs w:val="28"/>
          <w:lang w:eastAsia="ru-RU"/>
        </w:rPr>
        <w:t>Пьера Ферма</w:t>
      </w:r>
      <w:r w:rsidRPr="00382DF1">
        <w:rPr>
          <w:rFonts w:ascii="Times New Roman" w:eastAsia="Times New Roman" w:hAnsi="Times New Roman" w:cs="Times New Roman"/>
          <w:sz w:val="28"/>
          <w:szCs w:val="28"/>
          <w:lang w:eastAsia="ru-RU"/>
        </w:rPr>
        <w:t>, которые изучали вероятностные задачи, связанные с азартными играми.</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В XVIII веке комбинаторикой занимался Леонард Эйлер, который исследовал </w:t>
      </w:r>
      <w:r w:rsidRPr="00382DF1">
        <w:rPr>
          <w:rFonts w:ascii="Times New Roman" w:eastAsia="Times New Roman" w:hAnsi="Times New Roman" w:cs="Times New Roman"/>
          <w:b/>
          <w:bCs/>
          <w:sz w:val="28"/>
          <w:szCs w:val="28"/>
          <w:lang w:eastAsia="ru-RU"/>
        </w:rPr>
        <w:t>задачу о семи мостах Кёнигсберга</w:t>
      </w:r>
      <w:r w:rsidRPr="00382DF1">
        <w:rPr>
          <w:rFonts w:ascii="Times New Roman" w:eastAsia="Times New Roman" w:hAnsi="Times New Roman" w:cs="Times New Roman"/>
          <w:sz w:val="28"/>
          <w:szCs w:val="28"/>
          <w:lang w:eastAsia="ru-RU"/>
        </w:rPr>
        <w:t>, что привело к созданию теории графов. В XIX веке развитие теории множеств и вероятностных методов помогло сделать комбинаторику более строгой.</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XX веке комбинаторика стала одной из ключевых областей математики, особенно в связи с развитием информатики, кодирования и криптографии. Сегодня она применяется в анализе алгоритмов, биоинформатике, теории игр и искусственном интеллекте.</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Тестовые вопросы по тексту</w:t>
      </w:r>
    </w:p>
    <w:p w:rsidR="00382DF1" w:rsidRPr="00382DF1" w:rsidRDefault="00382DF1" w:rsidP="00382DF1">
      <w:pPr>
        <w:numPr>
          <w:ilvl w:val="0"/>
          <w:numId w:val="17"/>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Какой древний комбинаторный объект был впервые использован в Китае?</w:t>
      </w:r>
      <w:r w:rsidRPr="00382DF1">
        <w:rPr>
          <w:rFonts w:ascii="Times New Roman" w:eastAsia="Times New Roman" w:hAnsi="Times New Roman" w:cs="Times New Roman"/>
          <w:sz w:val="28"/>
          <w:szCs w:val="28"/>
          <w:lang w:eastAsia="ru-RU"/>
        </w:rPr>
        <w:br/>
        <w:t>a) Треугольник Паскаля</w:t>
      </w:r>
      <w:r w:rsidRPr="00382DF1">
        <w:rPr>
          <w:rFonts w:ascii="Times New Roman" w:eastAsia="Times New Roman" w:hAnsi="Times New Roman" w:cs="Times New Roman"/>
          <w:sz w:val="28"/>
          <w:szCs w:val="28"/>
          <w:lang w:eastAsia="ru-RU"/>
        </w:rPr>
        <w:br/>
        <w:t>b) Магический квадрат Ло-Шу</w:t>
      </w:r>
      <w:r w:rsidRPr="00382DF1">
        <w:rPr>
          <w:rFonts w:ascii="Times New Roman" w:eastAsia="Times New Roman" w:hAnsi="Times New Roman" w:cs="Times New Roman"/>
          <w:sz w:val="28"/>
          <w:szCs w:val="28"/>
          <w:lang w:eastAsia="ru-RU"/>
        </w:rPr>
        <w:br/>
      </w:r>
      <w:r w:rsidRPr="00382DF1">
        <w:rPr>
          <w:rFonts w:ascii="Times New Roman" w:eastAsia="Times New Roman" w:hAnsi="Times New Roman" w:cs="Times New Roman"/>
          <w:sz w:val="28"/>
          <w:szCs w:val="28"/>
          <w:lang w:eastAsia="ru-RU"/>
        </w:rPr>
        <w:lastRenderedPageBreak/>
        <w:t>c) Граф Эйлера</w:t>
      </w:r>
      <w:r w:rsidRPr="00382DF1">
        <w:rPr>
          <w:rFonts w:ascii="Times New Roman" w:eastAsia="Times New Roman" w:hAnsi="Times New Roman" w:cs="Times New Roman"/>
          <w:sz w:val="28"/>
          <w:szCs w:val="28"/>
          <w:lang w:eastAsia="ru-RU"/>
        </w:rPr>
        <w:br/>
        <w:t>d) Куб Рубика</w:t>
      </w:r>
    </w:p>
    <w:p w:rsidR="00382DF1" w:rsidRPr="00382DF1" w:rsidRDefault="00382DF1" w:rsidP="00382DF1">
      <w:pPr>
        <w:numPr>
          <w:ilvl w:val="0"/>
          <w:numId w:val="17"/>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Какого известного индийского математика связывают с первыми исследованиями биномиальных коэффициентов?</w:t>
      </w:r>
      <w:r w:rsidRPr="00382DF1">
        <w:rPr>
          <w:rFonts w:ascii="Times New Roman" w:eastAsia="Times New Roman" w:hAnsi="Times New Roman" w:cs="Times New Roman"/>
          <w:sz w:val="28"/>
          <w:szCs w:val="28"/>
          <w:lang w:eastAsia="ru-RU"/>
        </w:rPr>
        <w:br/>
        <w:t>a) Пифагор</w:t>
      </w:r>
      <w:r w:rsidRPr="00382DF1">
        <w:rPr>
          <w:rFonts w:ascii="Times New Roman" w:eastAsia="Times New Roman" w:hAnsi="Times New Roman" w:cs="Times New Roman"/>
          <w:sz w:val="28"/>
          <w:szCs w:val="28"/>
          <w:lang w:eastAsia="ru-RU"/>
        </w:rPr>
        <w:br/>
        <w:t>b) Пингала</w:t>
      </w:r>
      <w:r w:rsidRPr="00382DF1">
        <w:rPr>
          <w:rFonts w:ascii="Times New Roman" w:eastAsia="Times New Roman" w:hAnsi="Times New Roman" w:cs="Times New Roman"/>
          <w:sz w:val="28"/>
          <w:szCs w:val="28"/>
          <w:lang w:eastAsia="ru-RU"/>
        </w:rPr>
        <w:br/>
        <w:t>c) Паскаль</w:t>
      </w:r>
      <w:r w:rsidRPr="00382DF1">
        <w:rPr>
          <w:rFonts w:ascii="Times New Roman" w:eastAsia="Times New Roman" w:hAnsi="Times New Roman" w:cs="Times New Roman"/>
          <w:sz w:val="28"/>
          <w:szCs w:val="28"/>
          <w:lang w:eastAsia="ru-RU"/>
        </w:rPr>
        <w:br/>
        <w:t>d) Архимед</w:t>
      </w:r>
    </w:p>
    <w:p w:rsidR="00382DF1" w:rsidRPr="00382DF1" w:rsidRDefault="00382DF1" w:rsidP="00382DF1">
      <w:pPr>
        <w:numPr>
          <w:ilvl w:val="0"/>
          <w:numId w:val="17"/>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Какой математик разработал комбинаторные методы в связи с азартными играми?</w:t>
      </w:r>
      <w:r w:rsidRPr="00382DF1">
        <w:rPr>
          <w:rFonts w:ascii="Times New Roman" w:eastAsia="Times New Roman" w:hAnsi="Times New Roman" w:cs="Times New Roman"/>
          <w:sz w:val="28"/>
          <w:szCs w:val="28"/>
          <w:lang w:eastAsia="ru-RU"/>
        </w:rPr>
        <w:br/>
        <w:t>a) Карл Гаусс</w:t>
      </w:r>
      <w:r w:rsidRPr="00382DF1">
        <w:rPr>
          <w:rFonts w:ascii="Times New Roman" w:eastAsia="Times New Roman" w:hAnsi="Times New Roman" w:cs="Times New Roman"/>
          <w:sz w:val="28"/>
          <w:szCs w:val="28"/>
          <w:lang w:eastAsia="ru-RU"/>
        </w:rPr>
        <w:br/>
        <w:t>b) Блез Паскаль</w:t>
      </w:r>
      <w:r w:rsidRPr="00382DF1">
        <w:rPr>
          <w:rFonts w:ascii="Times New Roman" w:eastAsia="Times New Roman" w:hAnsi="Times New Roman" w:cs="Times New Roman"/>
          <w:sz w:val="28"/>
          <w:szCs w:val="28"/>
          <w:lang w:eastAsia="ru-RU"/>
        </w:rPr>
        <w:br/>
        <w:t>c) Пьер Ферма</w:t>
      </w:r>
      <w:r w:rsidRPr="00382DF1">
        <w:rPr>
          <w:rFonts w:ascii="Times New Roman" w:eastAsia="Times New Roman" w:hAnsi="Times New Roman" w:cs="Times New Roman"/>
          <w:sz w:val="28"/>
          <w:szCs w:val="28"/>
          <w:lang w:eastAsia="ru-RU"/>
        </w:rPr>
        <w:br/>
        <w:t>d) Исаак Ньютон</w:t>
      </w:r>
    </w:p>
    <w:p w:rsidR="00382DF1" w:rsidRPr="00382DF1" w:rsidRDefault="00382DF1" w:rsidP="00382DF1">
      <w:pPr>
        <w:numPr>
          <w:ilvl w:val="0"/>
          <w:numId w:val="17"/>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Какой известный математик в XVIII веке исследовал задачу, которая привела к созданию теории графов?</w:t>
      </w:r>
      <w:r w:rsidRPr="00382DF1">
        <w:rPr>
          <w:rFonts w:ascii="Times New Roman" w:eastAsia="Times New Roman" w:hAnsi="Times New Roman" w:cs="Times New Roman"/>
          <w:sz w:val="28"/>
          <w:szCs w:val="28"/>
          <w:lang w:eastAsia="ru-RU"/>
        </w:rPr>
        <w:br/>
        <w:t>a) Рене Декарт</w:t>
      </w:r>
      <w:r w:rsidRPr="00382DF1">
        <w:rPr>
          <w:rFonts w:ascii="Times New Roman" w:eastAsia="Times New Roman" w:hAnsi="Times New Roman" w:cs="Times New Roman"/>
          <w:sz w:val="28"/>
          <w:szCs w:val="28"/>
          <w:lang w:eastAsia="ru-RU"/>
        </w:rPr>
        <w:br/>
        <w:t>b) Леонард Эйлер</w:t>
      </w:r>
      <w:r w:rsidRPr="00382DF1">
        <w:rPr>
          <w:rFonts w:ascii="Times New Roman" w:eastAsia="Times New Roman" w:hAnsi="Times New Roman" w:cs="Times New Roman"/>
          <w:sz w:val="28"/>
          <w:szCs w:val="28"/>
          <w:lang w:eastAsia="ru-RU"/>
        </w:rPr>
        <w:br/>
        <w:t>c) Дэвид Гильберт</w:t>
      </w:r>
      <w:r w:rsidRPr="00382DF1">
        <w:rPr>
          <w:rFonts w:ascii="Times New Roman" w:eastAsia="Times New Roman" w:hAnsi="Times New Roman" w:cs="Times New Roman"/>
          <w:sz w:val="28"/>
          <w:szCs w:val="28"/>
          <w:lang w:eastAsia="ru-RU"/>
        </w:rPr>
        <w:br/>
        <w:t>d) Жозеф Лагранж</w:t>
      </w:r>
    </w:p>
    <w:p w:rsidR="00382DF1" w:rsidRPr="00382DF1" w:rsidRDefault="00382DF1" w:rsidP="00382DF1">
      <w:pPr>
        <w:numPr>
          <w:ilvl w:val="0"/>
          <w:numId w:val="17"/>
        </w:numPr>
        <w:spacing w:after="0" w:line="240" w:lineRule="auto"/>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какой области современной науки комбинаторика играет важную роль?</w:t>
      </w:r>
      <w:r w:rsidRPr="00382DF1">
        <w:rPr>
          <w:rFonts w:ascii="Times New Roman" w:eastAsia="Times New Roman" w:hAnsi="Times New Roman" w:cs="Times New Roman"/>
          <w:sz w:val="28"/>
          <w:szCs w:val="28"/>
          <w:lang w:eastAsia="ru-RU"/>
        </w:rPr>
        <w:br/>
        <w:t>a) Лингвистика</w:t>
      </w:r>
      <w:r w:rsidRPr="00382DF1">
        <w:rPr>
          <w:rFonts w:ascii="Times New Roman" w:eastAsia="Times New Roman" w:hAnsi="Times New Roman" w:cs="Times New Roman"/>
          <w:sz w:val="28"/>
          <w:szCs w:val="28"/>
          <w:lang w:eastAsia="ru-RU"/>
        </w:rPr>
        <w:br/>
        <w:t>b) Информатика и криптография</w:t>
      </w:r>
      <w:r w:rsidRPr="00382DF1">
        <w:rPr>
          <w:rFonts w:ascii="Times New Roman" w:eastAsia="Times New Roman" w:hAnsi="Times New Roman" w:cs="Times New Roman"/>
          <w:sz w:val="28"/>
          <w:szCs w:val="28"/>
          <w:lang w:eastAsia="ru-RU"/>
        </w:rPr>
        <w:br/>
        <w:t>c) Архитектура</w:t>
      </w:r>
      <w:r w:rsidRPr="00382DF1">
        <w:rPr>
          <w:rFonts w:ascii="Times New Roman" w:eastAsia="Times New Roman" w:hAnsi="Times New Roman" w:cs="Times New Roman"/>
          <w:sz w:val="28"/>
          <w:szCs w:val="28"/>
          <w:lang w:eastAsia="ru-RU"/>
        </w:rPr>
        <w:br/>
        <w:t>d) Философия</w:t>
      </w:r>
    </w:p>
    <w:p w:rsidR="00382DF1" w:rsidRPr="00382DF1" w:rsidRDefault="00382DF1" w:rsidP="00382DF1">
      <w:pPr>
        <w:spacing w:after="0" w:line="240" w:lineRule="auto"/>
        <w:jc w:val="both"/>
        <w:outlineLvl w:val="1"/>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Задание 2. Базовые задачи (лингвистика, астрономия, химия)</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1. Лингвистика (Перестановки)</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языке племени Зулу используется 5 уникальных символов для записи коротких слов. Сколькими способами можно переставить буквы в слове из 5 различных букв?</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2. Астрономия (Размещения)</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звездной системе есть 10 планет. Астрономы хотят отправить 4 космических станции на 4 из этих планет. Каждая станция уникальна, и важно, на какую планету она отправляется. Сколькими способами можно выбрать планеты и разместить станции?</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3. Химия (Сочетания)</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Химик анализирует 8 различных химических элементов и хочет выбрать 3, чтобы создать новый катализатор. Порядок выбора не имеет значения. Сколькими способами можно выбрать элементы?</w:t>
      </w:r>
    </w:p>
    <w:p w:rsidR="00382DF1" w:rsidRPr="00382DF1" w:rsidRDefault="00382DF1" w:rsidP="00382DF1">
      <w:pPr>
        <w:spacing w:after="0" w:line="240" w:lineRule="auto"/>
        <w:jc w:val="both"/>
        <w:outlineLvl w:val="1"/>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Задание 3. Практическая задача (биоинформатика)</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генетике часто анализируют последовательности ДНК. Пусть в исследуемом фрагменте ДНК содержится 6 различных нуклеотидов (A, T, C, G, U, X). Ученый хочет создать все возможные последовательности длиной 4, используя 4 из 6 нуклеотидов, при этом порядок имеет значение.</w:t>
      </w:r>
    </w:p>
    <w:p w:rsidR="00382DF1" w:rsidRPr="00382DF1" w:rsidRDefault="00382DF1" w:rsidP="00382DF1">
      <w:pPr>
        <w:numPr>
          <w:ilvl w:val="0"/>
          <w:numId w:val="18"/>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Сколькими способами можно выбрать 4 нуклеотида?</w:t>
      </w:r>
    </w:p>
    <w:p w:rsidR="00382DF1" w:rsidRPr="00382DF1" w:rsidRDefault="00382DF1" w:rsidP="00382DF1">
      <w:pPr>
        <w:numPr>
          <w:ilvl w:val="0"/>
          <w:numId w:val="18"/>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Сколькими способами можно составить последовательности из выбранных 4 нуклеотидов?</w:t>
      </w:r>
    </w:p>
    <w:p w:rsidR="00382DF1" w:rsidRPr="00382DF1" w:rsidRDefault="00382DF1" w:rsidP="00382DF1">
      <w:pPr>
        <w:spacing w:after="0" w:line="240" w:lineRule="auto"/>
        <w:jc w:val="both"/>
        <w:outlineLvl w:val="1"/>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Задание 4. Продвинутый уровень (физика и искусственный интеллект)</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Искусственный интеллект (Комбинирование архитектур нейросетей)</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разработке нейросетевой модели нужно выбрать 3 слоя активации из 5 возможных (ReLU, Sigmoid, Tanh, Softmax, ELU). Порядок выбора важен. Сколько различных архитектур можно построить?</w:t>
      </w:r>
    </w:p>
    <w:p w:rsidR="00382DF1" w:rsidRPr="00382DF1" w:rsidRDefault="00382DF1" w:rsidP="00382DF1">
      <w:pPr>
        <w:spacing w:after="0" w:line="240" w:lineRule="auto"/>
        <w:jc w:val="both"/>
        <w:outlineLvl w:val="1"/>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Задание 5. Высокий уровень сложности (экономика и информатика)</w:t>
      </w:r>
    </w:p>
    <w:p w:rsidR="00382DF1" w:rsidRPr="00382DF1" w:rsidRDefault="00382DF1" w:rsidP="00382DF1">
      <w:pPr>
        <w:spacing w:after="0" w:line="240" w:lineRule="auto"/>
        <w:jc w:val="both"/>
        <w:outlineLvl w:val="2"/>
        <w:rPr>
          <w:rFonts w:ascii="Times New Roman" w:eastAsia="Times New Roman" w:hAnsi="Times New Roman" w:cs="Times New Roman"/>
          <w:b/>
          <w:bCs/>
          <w:sz w:val="28"/>
          <w:szCs w:val="28"/>
          <w:lang w:eastAsia="ru-RU"/>
        </w:rPr>
      </w:pPr>
      <w:r w:rsidRPr="00382DF1">
        <w:rPr>
          <w:rFonts w:ascii="Times New Roman" w:eastAsia="Times New Roman" w:hAnsi="Times New Roman" w:cs="Times New Roman"/>
          <w:b/>
          <w:bCs/>
          <w:sz w:val="28"/>
          <w:szCs w:val="28"/>
          <w:lang w:eastAsia="ru-RU"/>
        </w:rPr>
        <w:t>Экономика (Оптимизация портфеля инвестиций)</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Инвестор рассматривает 10 компаний для включения в инвестиционный портфель. Он хочет выбрать 5 из них. Однако существует ограничение: две из компаний являются конкурентами и не могут находиться в одном портфеле.</w:t>
      </w:r>
    </w:p>
    <w:p w:rsidR="00382DF1" w:rsidRPr="00382DF1" w:rsidRDefault="00382DF1" w:rsidP="00382DF1">
      <w:pPr>
        <w:numPr>
          <w:ilvl w:val="0"/>
          <w:numId w:val="19"/>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Сколько способов выбрать 5 компаний, если ограничение на конкуренцию не учитывается?</w:t>
      </w:r>
    </w:p>
    <w:p w:rsidR="00382DF1" w:rsidRPr="00382DF1" w:rsidRDefault="00382DF1" w:rsidP="00382DF1">
      <w:pPr>
        <w:numPr>
          <w:ilvl w:val="0"/>
          <w:numId w:val="19"/>
        </w:num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Сколько способов выбрать 5 компаний, если учесть запрет на включение обеих конкурирующих компаний?</w:t>
      </w:r>
    </w:p>
    <w:p w:rsidR="00382DF1" w:rsidRPr="00382DF1" w:rsidRDefault="00382DF1" w:rsidP="00382DF1">
      <w:pPr>
        <w:pStyle w:val="3"/>
        <w:spacing w:before="0"/>
        <w:ind w:firstLine="851"/>
        <w:jc w:val="both"/>
        <w:rPr>
          <w:rFonts w:ascii="Times New Roman" w:hAnsi="Times New Roman" w:cs="Times New Roman"/>
          <w:sz w:val="28"/>
          <w:szCs w:val="28"/>
        </w:rPr>
      </w:pPr>
      <w:r w:rsidRPr="00382DF1">
        <w:rPr>
          <w:rFonts w:ascii="Times New Roman" w:hAnsi="Times New Roman" w:cs="Times New Roman"/>
          <w:sz w:val="28"/>
          <w:szCs w:val="28"/>
        </w:rPr>
        <w:t>Подводя итоги, мы представляем методические требования к созданию комплекса стохастико-игровых заданий</w:t>
      </w:r>
    </w:p>
    <w:p w:rsidR="00382DF1" w:rsidRPr="00382DF1" w:rsidRDefault="00382DF1" w:rsidP="00382DF1">
      <w:pPr>
        <w:numPr>
          <w:ilvl w:val="0"/>
          <w:numId w:val="21"/>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Четкость образовательных целей.</w:t>
      </w:r>
    </w:p>
    <w:p w:rsidR="00382DF1" w:rsidRPr="00382DF1" w:rsidRDefault="00382DF1" w:rsidP="00382D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Разработка упражнений должна быть направлена на формирование у обучающихся интуитивного понимания вероятностных закономерностей, освоение стратегий теории игр и применение математических методов в реальных условиях. Четко сформулированные цели помогут студентам лучше ориентироваться в материале и осознанно применять полученные знания.</w:t>
      </w:r>
    </w:p>
    <w:p w:rsidR="00382DF1" w:rsidRPr="00382DF1" w:rsidRDefault="00382DF1" w:rsidP="00382DF1">
      <w:pPr>
        <w:numPr>
          <w:ilvl w:val="0"/>
          <w:numId w:val="21"/>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Интеграция междисциплинарных подходов.</w:t>
      </w:r>
    </w:p>
    <w:p w:rsidR="00382DF1" w:rsidRPr="00382DF1" w:rsidRDefault="00382DF1" w:rsidP="00382D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Задания должны включать примеры из различных областей науки и практики, таких как экономика, анализ данных, управление рисками, программирование и оптимизация. Это обеспечит связь теоретических знаний с их реальными приложениями, повысит мотивацию студентов и покажет значимость изучаемых дисциплин.</w:t>
      </w:r>
    </w:p>
    <w:p w:rsidR="00382DF1" w:rsidRPr="00382DF1" w:rsidRDefault="00382DF1" w:rsidP="00382DF1">
      <w:pPr>
        <w:numPr>
          <w:ilvl w:val="0"/>
          <w:numId w:val="21"/>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Адаптивность и дифференциация по уровню подготовки.</w:t>
      </w:r>
    </w:p>
    <w:p w:rsidR="00382DF1" w:rsidRPr="00382DF1" w:rsidRDefault="00382DF1" w:rsidP="00382D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Упражнения должны быть структурированы таким образом, чтобы учитывать различный уровень знаний студентов. Для начинающих важно включать базовые задачи, для продвинутых – сложные сценарии, предполагающие анализ неопределенности и разработку стратегий. Это позволит каждому учащемуся двигаться в комфортном темпе и углублять знания.</w:t>
      </w:r>
    </w:p>
    <w:p w:rsidR="00382DF1" w:rsidRPr="00382DF1" w:rsidRDefault="00382DF1" w:rsidP="00382DF1">
      <w:pPr>
        <w:numPr>
          <w:ilvl w:val="0"/>
          <w:numId w:val="21"/>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Практическая направленность и реалистичность задач.</w:t>
      </w:r>
    </w:p>
    <w:p w:rsidR="00382DF1" w:rsidRPr="00382DF1" w:rsidRDefault="00382DF1" w:rsidP="00382D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Упражнения должны моделировать реальные ситуации, связанные с неопределенностью и принятием решений. Например, это могут быть кейсы из финансового планирования, оптимизации бизнес-процессов, управления рисками, стратегического планирования и машинного обучения. Практический контекст повышает интерес студентов и способствует формированию профессиональных компетенций.</w:t>
      </w:r>
    </w:p>
    <w:p w:rsidR="00382DF1" w:rsidRPr="00382DF1" w:rsidRDefault="00382DF1" w:rsidP="00382DF1">
      <w:pPr>
        <w:numPr>
          <w:ilvl w:val="0"/>
          <w:numId w:val="21"/>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Использование стохастических элементов и игровой механики.</w:t>
      </w:r>
    </w:p>
    <w:p w:rsidR="00382DF1" w:rsidRPr="00382DF1" w:rsidRDefault="00382DF1" w:rsidP="00382D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Включение случайных параметров в задачи помогает обучающимся привыкнуть к работе в условиях неопределенности и вариативности. Игровой формат заданий (например, моделирование переговоров, стратегических взаимодействий и экономических решений) способствует активному вовлечению студентов, развивает их аналитические способности и навыки командной работы.</w:t>
      </w:r>
    </w:p>
    <w:p w:rsidR="00382DF1" w:rsidRPr="00382DF1" w:rsidRDefault="00382DF1" w:rsidP="00382DF1">
      <w:pPr>
        <w:numPr>
          <w:ilvl w:val="0"/>
          <w:numId w:val="21"/>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Рефлексия и анализ результатов.</w:t>
      </w:r>
    </w:p>
    <w:p w:rsidR="00382DF1" w:rsidRPr="00382DF1" w:rsidRDefault="00382DF1" w:rsidP="00382D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Важно предусмотреть этап обсуждения решений после выполнения упражнений. Студенты должны анализировать свои действия, обсуждать успешные стратегии и выявлять допущенные ошибки. Это формирует критическое мышление, развивает способность принимать обоснованные решения и адаптироваться к изменяющимся условиям.</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Интегрированная система стохастико-игровых упражнений является мощным инструментом для подготовки специалистов, способных решать задачи в условиях неопределенности и стратегического взаимодействия. Ее эффективность обеспечивается четко сформулированными образовательными целями, междисциплинарным подходом, адаптивностью, практической направленностью, использованием игровых механизмов и стохастических элементов. Такой подход не только помогает студентам освоить теоретические основы стохастики и теории игр, но и формирует навыки, востребованные в современной профессиональной среде, включая системное мышление, моделирование сложных процессов и принятие оптимальных решений.</w:t>
      </w:r>
    </w:p>
    <w:p w:rsidR="00382DF1" w:rsidRPr="00382DF1" w:rsidRDefault="00382DF1" w:rsidP="00382DF1">
      <w:pPr>
        <w:spacing w:after="0" w:line="240" w:lineRule="auto"/>
        <w:ind w:firstLine="851"/>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Грамотная организация упражнений, их постепенное усложнение и возможность анализа результатов делают обучение более осмысленным и эффективным, способствуя формированию компетенций, необходимых для работы в быстро меняющемся мире.</w:t>
      </w:r>
    </w:p>
    <w:p w:rsidR="00382DF1" w:rsidRPr="00382DF1" w:rsidRDefault="00382DF1" w:rsidP="00382DF1">
      <w:pPr>
        <w:spacing w:after="0" w:line="240" w:lineRule="auto"/>
        <w:ind w:firstLine="851"/>
        <w:jc w:val="both"/>
        <w:rPr>
          <w:rFonts w:ascii="Times New Roman" w:hAnsi="Times New Roman" w:cs="Times New Roman"/>
          <w:sz w:val="28"/>
          <w:szCs w:val="28"/>
        </w:rPr>
      </w:pPr>
    </w:p>
    <w:p w:rsidR="00382DF1" w:rsidRDefault="00382DF1" w:rsidP="00382DF1">
      <w:pPr>
        <w:pStyle w:val="a4"/>
        <w:spacing w:before="0" w:beforeAutospacing="0" w:after="0" w:afterAutospacing="0"/>
        <w:ind w:firstLine="709"/>
        <w:jc w:val="both"/>
        <w:rPr>
          <w:b/>
          <w:color w:val="000000" w:themeColor="text1"/>
          <w:sz w:val="28"/>
          <w:szCs w:val="28"/>
        </w:rPr>
      </w:pPr>
      <w:r w:rsidRPr="00382DF1">
        <w:rPr>
          <w:b/>
          <w:color w:val="000000" w:themeColor="text1"/>
          <w:sz w:val="28"/>
          <w:szCs w:val="28"/>
        </w:rPr>
        <w:t>2.3. Методические рекомендации по применению разработанной методологии в образовательных учреждениях.</w:t>
      </w:r>
    </w:p>
    <w:p w:rsidR="00DA0296" w:rsidRPr="00382DF1" w:rsidRDefault="00DA0296" w:rsidP="00382DF1">
      <w:pPr>
        <w:pStyle w:val="a4"/>
        <w:spacing w:before="0" w:beforeAutospacing="0" w:after="0" w:afterAutospacing="0"/>
        <w:ind w:firstLine="709"/>
        <w:jc w:val="both"/>
        <w:rPr>
          <w:b/>
          <w:color w:val="000000" w:themeColor="text1"/>
          <w:sz w:val="28"/>
          <w:szCs w:val="28"/>
        </w:rPr>
      </w:pPr>
    </w:p>
    <w:p w:rsidR="00382DF1" w:rsidRPr="00382DF1" w:rsidRDefault="00382DF1" w:rsidP="00382DF1">
      <w:pPr>
        <w:spacing w:after="0" w:line="240" w:lineRule="auto"/>
        <w:ind w:firstLine="709"/>
        <w:jc w:val="both"/>
        <w:rPr>
          <w:rFonts w:ascii="Times New Roman" w:hAnsi="Times New Roman" w:cs="Times New Roman"/>
          <w:sz w:val="28"/>
          <w:szCs w:val="28"/>
        </w:rPr>
      </w:pPr>
      <w:r w:rsidRPr="00382DF1">
        <w:rPr>
          <w:rFonts w:ascii="Times New Roman" w:hAnsi="Times New Roman" w:cs="Times New Roman"/>
          <w:sz w:val="28"/>
          <w:szCs w:val="28"/>
        </w:rPr>
        <w:t>Методология включает использование упражнений по стохастике и теории игр для формирования профессиональных компетенций студентов. Она помогает развивать аналитическое мышление, навыки принятия решений в условиях неопределенности и стратегическое мышление, которые востребованы в различных профессиональных сферах.</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Цель:</w:t>
      </w:r>
      <w:r w:rsidRPr="00382DF1">
        <w:rPr>
          <w:rFonts w:ascii="Times New Roman" w:eastAsia="Times New Roman" w:hAnsi="Times New Roman" w:cs="Times New Roman"/>
          <w:sz w:val="28"/>
          <w:szCs w:val="28"/>
          <w:lang w:eastAsia="ru-RU"/>
        </w:rPr>
        <w:t xml:space="preserve"> Формирование профессиональной направленности студентов через практическое освоение концепций стохастики и теории игр.</w:t>
      </w:r>
    </w:p>
    <w:p w:rsidR="00382DF1" w:rsidRPr="00382DF1" w:rsidRDefault="00382DF1" w:rsidP="00382DF1">
      <w:pPr>
        <w:spacing w:after="0" w:line="240" w:lineRule="auto"/>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b/>
          <w:bCs/>
          <w:sz w:val="28"/>
          <w:szCs w:val="28"/>
          <w:lang w:eastAsia="ru-RU"/>
        </w:rPr>
        <w:t>Задачи:</w:t>
      </w:r>
    </w:p>
    <w:p w:rsidR="00382DF1" w:rsidRPr="00382DF1" w:rsidRDefault="00382DF1" w:rsidP="00382DF1">
      <w:pPr>
        <w:numPr>
          <w:ilvl w:val="0"/>
          <w:numId w:val="22"/>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Освоение принципов принятия решений в условиях неопределенности.</w:t>
      </w:r>
    </w:p>
    <w:p w:rsidR="00382DF1" w:rsidRPr="00382DF1" w:rsidRDefault="00382DF1" w:rsidP="00382DF1">
      <w:pPr>
        <w:numPr>
          <w:ilvl w:val="0"/>
          <w:numId w:val="22"/>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Формирование стратегического мышления и способности прогнозировать результаты.</w:t>
      </w:r>
    </w:p>
    <w:p w:rsidR="00382DF1" w:rsidRPr="00382DF1" w:rsidRDefault="00382DF1" w:rsidP="00382DF1">
      <w:pPr>
        <w:numPr>
          <w:ilvl w:val="0"/>
          <w:numId w:val="22"/>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Развитие навыков анализа рисков и управления ресурсами.</w:t>
      </w:r>
    </w:p>
    <w:p w:rsidR="00382DF1" w:rsidRPr="00382DF1" w:rsidRDefault="00382DF1" w:rsidP="00382DF1">
      <w:pPr>
        <w:numPr>
          <w:ilvl w:val="0"/>
          <w:numId w:val="22"/>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Содействие командному взаимодействию через игровые задания.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Психологические аспекты обучения стохастике и теории игр играют важную роль в том, чтобы студенты не только усвоили материал, но и </w:t>
      </w:r>
      <w:r w:rsidRPr="00382DF1">
        <w:rPr>
          <w:sz w:val="28"/>
          <w:szCs w:val="28"/>
        </w:rPr>
        <w:lastRenderedPageBreak/>
        <w:t>сохранили интерес к изучению дисциплины. При разработке системы упражнений важно учитывать мотивацию, доступность формулировок и развитие критического мышления. Рассмотрим эти аспекты подробно.</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Мотивация является ключевым фактором в успешном обучении, и её можно поддерживать, делая упражнения увлекательными и стимулирующими. Использование игровых механик, таких как соревнования, награды или уровни сложности, помогает вовлекать студентов. Например, можно предложить студентам участвовать в турнирной игре, где каждая решённая задача позволяет продвинуться к следующему раунду. Задачи с подвохом или неожиданным решением также поддерживают интерес. В таких заданиях, например, можно использовать парадоксы вероятности (как в задаче Монти Холла), которые бросают вызов интуитивному мышлению и требуют глубокого анализа. Ещё один способ повышения мотивации – создание сценариев на основе реальных событий, например, анализ вероятности выигрыша в лотерее, разработка стратегии для успешного запуска стартапа или оценка рисков в инвестиционном проекте. Связь с реальной жизнью помогает студентам осознать, что изучаемый материал имеет практическую ценность.</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Доступность формулировок задач – это важный аспект, связанный с тем, как студенты воспринимают материал. Если задания сформулированы слишком сложно или абстрактно, это может вызывать у студентов чувство растерянности и снижать мотивацию. Поэтому важно использовать понятный и лаконичный язык, избегая излишне технических терминов, особенно на начальных этапах обучения. Например, вместо фраз "определите вероятность наступления события B при условии, что произошло событие A" можно сказать "как изменится вероятность дождя, если известно, что утром были тучи?" Кроме того, полезно снабжать задания дополнительными пояснениями или примерами, которые помогают лучше понять условия задачи. Для более сложных задач можно использовать пошаговую формулировку, где каждый этап становится логическим продолжением предыдущего. Это создаёт ощущение постепенного продвижения к решению и снижает психологическую нагрузку.</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Развитие критического мышления – ещё одна важная задача, которая должна быть учтена при составлении упражнений. Задания должны побуждать студентов к самостоятельному анализу, сравнению альтернатив и выбору оптимальных стратегий. Например, в теории игр можно предложить студентам найти выигрышную стратегию в сложной игре с несколькими участниками, оценив риски и возможные действия оппонентов. В стохастике задания могут быть направлены на анализ случайных процессов, например, прогнозирование вероятности успеха определённого проекта с учётом различных факторов. Задачи, требующие интерпретации результатов и проверки гипотез, также стимулируют критическое мышление. Например, студентам можно предложить исследовать, является ли определённое распределение данных случайным или оно связано с определённой закономерностью. Такие задания учат студентов задавать вопросы, анализировать данные и находить нестандартные решения.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lastRenderedPageBreak/>
        <w:t>Учитывая психологические аспекты, важно создать такую среду обучения, где студенты чувствуют себя вовлечёнными, понимают задачи и видят их практическую значимость. Это способствует не только успешному освоению материала, но и развитию ключевых навыков, таких как аналитическое и критическое мышление, которые необходимы для решения сложных задач в реальной жизни.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Техническая реализация системы упражнений по стохастике и теории игр требует применения современных технологий, которые делают обучение интерактивным, наглядным и доступным. Основными аспектами технической реализации являются интеграция информационно-коммуникационных технологий (ИКТ), использование мультимедийных средств и обеспечение доступности материалов на различных устройствах.</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Интеграция ИКТ позволяет автоматизировать выполнение и проверку заданий, а также развивать у студентов навыки работы с современными инструментами анализа данных и моделирования. Для этого можно использовать такие программные средства, как MATLAB, R или Python. MATLAB и R подходят для статистического анализа, визуализации распределений и работы с большими массивами данных, что особенно актуально для изучения вероятностных процессов. Python с его библиотеками (например, NumPy, SciPy, Matplotlib) обеспечивает широкие возможности для моделирования, вычислений и визуализации. В задачах теории игр и оптимизации можно применять библиотеку PuLP или специализированные среды для анализа стратегий. Кроме того, для моделирования сложных стохастических процессов и симуляций можно использовать платформы, такие как AnyLogic, которые позволяют создавать визуальные модели с возможностью настройки параметров и наблюдения за результатами в реальном времени. Например, с помощью AnyLogic можно смоделировать поведение системы массового обслуживания или изучить динамику взаимодействия участников в экономической игре.</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Мультимедийность играет ключевую роль в упрощении сложных теоретических концепций и повышении интереса к обучению. Использование анимаций, интерактивных графиков и видеоматериалов позволяет визуализировать абстрактные идеи, делая их более понятными. Например, для демонстрации закона больших чисел можно создать анимацию, показывающую, как частота выпадения орла приближается к вероятности 50% по мере увеличения числа подбрасываний монеты. Интерактивные графики, где студенты могут изменять параметры и наблюдать, как это влияет на результат, особенно полезны для изучения вероятностных распределений или равновесия Нэша. Видеоматериалы с разбором решений задач или объяснением концепций могут быть использованы в качестве дополнительного обучающего материала, который студенты могут просматривать в любое удобное время.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Обеспечение доступности является важным требованием в условиях цифрового обучения. Все материалы и инструменты должны быть совместимы с различными устройствами, включая персональные компьютеры, планшеты и мобильные телефоны. Для этого рекомендуется использовать адаптивный </w:t>
      </w:r>
      <w:r w:rsidRPr="00382DF1">
        <w:rPr>
          <w:sz w:val="28"/>
          <w:szCs w:val="28"/>
        </w:rPr>
        <w:lastRenderedPageBreak/>
        <w:t>дизайн, который автоматически подстраивается под размеры экрана устройства. Например, если задания предоставляются через онлайн-платформу, такая платформа должна быть доступна через веб-браузер, без необходимости установки сложного программного обеспечения. В идеале, она должна работать как в режиме онлайн, так и оффлайн, чтобы студенты могли продолжать обучение даже без постоянного подключения к интернету. Кроме того, важно учитывать, что не у всех студентов есть доступ к мощным компьютерам, поэтому программное обеспечение и симуляции должны быть оптимизированы для работы на устройствах с низкими характеристиками.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успешная техническая реализация учебного процесса включает использование мощных инструментов анализа данных и моделирования, мультимедийных средств для наглядного объяснения концепций и решений, а также обеспечение доступности учебных материалов на любых устройствах. Эти подходы создают комфортные условия для обучения, повышают вовлечённость студентов и помогают им развивать практические навыки, необходимые для работы с реальными задачами.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Организация системы обратной связи и её постоянное улучшение являются неотъемлемой частью эффективного обучения. Это позволяет адаптировать упражнения под нужды студентов, устранять недостатки и развивать материалы в соответствии с современными тенденциями. Основными аспектами здесь являются пилотное тестирование, адаптивность и обновление контента.</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Пилотное тестирование играет важную роль на этапе внедрения системы упражнений. Проведение тестирования на целевой аудитории (например, группе студентов с различными уровнями подготовки) помогает выявить сильные и слабые стороны заданий. В процессе тестирования участники могут заполнять анкеты, делиться своими впечатлениями или участвовать в открытых дискуссиях. Такие методы позволяют получить данные о том, какие задания кажутся наиболее полезными, какие формулировки вызывают затруднения, а также какие аспекты обучения требуют доработки. Например, студенты могут указать на излишнюю сложность определённых задач или предложить добавить больше примеров из практики. На основе этих данных можно скорректировать содержание, улучшить формулировки или предложить дополнительные материалы для пояснений.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Адаптивность системы упражнений позволяет учитывать индивидуальные особенности студентов и их уровень подготовки. Использование адаптивных технологий, таких как интеллектуальные образовательные платформы, позволяет динамически изменять уровень сложности заданий. Например, если студент успешно справляется с базовыми задачами, система может предложить ему более сложные задания, требующие глубокого анализа или моделирования. Напротив, если студент испытывает трудности, платформа может предоставить подсказки, дополнительные объяснения или вернуть его к более простым темам для повторения. Такая адаптивность способствует созданию комфортной образовательной среды, в которой каждый студент может развиваться в своём темпе. Кроме того, это </w:t>
      </w:r>
      <w:r w:rsidRPr="00382DF1">
        <w:rPr>
          <w:sz w:val="28"/>
          <w:szCs w:val="28"/>
        </w:rPr>
        <w:lastRenderedPageBreak/>
        <w:t>повышает мотивацию учащихся, так как они сталкиваются с задачами, соответствующими их текущим возможностям.</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Регулярное обновление контента необходимо для того, чтобы сохранять актуальность учебных материалов и поддерживать интерес студентов. Это особенно важно для дисциплин, таких как стохастика и теория игр, которые находят новые применения в различных областях науки и практики. Например, можно включать задачи, связанные с актуальными событиями, такими как анализ данных в контексте пандемии или исследование стратегий компаний в условиях экономических кризисов. Также важно добавлять новые типы задач, которые используют современные технологии. Например, можно внедрять задания, связанные с анализом больших данных, моделированием в программных средах или использованием методов машинного обучения для прогнозирования. Помимо этого, стоит обновлять примеры и сценарии, чтобы они соответствовали интересам целевой аудитории, включая новые кейсы из бизнеса, технологий или повседневной жизни.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обратная связь и постоянное совершенствование системы упражнений позволяют создавать более гибкое, актуальное и увлекательное образовательное пространство. Пилотное тестирование обеспечивает начальную оценку качества заданий, адаптивность делает обучение персонализированным, а регулярное обновление контента позволяет учитывать новые вызовы и возможности. Этот подход не только улучшает качество обучения, но и помогает студентам развивать навыки, необходимые для успешного решения реальных задач.</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Из вышеизложенного можно сделать вывод, что создание эффективной системы упражнений по стохастике и теории игр требует комплексного подхода, основанного на ясной структуре, технической реализации, учёте психологических аспектов и непрерывном улучшении. Рассмотрим основные аспекты, которые определяют успешность подобной системы.</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Во-первых, чёткое целеполагание и содержание упражнений формируют основу всего образовательного процесса. Для успешного освоения сложных концепций важно определить конкретные цели, такие как развитие интуиции в работе с вероятностями, освоение стратегий из теории игр и применение теоретических знаний к реальным задачам. Принцип междисциплинарности позволяет связать изучаемый материал с другими областями, такими как экономика, управление рисками и программирование, что увеличивает его практическую ценность. Уровень подготовки студентов также необходимо учитывать, создавая упражнения, которые будут понятны как начинающим, так и более продвинутым учащимся. Это помогает создать равные возможности для обучения, независимо от начального уровня знаний.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Во-вторых, правильное структурирование упражнений способствует поэтапному погружению студентов в сложные темы. Модульный принцип организации содержания позволяет охватить ключевые области, начиная с основ вероятности, через теорию игр, и заканчивая решением практических задач. Постепенное усложнение заданий, переход от базовых к многошаговым и моделированию реальных сценариев, позволяет студентам уверенно </w:t>
      </w:r>
      <w:r w:rsidRPr="00382DF1">
        <w:rPr>
          <w:sz w:val="28"/>
          <w:szCs w:val="28"/>
        </w:rPr>
        <w:lastRenderedPageBreak/>
        <w:t>продвигаться от изучения основ к более сложным темам. Такой подход поддерживает баланс между простотой и сложностью, минимизируя чувство перегруженности у студентов.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В-третьих, методика подачи материала должна быть интерактивной, практико-ориентированной и использовать разнообразные форматы. Интерактивные элементы, такие как геймификация и симуляции, позволяют студентам активно участвовать в процессе обучения, а не быть пассивными слушателями. Практическая направленность помогает учащимся увидеть ценность изучаемых дисциплин в реальных условиях, будь то анализ экономических игр, принятие решений в условиях неопределённости или управление рисками. Комбинированные форматы заданий, включающие текстовые задачи, визуализацию данных и программные среды, способствуют лучшему усвоению материала, так как они учитывают разные стили восприятия информации.</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В-четвёртых, методы контроля и оценки должны быть разнообразными, автоматизированными и ориентированными на предоставление обратной связи. Автоматизация проверки заданий через образовательные платформы позволяет оперативно оценивать знания и снизить нагрузку на преподавателей. Однако важно включать не только тестовые задания, но и открытые вопросы, требующие обоснования решений, чтобы развивать у студентов аналитическое мышление. Обратная связь должна быть детальной и конструктивной, помогая студентам понять свои ошибки и улучшить результаты.</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Психологические аспекты играют не менее важную роль в построении эффективной системы. Мотивация студентов может быть поддержана за счёт интересных задач с игровыми элементами и использованием реальных сценариев. Простота формулировок помогает избежать лишнего стресса, делая задания понятными и доступными. Развитие критического мышления через задания, требующие анализа, оценки рисков и выбора оптимальных стратегий, способствует формированию у студентов важных навыков для решения сложных задач.</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Техническая реализация должна учитывать использование современных ИКТ, мультимедийных технологий и доступность материалов на разных устройствах. Доступность системы через различные устройства и платформы обеспечивает комфортный доступ к материалам, что особенно важно в условиях дистанционного или гибридного обучения.</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Наконец, система должна быть гибкой и обновляемой. Пилотное тестирование позволяет выявлять слабые места и устранять их до широкого внедрения. Адаптивность обеспечивает персонализированный подход, позволяя каждому студенту работать в своём темпе и с заданиями соответствующей сложности. Регулярное обновление контента поддерживает актуальность материала, добавляя новые примеры, технологии и практические кейсы.</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Оценка эффективности методики формирования профессиональной направленности студентов через систему упражнений по стохастике и теории игр является важным этапом образовательного процесса. Этот процесс предполагает анализ как количественных, так и качественных показателей, </w:t>
      </w:r>
      <w:r w:rsidRPr="00382DF1">
        <w:rPr>
          <w:rFonts w:ascii="Times New Roman" w:eastAsia="Times New Roman" w:hAnsi="Times New Roman" w:cs="Times New Roman"/>
          <w:sz w:val="28"/>
          <w:szCs w:val="28"/>
          <w:lang w:eastAsia="ru-RU"/>
        </w:rPr>
        <w:lastRenderedPageBreak/>
        <w:t>которые позволяют определить степень достижения целей обучения, выявить сильные и слабые стороны методологии и сформулировать рекомендации по ее улучшению.</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Первым критерием оценки является анализ качества принимаемых студентами решений в рамках выполнения упражнений. Здесь важно учитывать не только конечный результат, но и процесс принятия решений, включая обоснование выбора стратегий, способность анализировать стохастические данные и корректировать свои действия в зависимости от меняющихся условий. Например, если студенты участвуют в симуляции рыночной игры, успешным результатом может быть не только получение максимальной прибыли, но и демонстрация устойчивости стратегии при изменении внешних факторов.</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Вторым важным критерием является динамика развития компетенций студентов. Преподавателю необходимо отслеживать, как изменяются навыки анализа данных, прогнозирования и стратегического планирования на протяжении курса. Это может осуществляться через регулярные диагностические задания и тесты, которые оценивают уровень понимания ключевых концепций стохастики и теории игр. Также можно проводить контрольные задачи в начале и конце учебного периода для сравнения результатов и выявления прогресса.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Качественный критерий оценки эффективности предполагает анализ уровня вовлеченности студентов. Высокая мотивация и активное участие в выполнении упражнений свидетельствуют о том, что методика стимулирует интерес к обучению и способствует профессиональной ориентации. Преподаватель может использовать наблюдения за поведением студентов на занятиях, а также проводить анкетирование, чтобы выяснить их мнение о содержании и форме упражнений. Если студенты проявляют инициативу, предлагают собственные варианты решений и активно обсуждают результаты, это указывает на высокий уровень вовлеченности.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Одним из ключевых инструментов оценки является рефлексия студентов. После выполнения каждого упражнения преподаватель организует обсуждение, в ходе которого студенты анализируют свои действия, делятся выводами и предлагают возможные улучшения. Эти рефлексивные сессии помогают преподавателю получить ценную информацию о том, какие аспекты методики были наиболее полезными, а какие вызвали трудности. Кроме того, рефлексия способствует осознанию студентами своего профессионального роста и укрепляет их мотивацию к дальнейшему обучению.</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Еще одним способом оценки эффективности является опрос студентов по изменению их профессиональных предпочтений и пониманию ключевых навыков. Преподаватель может проводить интервью или использовать анкеты, чтобы выяснить, как изменилось восприятие студентами профессиональной деятельности и насколько они стали увереннее в своих способностях принимать решения в условиях неопределенности. Важно обратить внимание на то, появились ли у студентов новые интересы или стремления к освоению </w:t>
      </w:r>
      <w:r w:rsidRPr="00382DF1">
        <w:rPr>
          <w:rFonts w:ascii="Times New Roman" w:eastAsia="Times New Roman" w:hAnsi="Times New Roman" w:cs="Times New Roman"/>
          <w:sz w:val="28"/>
          <w:szCs w:val="28"/>
          <w:lang w:eastAsia="ru-RU"/>
        </w:rPr>
        <w:lastRenderedPageBreak/>
        <w:t>определенных профессиональных областей, которые они ранее не рассматривали.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Наконец, оценка эффективности должна включать анализ долгосрочных результатов. Это может быть отслеживание успешности выпускников на профессиональном рынке труда или их участие в практических проектах, где навыки, полученные в рамках методологии, находят свое применение. В идеале выпускники должны демонстрировать готовность к решению сложных задач в условиях неопределенности и способность работать в команде, что является важным показателем успешности образовательного процесса.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Комплексный подход к оценке эффективности позволяет преподавателю получить полное представление о том, насколько успешно методика способствует формированию профессиональной направленности студентов. Этот анализ является основой для постоянного улучшения учебного процесса и повышения его качества.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Рекомендации для преподавателей, работающих по методике формирования профессиональной направленности студентов через систему упражнений по стохастике и теории игр, ориентированы на эффективное планирование и проведение занятий, а также на развитие ключевых навыков у студентов. Эти рекомендации помогут организовать учебный процесс так, чтобы он способствовал как глубокому усвоению учебного материала, так и подготовке к профессиональной деятельности.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Прежде всего, преподавателю следует тщательно планировать содержание упражнений. Необходимо учитывать уровень подготовки студентов и их профессиональные интересы. Для начинающих можно использовать упрощенные задачи с минимальным числом стохастических параметров, которые помогут освоить базовые концепции. На более поздних этапах обучения следует постепенно увеличивать сложность упражнений, вводя динамические сценарии и многофакторные ситуации. Такой поэтапный подход обеспечивает плавное погружение студентов в сложные концепции и способствует развитию аналитического мышления.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Важно обеспечить практическую направленность упражнений. Примеры и задачи должны быть максимально приближены к реальным профессиональным ситуациям, чтобы студенты могли увидеть ценность получаемых знаний и навыков. Преподавателю рекомендуется использовать кейсы из различных отраслей, таких как финансовый анализ, логистика, управление проектами и маркетинг. Например, задача на оптимизацию запасов может моделировать ситуацию в крупном ритейлере, а игра на выбор инвестиционной стратегии — сценарий работы финансового аналитика.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Необходимо создавать атмосферу сотрудничества и активного взаимодействия. Преподаватель должен поощрять работу в группах, где студенты смогут обсуждать свои идеи, вырабатывать стратегии и учиться находить компромиссы. Игровые упражнения особенно эффективны для развития навыков командного взаимодействия и стратегического планирования. Преподаватель может выступать в роли модератора, направляя обсуждение и помогая студентам анализировать свои действия.</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Еще одним важным критерием является адаптация упражнений в зависимости от текущей динамики группы. Преподаватель должен быть гибким и готовым корректировать сценарии заданий, если это способствует лучшему пониманию материала. Например, если студенты испытывают трудности с анализом стохастических данных, можно предложить дополнительное упражнение на расчет вероятностей и прогнозирование событий.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Один из ключевых элементов методики — рефлексия. Преподавателю следует организовывать обсуждение результатов каждого упражнения, чтобы студенты могли проанализировать свои действия, выявить успешные стратегии и понять допущенные ошибки. Это помогает не только закрепить полученные знания, но и способствует формированию у студентов привычки к самоанализу и критическому мышлению. Преподаватель может задавать вопросы, которые стимулируют рефлексию: «Что повлияло на ваш выбор стратегии?», «Какие риски вы недооценили?», «Что бы вы сделали иначе, если бы выполняли это задание снова?»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Для повышения мотивации студентов преподавателю рекомендуется использовать элементы геймификации. Введение системы баллов, рейтингов или символических наград может стимулировать студентов к активному участию и улучшению своих результатов. Важно, чтобы геймификация была не самоцелью, а инструментом для повышения вовлеченности и интереса к учебному процессу.</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Кроме того, преподавателю следует регулярно оценивать эффективность методики и собирать обратную связь от студентов. Это поможет выявить сильные и слабые стороны методологии и своевременно внести необходимые изменения. Например, если студенты отмечают сложности с пониманием стохастических элементов, можно провести дополнительный теоретический блок или предложить более простые задания на закрепление материала.</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Наконец, преподавателю важно быть открытым к новым подходам и постоянно повышать свою квалификацию. Развитие методов обучения стохастике и теории игр требует актуальных знаний и инновационного подхода. Участие в профессиональных сообществах, обмен опытом с коллегами и изучение передовых образовательных технологий помогут преподавателю сделать учебный процесс более эффективным и интересным для студентов.</w:t>
      </w:r>
    </w:p>
    <w:p w:rsidR="00382DF1" w:rsidRPr="00382DF1" w:rsidRDefault="00382DF1" w:rsidP="00382DF1">
      <w:pPr>
        <w:spacing w:after="0" w:line="240" w:lineRule="auto"/>
        <w:ind w:firstLine="709"/>
        <w:jc w:val="both"/>
        <w:rPr>
          <w:rFonts w:ascii="Times New Roman" w:hAnsi="Times New Roman" w:cs="Times New Roman"/>
          <w:sz w:val="28"/>
          <w:szCs w:val="28"/>
        </w:rPr>
      </w:pPr>
      <w:r w:rsidRPr="00382DF1">
        <w:rPr>
          <w:rFonts w:ascii="Times New Roman" w:hAnsi="Times New Roman" w:cs="Times New Roman"/>
          <w:sz w:val="28"/>
          <w:szCs w:val="28"/>
        </w:rPr>
        <w:t>Формирование профессиональной направленности студентов требует интеграции теоретического материала с практическими заданиями, которые моделируют реальные ситуации профессиональной деятельности. Использование системы упражнений по стохастике и теории игр позволяет студентам развивать стратегическое мышление, навыки принятия решений в условиях неопределенности и умение анализировать конкурентные взаимодействия. Для успешного внедрения этой методики в образовательные учреждения необходимо тщательно спланировать учебный процесс, разработать соответствующие учебные материалы и выстроить систему оценки эффективности.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lastRenderedPageBreak/>
        <w:t>Организация образовательного процесса в рамках методологии формирования профессиональной направленности студентов требует системного подхода, который включает календарно-тематическое планирование, поурочное планирование и разработку силлабуса курса. Эти элементы обеспечивают последовательное изучение теоретических основ, интеграцию практических упражнений и контроль над достижением образовательных целей.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Календарно-тематическое планирование является основой структурирования курса и распределения учебного материала по темам и временным интервалам. В рамках курса, основанного на стохастике и теории игр, необходимо выстроить логическую последовательность тем, начиная с базовых понятий вероятности, стохастических процессов и теоретико-игровых моделей, и постепенно переходить к сложным вопросам стратегического принятия решений. При планировании учебного процесса важно учитывать, что каждая тема должна включать как теоретический блок, так и практические упражнения, которые моделируют реальные профессиональные ситуации.</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Поурочное планирование позволяет детализировать содержание каждого занятия, определяя его цели, методы обучения, используемые материалы и формы оценки. В каждом занятии следует предусматривать баланс между теоретическим разбором ключевых понятий, анализом конкретных кейсов, выполнением стохастико-игровых упражнений и обсуждением результатов. Преподаватель должен заранее определить, каким образом студенты будут работать с материалом — индивидуально, в парах или в группах, какие инструменты и методы будут использоваться для оценки успешности выполнения заданий, и каким образом будет организована рефлексия. Особое внимание следует уделять включению элементов геймификации, что позволяет повысить мотивацию студентов и стимулировать их к активному участию в учебном процессе.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Силлабус курса выполняет важную роль в организации обучения и является ориентиром как для студентов, так и для преподавателей. Он представляет собой документ, который содержит описание курса, его цели, ожидаемые результаты обучения, перечень изучаемых тем, перечень учебных материалов, методы оценки и требования к выполнению практических заданий. В силлабусе необходимо четко прописать, каким образом упражнения по стохастике и теории игр связаны с формированием профессиональных компетенций студентов. Также важно указать, каким образом будет осуществляться контроль и оценка их работы, включая критерии оценки выполнения упражнений, участие в дискуссиях, групповые проекты и итоговую аттестацию.</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Эффективное применение методологии требует интеграции календарно-тематического и поурочного планирования с силлабусом курса. В начале учебного периода преподаватель должен познакомить студентов с логикой построения курса, объяснить, каким образом упражнения помогут им развить профессиональные навыки и как будет происходить их оценка. Важно подчеркнуть, что изучение стохастики и теории игр не ограничивается </w:t>
      </w:r>
      <w:r w:rsidRPr="00382DF1">
        <w:rPr>
          <w:rFonts w:ascii="Times New Roman" w:eastAsia="Times New Roman" w:hAnsi="Times New Roman" w:cs="Times New Roman"/>
          <w:sz w:val="28"/>
          <w:szCs w:val="28"/>
          <w:lang w:eastAsia="ru-RU"/>
        </w:rPr>
        <w:lastRenderedPageBreak/>
        <w:t>теоретическими понятиями, а направлено на выработку реальных навыков анализа и принятия решений в профессиональной среде.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течение учебного процесса преподавателю следует придерживаться намеченного плана, но при этом быть гибким в адаптации материалов к уровню группы. Например, если студенты испытывают трудности с пониманием основ стохастических процессов, можно выделить дополнительное время для проработки этих вопросов и предложить дополнительные упражнения на прогнозирование случайных событий. С другой стороны, если группа демонстрирует высокий уровень владения материалом, возможно ускоренное прохождение отдельных тем и более сложные игровые задания, требующие многовариантного анализа стратегий.</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процессе выполнения упражнений преподаватель должен уделять внимание не только их результативности, но и процессу обсуждения решений. Особое значение имеет рефлексия, в ходе которой студенты анализируют свои действия, выявляют успешные стратегии и обсуждают ошибки. Это позволяет закрепить навыки критического мышления и развить способность адаптироваться к изменяющимся условиям.</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Итоговая аттестация должна учитывать не только формальные результаты выполнения заданий, но и уровень участия студентов в практических занятиях, их способность анализировать ситуации и предлагать обоснованные решения. Важно, чтобы итоговая оценка отражала не только знания студентов, но и их умение применять полученные знания в реальной профессиональной среде.</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Таким образом, грамотное планирование, </w:t>
      </w:r>
      <w:proofErr w:type="gramStart"/>
      <w:r w:rsidRPr="00382DF1">
        <w:rPr>
          <w:rFonts w:ascii="Times New Roman" w:eastAsia="Times New Roman" w:hAnsi="Times New Roman" w:cs="Times New Roman"/>
          <w:sz w:val="28"/>
          <w:szCs w:val="28"/>
          <w:lang w:eastAsia="ru-RU"/>
        </w:rPr>
        <w:t>структурированный</w:t>
      </w:r>
      <w:proofErr w:type="gramEnd"/>
      <w:r w:rsidRPr="00382DF1">
        <w:rPr>
          <w:rFonts w:ascii="Times New Roman" w:eastAsia="Times New Roman" w:hAnsi="Times New Roman" w:cs="Times New Roman"/>
          <w:sz w:val="28"/>
          <w:szCs w:val="28"/>
          <w:lang w:eastAsia="ru-RU"/>
        </w:rPr>
        <w:t xml:space="preserve"> силлабус и методически выстроенные занятия позволяют создать эффективную образовательную среду, способствующую формированию профессиональной направленности студентов и развитию у них ключевых компетенций, необходимых для успешной деятельности в условиях неопределенности.</w:t>
      </w:r>
    </w:p>
    <w:p w:rsid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В таблице</w:t>
      </w:r>
      <w:r w:rsidR="00491170">
        <w:rPr>
          <w:rFonts w:ascii="Times New Roman" w:eastAsia="Times New Roman" w:hAnsi="Times New Roman" w:cs="Times New Roman"/>
          <w:sz w:val="28"/>
          <w:szCs w:val="28"/>
          <w:lang w:eastAsia="ru-RU"/>
        </w:rPr>
        <w:t xml:space="preserve"> 12</w:t>
      </w:r>
      <w:r w:rsidRPr="00382DF1">
        <w:rPr>
          <w:rFonts w:ascii="Times New Roman" w:eastAsia="Times New Roman" w:hAnsi="Times New Roman" w:cs="Times New Roman"/>
          <w:sz w:val="28"/>
          <w:szCs w:val="28"/>
          <w:lang w:eastAsia="ru-RU"/>
        </w:rPr>
        <w:t xml:space="preserve"> представлен календарный план курса Теория вероятностей и математическая статистика.</w:t>
      </w:r>
    </w:p>
    <w:p w:rsidR="00491170" w:rsidRDefault="00491170" w:rsidP="00382DF1">
      <w:pPr>
        <w:spacing w:after="0" w:line="240" w:lineRule="auto"/>
        <w:ind w:firstLine="709"/>
        <w:jc w:val="both"/>
        <w:rPr>
          <w:rFonts w:ascii="Times New Roman" w:eastAsia="Times New Roman" w:hAnsi="Times New Roman" w:cs="Times New Roman"/>
          <w:sz w:val="28"/>
          <w:szCs w:val="28"/>
          <w:lang w:eastAsia="ru-RU"/>
        </w:rPr>
      </w:pPr>
    </w:p>
    <w:p w:rsidR="00491170" w:rsidRPr="00382DF1" w:rsidRDefault="00491170" w:rsidP="00382DF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12 – К</w:t>
      </w:r>
      <w:r w:rsidRPr="00382DF1">
        <w:rPr>
          <w:rFonts w:ascii="Times New Roman" w:eastAsia="Times New Roman" w:hAnsi="Times New Roman" w:cs="Times New Roman"/>
          <w:sz w:val="28"/>
          <w:szCs w:val="28"/>
          <w:lang w:eastAsia="ru-RU"/>
        </w:rPr>
        <w:t>алендарный</w:t>
      </w:r>
      <w:r>
        <w:rPr>
          <w:rFonts w:ascii="Times New Roman" w:eastAsia="Times New Roman" w:hAnsi="Times New Roman" w:cs="Times New Roman"/>
          <w:sz w:val="28"/>
          <w:szCs w:val="28"/>
          <w:lang w:eastAsia="ru-RU"/>
        </w:rPr>
        <w:t xml:space="preserve"> </w:t>
      </w:r>
      <w:r w:rsidRPr="00382DF1">
        <w:rPr>
          <w:rFonts w:ascii="Times New Roman" w:eastAsia="Times New Roman" w:hAnsi="Times New Roman" w:cs="Times New Roman"/>
          <w:sz w:val="28"/>
          <w:szCs w:val="28"/>
          <w:lang w:eastAsia="ru-RU"/>
        </w:rPr>
        <w:t>план курса Теория вероятностей и математическая статистика</w:t>
      </w:r>
    </w:p>
    <w:tbl>
      <w:tblPr>
        <w:tblStyle w:val="a3"/>
        <w:tblW w:w="0" w:type="auto"/>
        <w:tblLayout w:type="fixed"/>
        <w:tblLook w:val="04A0" w:firstRow="1" w:lastRow="0" w:firstColumn="1" w:lastColumn="0" w:noHBand="0" w:noVBand="1"/>
      </w:tblPr>
      <w:tblGrid>
        <w:gridCol w:w="1668"/>
        <w:gridCol w:w="2126"/>
        <w:gridCol w:w="5777"/>
      </w:tblGrid>
      <w:tr w:rsidR="00382DF1" w:rsidRPr="00382DF1" w:rsidTr="00382DF1">
        <w:tc>
          <w:tcPr>
            <w:tcW w:w="1668" w:type="dxa"/>
          </w:tcPr>
          <w:p w:rsidR="00382DF1" w:rsidRPr="00382DF1" w:rsidRDefault="00382DF1" w:rsidP="00382DF1">
            <w:pPr>
              <w:jc w:val="both"/>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Неделя</w:t>
            </w:r>
          </w:p>
        </w:tc>
        <w:tc>
          <w:tcPr>
            <w:tcW w:w="2126" w:type="dxa"/>
          </w:tcPr>
          <w:p w:rsidR="00382DF1" w:rsidRPr="00382DF1" w:rsidRDefault="00382DF1" w:rsidP="00382DF1">
            <w:pPr>
              <w:jc w:val="both"/>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Лекция/практика/СРОП/СРО</w:t>
            </w:r>
          </w:p>
        </w:tc>
        <w:tc>
          <w:tcPr>
            <w:tcW w:w="5777" w:type="dxa"/>
          </w:tcPr>
          <w:p w:rsidR="00382DF1" w:rsidRPr="00382DF1" w:rsidRDefault="00382DF1" w:rsidP="00382DF1">
            <w:pPr>
              <w:jc w:val="both"/>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Тема</w:t>
            </w:r>
          </w:p>
        </w:tc>
      </w:tr>
      <w:tr w:rsidR="00382DF1" w:rsidRPr="00382DF1" w:rsidTr="00382DF1">
        <w:tc>
          <w:tcPr>
            <w:tcW w:w="9571" w:type="dxa"/>
            <w:gridSpan w:val="3"/>
          </w:tcPr>
          <w:p w:rsidR="00382DF1" w:rsidRPr="00382DF1" w:rsidRDefault="00382DF1" w:rsidP="00382DF1">
            <w:pPr>
              <w:jc w:val="both"/>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Модуль 1: Теория вероятностей</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1</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Основные понятия теории вероятностей. Аксиомы Колмогорова.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Классическое, статистическое и геометрическое определение вероятности.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Комбинаторика: перестановки, размещения, сочетания.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Решение задач на классическое определение вероятности.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Анализ простых вероятностных моделей.</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Неделя 2</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Условная вероятность. Формула Байеса. Независимость событий.</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Дискретные случайные величины. Функция распределения.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Расчет условных вероятностей. Применение формулы Байеса.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Решение задач на биномиальное и геометрическое распределение.</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Самостоятельный анализ дискретных случайных величин.</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Неделя 3</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Непрерывные случайные величины. Плотность вероятности.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Математическое ожидание, дисперсия, мода, медиана.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Расчет характеристик случайных величин.</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Распределения Гаусса, Пуассона, экспоненциальное распределение.</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Построение графиков плотности и функции распределения.</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Неделя 4</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Закон больших чисел. Центральная предельная теорема.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Применение вероятностных моделей в реальных задачах.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вероятностных распределений на основе данных.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Решение задач на применение центральной предельной теоремы.</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Подготовка к тесту по модулю 1.</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 1</w:t>
            </w:r>
          </w:p>
        </w:tc>
        <w:tc>
          <w:tcPr>
            <w:tcW w:w="5777" w:type="dxa"/>
          </w:tcPr>
          <w:p w:rsidR="00382DF1" w:rsidRPr="00382DF1" w:rsidRDefault="00382DF1" w:rsidP="00382DF1">
            <w:pPr>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Проект: </w:t>
            </w:r>
            <w:r w:rsidRPr="00382DF1">
              <w:rPr>
                <w:rStyle w:val="a5"/>
                <w:rFonts w:ascii="Times New Roman" w:hAnsi="Times New Roman" w:cs="Times New Roman"/>
                <w:b w:val="0"/>
                <w:sz w:val="28"/>
                <w:szCs w:val="28"/>
              </w:rPr>
              <w:t>"Моделирование вероятностных процессов на примере прогнозирования погоды"</w:t>
            </w:r>
            <w:r w:rsidRPr="00382DF1">
              <w:rPr>
                <w:rFonts w:ascii="Times New Roman" w:hAnsi="Times New Roman" w:cs="Times New Roman"/>
                <w:b/>
                <w:sz w:val="28"/>
                <w:szCs w:val="28"/>
              </w:rPr>
              <w:br/>
            </w:r>
            <w:r w:rsidRPr="00382DF1">
              <w:rPr>
                <w:rStyle w:val="a8"/>
                <w:rFonts w:ascii="Times New Roman" w:hAnsi="Times New Roman" w:cs="Times New Roman"/>
                <w:sz w:val="28"/>
                <w:szCs w:val="28"/>
              </w:rPr>
              <w:t>Описание:</w:t>
            </w:r>
            <w:r w:rsidRPr="00382DF1">
              <w:rPr>
                <w:rFonts w:ascii="Times New Roman" w:hAnsi="Times New Roman" w:cs="Times New Roman"/>
                <w:sz w:val="28"/>
                <w:szCs w:val="28"/>
              </w:rPr>
              <w:t xml:space="preserve"> Разработка модели на основе вероятностных распределений (например, Марковские цепи) для прогнозирования погоды на основе исторических данных.</w:t>
            </w:r>
          </w:p>
        </w:tc>
      </w:tr>
      <w:tr w:rsidR="00382DF1" w:rsidRPr="00382DF1" w:rsidTr="00382DF1">
        <w:tc>
          <w:tcPr>
            <w:tcW w:w="9571" w:type="dxa"/>
            <w:gridSpan w:val="3"/>
          </w:tcPr>
          <w:p w:rsidR="00382DF1" w:rsidRPr="00382DF1" w:rsidRDefault="00382DF1" w:rsidP="00382DF1">
            <w:pPr>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Модуль 2: Математическая статистика</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5</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Выборочные статистики, оценка параметров распределения.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Доверительные интервалы.</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Вычисление точечных оценок.</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Построение доверительных интервалов.</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выборок реальных данных.</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6</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 xml:space="preserve">Проверка статистических гипотез. Критерий </w:t>
            </w:r>
            <w:r w:rsidRPr="00382DF1">
              <w:rPr>
                <w:rFonts w:ascii="Times New Roman" w:hAnsi="Times New Roman" w:cs="Times New Roman"/>
                <w:sz w:val="28"/>
                <w:szCs w:val="28"/>
              </w:rPr>
              <w:lastRenderedPageBreak/>
              <w:t>согласия Пирсона.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Критерии Стьюдента и Фишера.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Проверка гипотез о параметрах распределения.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Применение критериев на реальных данных.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значимости различий в выборках.</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7</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Корреляционный анализ. Линейная и нелинейная регрессия.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Множественная регрессия и логистическая регрессия.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Вычисление коэффициентов корреляции.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Построение и интерпретация регрессионных моделей.</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Работа с реальными данными (корреляция и регрессия).</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 2</w:t>
            </w:r>
          </w:p>
        </w:tc>
        <w:tc>
          <w:tcPr>
            <w:tcW w:w="5777" w:type="dxa"/>
          </w:tcPr>
          <w:p w:rsidR="00382DF1" w:rsidRPr="00382DF1" w:rsidRDefault="00382DF1" w:rsidP="00382DF1">
            <w:pPr>
              <w:rPr>
                <w:rFonts w:ascii="Times New Roman" w:eastAsia="Times New Roman" w:hAnsi="Times New Roman" w:cs="Times New Roman"/>
                <w:sz w:val="28"/>
                <w:szCs w:val="28"/>
                <w:lang w:eastAsia="ru-RU"/>
              </w:rPr>
            </w:pPr>
            <w:r w:rsidRPr="00382DF1">
              <w:rPr>
                <w:rStyle w:val="a5"/>
                <w:rFonts w:ascii="Times New Roman" w:hAnsi="Times New Roman" w:cs="Times New Roman"/>
                <w:b w:val="0"/>
                <w:sz w:val="28"/>
                <w:szCs w:val="28"/>
              </w:rPr>
              <w:t>Проект: "Анализ данных: статистическая проверка гипотез на реальных данных"</w:t>
            </w:r>
            <w:r w:rsidRPr="00382DF1">
              <w:rPr>
                <w:rFonts w:ascii="Times New Roman" w:hAnsi="Times New Roman" w:cs="Times New Roman"/>
                <w:b/>
                <w:sz w:val="28"/>
                <w:szCs w:val="28"/>
              </w:rPr>
              <w:br/>
            </w:r>
            <w:r w:rsidRPr="00382DF1">
              <w:rPr>
                <w:rStyle w:val="a8"/>
                <w:rFonts w:ascii="Times New Roman" w:hAnsi="Times New Roman" w:cs="Times New Roman"/>
                <w:sz w:val="28"/>
                <w:szCs w:val="28"/>
              </w:rPr>
              <w:t>Описание:</w:t>
            </w:r>
            <w:r w:rsidRPr="00382DF1">
              <w:rPr>
                <w:rFonts w:ascii="Times New Roman" w:hAnsi="Times New Roman" w:cs="Times New Roman"/>
                <w:sz w:val="28"/>
                <w:szCs w:val="28"/>
              </w:rPr>
              <w:t xml:space="preserve"> Сбор данных (например, средние зарплаты в разных отраслях, предпочтения покупателей и т. д.), проверка статистических гипотез с использованием t-теста, ANOVA или χ²-критерия.</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8</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Основы статистического прогнозирования. Временные ряды.</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Методы сглаживания и ARIMA.</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Прогнозирование на основе временных рядов.</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сезонности и трендов.</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Итоговая работа по статистике.</w:t>
            </w:r>
          </w:p>
        </w:tc>
      </w:tr>
      <w:tr w:rsidR="00382DF1" w:rsidRPr="00382DF1" w:rsidTr="00382DF1">
        <w:tc>
          <w:tcPr>
            <w:tcW w:w="9571" w:type="dxa"/>
            <w:gridSpan w:val="3"/>
          </w:tcPr>
          <w:p w:rsidR="00382DF1" w:rsidRPr="00382DF1" w:rsidRDefault="00382DF1" w:rsidP="00382DF1">
            <w:pPr>
              <w:jc w:val="both"/>
              <w:rPr>
                <w:rFonts w:ascii="Times New Roman" w:hAnsi="Times New Roman" w:cs="Times New Roman"/>
                <w:b/>
                <w:sz w:val="28"/>
                <w:szCs w:val="28"/>
              </w:rPr>
            </w:pPr>
            <w:r w:rsidRPr="00382DF1">
              <w:rPr>
                <w:rFonts w:ascii="Times New Roman" w:hAnsi="Times New Roman" w:cs="Times New Roman"/>
                <w:b/>
                <w:sz w:val="28"/>
                <w:szCs w:val="28"/>
              </w:rPr>
              <w:t>Модуль 3: Теория игр</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9</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Основные понятия теории игр. Игры с нулевой суммой.</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Равновесие Нэша.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Решение матричных игр.</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Поиск равновесия Нэша в простых играх.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Анализ реальных игровых ситуаций.</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Неделя 10</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Смешанные стратегии. Теорема фон Неймана.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Динамические и эволюционные игры.</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Применение симплекс-метода в теории игр.</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Решение задач на эволюционные игры.</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стратегий в реальных конфликтах.</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Неделя 11</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Кооперативные игры. Понятие ядра, индекс Шепли.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Алгоритмы распределения выигрыша в кооперативных играх.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Моделирование переговорных процессов.</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Анализ коалиционных соглашений.</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Анализ стратегий в бизнесе.</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 3</w:t>
            </w:r>
          </w:p>
        </w:tc>
        <w:tc>
          <w:tcPr>
            <w:tcW w:w="5777" w:type="dxa"/>
          </w:tcPr>
          <w:p w:rsidR="00382DF1" w:rsidRPr="00382DF1" w:rsidRDefault="00382DF1" w:rsidP="00382DF1">
            <w:pPr>
              <w:rPr>
                <w:rFonts w:ascii="Times New Roman" w:eastAsia="Times New Roman" w:hAnsi="Times New Roman" w:cs="Times New Roman"/>
                <w:sz w:val="28"/>
                <w:szCs w:val="28"/>
                <w:lang w:eastAsia="ru-RU"/>
              </w:rPr>
            </w:pPr>
            <w:r w:rsidRPr="00382DF1">
              <w:rPr>
                <w:rStyle w:val="a5"/>
                <w:rFonts w:ascii="Times New Roman" w:hAnsi="Times New Roman" w:cs="Times New Roman"/>
                <w:b w:val="0"/>
                <w:sz w:val="28"/>
                <w:szCs w:val="28"/>
              </w:rPr>
              <w:t>Проект: "Оптимальные стратегии в карточных играх: применение теории игр"</w:t>
            </w:r>
            <w:r w:rsidRPr="00382DF1">
              <w:rPr>
                <w:rFonts w:ascii="Times New Roman" w:hAnsi="Times New Roman" w:cs="Times New Roman"/>
                <w:sz w:val="28"/>
                <w:szCs w:val="28"/>
              </w:rPr>
              <w:br/>
            </w:r>
            <w:r w:rsidRPr="00382DF1">
              <w:rPr>
                <w:rStyle w:val="a8"/>
                <w:rFonts w:ascii="Times New Roman" w:hAnsi="Times New Roman" w:cs="Times New Roman"/>
                <w:sz w:val="28"/>
                <w:szCs w:val="28"/>
              </w:rPr>
              <w:t>Описание:</w:t>
            </w:r>
            <w:r w:rsidRPr="00382DF1">
              <w:rPr>
                <w:rFonts w:ascii="Times New Roman" w:hAnsi="Times New Roman" w:cs="Times New Roman"/>
                <w:sz w:val="28"/>
                <w:szCs w:val="28"/>
              </w:rPr>
              <w:t xml:space="preserve"> Анализ стратегий в игре типа «покер» или «блэкджек» с точки зрения теории игр, поиск оптимальных решений и построение моделей на основе стратегий Нэша.</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12</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Применение теории игр в других науках.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Современные направления исследований в теории игр.</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стратегий в экономических моделях.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Решение кейсов на основе реальных ситуаций.</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Написание эссе/отчет по использованию теории игр.</w:t>
            </w:r>
          </w:p>
        </w:tc>
      </w:tr>
      <w:tr w:rsidR="00382DF1" w:rsidRPr="00382DF1" w:rsidTr="00382DF1">
        <w:tc>
          <w:tcPr>
            <w:tcW w:w="9571" w:type="dxa"/>
            <w:gridSpan w:val="3"/>
          </w:tcPr>
          <w:p w:rsidR="00382DF1" w:rsidRPr="00382DF1" w:rsidRDefault="00382DF1" w:rsidP="00382DF1">
            <w:pPr>
              <w:jc w:val="both"/>
              <w:rPr>
                <w:rFonts w:ascii="Times New Roman" w:hAnsi="Times New Roman" w:cs="Times New Roman"/>
                <w:b/>
                <w:sz w:val="28"/>
                <w:szCs w:val="28"/>
              </w:rPr>
            </w:pPr>
            <w:r w:rsidRPr="00382DF1">
              <w:rPr>
                <w:rFonts w:ascii="Times New Roman" w:hAnsi="Times New Roman" w:cs="Times New Roman"/>
                <w:b/>
                <w:sz w:val="28"/>
                <w:szCs w:val="28"/>
              </w:rPr>
              <w:t>Модуль 4: Реальные приложения стохастических методов и теории игр</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13</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Стохастические модели в финансах и управлении рисками.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Оптимизационные задачи с элементами случайности.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портфеля инвестиций.</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Оптимизация запасов в стохастических условиях.</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Разработка финансовой модели.</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Неделя 14</w:t>
            </w: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Марковские процессы и цепи Маркова.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Модели машинного обучения с элементами стохастики.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hAnsi="Times New Roman" w:cs="Times New Roman"/>
                <w:sz w:val="28"/>
                <w:szCs w:val="28"/>
              </w:rPr>
              <w:t>Имитационное моделирование.</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val="en-US"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val="en-US"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Анализ данных с учетом вероятностных процессов.</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Мини - проект по применению стохастики.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 4</w:t>
            </w:r>
          </w:p>
        </w:tc>
        <w:tc>
          <w:tcPr>
            <w:tcW w:w="5777" w:type="dxa"/>
          </w:tcPr>
          <w:p w:rsidR="00382DF1" w:rsidRPr="00382DF1" w:rsidRDefault="00382DF1" w:rsidP="00382DF1">
            <w:pPr>
              <w:rPr>
                <w:rFonts w:ascii="Times New Roman" w:eastAsia="Times New Roman" w:hAnsi="Times New Roman" w:cs="Times New Roman"/>
                <w:sz w:val="28"/>
                <w:szCs w:val="28"/>
                <w:lang w:eastAsia="ru-RU"/>
              </w:rPr>
            </w:pPr>
            <w:r w:rsidRPr="00382DF1">
              <w:rPr>
                <w:rStyle w:val="a5"/>
                <w:rFonts w:ascii="Times New Roman" w:hAnsi="Times New Roman" w:cs="Times New Roman"/>
                <w:b w:val="0"/>
                <w:sz w:val="28"/>
                <w:szCs w:val="28"/>
              </w:rPr>
              <w:t>Проект: "Применение стохастических методов и теории игр в трейдинге и финансовом анализе"</w:t>
            </w:r>
            <w:r w:rsidRPr="00382DF1">
              <w:rPr>
                <w:rFonts w:ascii="Times New Roman" w:hAnsi="Times New Roman" w:cs="Times New Roman"/>
                <w:sz w:val="28"/>
                <w:szCs w:val="28"/>
              </w:rPr>
              <w:br/>
            </w:r>
            <w:r w:rsidRPr="00382DF1">
              <w:rPr>
                <w:rStyle w:val="a8"/>
                <w:rFonts w:ascii="Times New Roman" w:hAnsi="Times New Roman" w:cs="Times New Roman"/>
                <w:sz w:val="28"/>
                <w:szCs w:val="28"/>
              </w:rPr>
              <w:t>Описание:</w:t>
            </w:r>
            <w:r w:rsidRPr="00382DF1">
              <w:rPr>
                <w:rFonts w:ascii="Times New Roman" w:hAnsi="Times New Roman" w:cs="Times New Roman"/>
                <w:sz w:val="28"/>
                <w:szCs w:val="28"/>
              </w:rPr>
              <w:t xml:space="preserve"> Разработка стратегии торговли на фондовом рынке, учитывающей вероятностные процессы, стохастические модели (например, модели Блэка–Шоулза) и элементы теории игр для оценки поведения конкурентов.</w:t>
            </w:r>
          </w:p>
        </w:tc>
      </w:tr>
      <w:tr w:rsidR="00382DF1" w:rsidRPr="00382DF1" w:rsidTr="00382DF1">
        <w:tc>
          <w:tcPr>
            <w:tcW w:w="1668" w:type="dxa"/>
            <w:vMerge w:val="restart"/>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Неделя 15</w:t>
            </w: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1</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Итоговое обсуждение, сложные задачи.</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Лекция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Подведение итогов курса.</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 xml:space="preserve">Практика 1 </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Итоговый тест/зачет.</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Практика 2</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Презентация проектов.</w:t>
            </w:r>
          </w:p>
        </w:tc>
      </w:tr>
      <w:tr w:rsidR="00382DF1" w:rsidRPr="00382DF1" w:rsidTr="00382DF1">
        <w:tc>
          <w:tcPr>
            <w:tcW w:w="1668" w:type="dxa"/>
            <w:vMerge/>
          </w:tcPr>
          <w:p w:rsidR="00382DF1" w:rsidRPr="00382DF1" w:rsidRDefault="00382DF1" w:rsidP="00382DF1">
            <w:pPr>
              <w:jc w:val="both"/>
              <w:rPr>
                <w:rFonts w:ascii="Times New Roman" w:eastAsia="Times New Roman" w:hAnsi="Times New Roman" w:cs="Times New Roman"/>
                <w:sz w:val="28"/>
                <w:szCs w:val="28"/>
                <w:lang w:eastAsia="ru-RU"/>
              </w:rPr>
            </w:pPr>
          </w:p>
        </w:tc>
        <w:tc>
          <w:tcPr>
            <w:tcW w:w="2126"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СРОП</w:t>
            </w:r>
          </w:p>
        </w:tc>
        <w:tc>
          <w:tcPr>
            <w:tcW w:w="5777" w:type="dxa"/>
          </w:tcPr>
          <w:p w:rsidR="00382DF1" w:rsidRPr="00382DF1" w:rsidRDefault="00382DF1" w:rsidP="00382DF1">
            <w:pPr>
              <w:jc w:val="both"/>
              <w:rPr>
                <w:rFonts w:ascii="Times New Roman" w:eastAsia="Times New Roman" w:hAnsi="Times New Roman" w:cs="Times New Roman"/>
                <w:sz w:val="28"/>
                <w:szCs w:val="28"/>
                <w:lang w:eastAsia="ru-RU"/>
              </w:rPr>
            </w:pPr>
            <w:r w:rsidRPr="00382DF1">
              <w:rPr>
                <w:rFonts w:ascii="Times New Roman" w:hAnsi="Times New Roman" w:cs="Times New Roman"/>
                <w:sz w:val="28"/>
                <w:szCs w:val="28"/>
              </w:rPr>
              <w:t>Завершение проектного задания.</w:t>
            </w:r>
          </w:p>
        </w:tc>
      </w:tr>
    </w:tbl>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Данный календарно-тематический план охватывает основные аспекты стохастики, включая теорию вероятностей, математическую статистику, теорию игр и их практическое применение. В рамках пятнадцатинедельного курса обеспечивается равномерное распределение тем с последовательным усложнением материала.</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Первая часть курса посвящена основам теории вероятностей. В первые недели студенты знакомятся с основными понятиями, такими как вероятностные пространства, аксиомы Колмогорова и различные определения вероятности. Постепенно вводятся более сложные концепции, включая условную вероятность, формулу Байеса и независимость событий. Дискретные и непрерывные случайные величины рассматриваются детально с акцентом на их характеристики, такие как математическое ожидание, дисперсия, мода и медиана. К концу первого модуля студенты изучают фундаментальные теоремы, включая закон больших чисел и центральную предельную теорему, что формирует основу для дальнейшего применения вероятностных моделей в реальных задачах.</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Второй модуль курса посвящен математической статистике. В этой части студенты изучают выборочные статистики, оценку параметров распределения и методы построения доверительных интервалов. Особое внимание уделяется проверке статистических гипотез, включая критерии Пирсона, Стьюдента и Фишера. Также рассматриваются методы корреляционного и регрессионного анализа, включая множественную и логистическую регрессию. Завершается модуль изучением прогнозирования на основе временных рядов, включая методы сглаживания и модели ARIMA. Этот модуль важен для освоения методов анализа данных, применяемых в экономике, науке и бизнесе.</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Третий модуль охватывает теорию игр и ее применение. На начальных этапах студенты изучают основные принципы игр с нулевой суммой, матричных игр и концепцию равновесия Нэша. Постепенно вводятся более сложные модели, включая смешанные стратегии, эволюционные и динамические игры. Затем рассматриваются кооперативные игры, анализируется распределение выигрыша с применением концепций ядра и индекса Шепли. Завершается модуль изучением приложений теории игр в других науках, что позволяет студентам увидеть практическое применение изучаемых методов.</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 xml:space="preserve">Четвертый модуль курса направлен на прикладные задачи и охватывает реальные приложения стохастических методов и теории игр. В этой части рассматриваются стохастические модели в финансах и управлении рисками, оптимизационные задачи с элементами случайности, а также модели машинного обучения, использующие вероятностные методы. Особое внимание уделяется марковским процессам и имитационному моделированию. Заключительная часть курса включает выполнение итоговых заданий, </w:t>
      </w:r>
      <w:r w:rsidRPr="00382DF1">
        <w:rPr>
          <w:sz w:val="28"/>
          <w:szCs w:val="28"/>
        </w:rPr>
        <w:lastRenderedPageBreak/>
        <w:t>тестирование и презентацию проектов, что позволяет студентам продемонстрировать полученные знания и навыки на практике.</w:t>
      </w:r>
    </w:p>
    <w:p w:rsidR="00382DF1" w:rsidRPr="00382DF1" w:rsidRDefault="00382DF1" w:rsidP="00382DF1">
      <w:pPr>
        <w:pStyle w:val="a4"/>
        <w:spacing w:before="0" w:beforeAutospacing="0" w:after="0" w:afterAutospacing="0"/>
        <w:ind w:firstLine="709"/>
        <w:jc w:val="both"/>
        <w:rPr>
          <w:sz w:val="28"/>
          <w:szCs w:val="28"/>
        </w:rPr>
      </w:pPr>
      <w:r w:rsidRPr="00382DF1">
        <w:rPr>
          <w:sz w:val="28"/>
          <w:szCs w:val="28"/>
        </w:rPr>
        <w:t>Такой подход к организации курса обеспечивает комплексное изучение стохастики с акцентом на теоретические основы и их практическое применение. Каждый модуль логически связан с предыдущими, создавая целостную систему знаний, необходимую для работы с вероятностными моделями в различных сферах.</w:t>
      </w:r>
    </w:p>
    <w:p w:rsidR="00382DF1" w:rsidRPr="00382DF1" w:rsidRDefault="00382DF1" w:rsidP="00382DF1">
      <w:pPr>
        <w:spacing w:after="0" w:line="240" w:lineRule="auto"/>
        <w:ind w:firstLine="709"/>
        <w:jc w:val="both"/>
        <w:rPr>
          <w:rFonts w:ascii="Times New Roman" w:eastAsia="Times New Roman" w:hAnsi="Times New Roman" w:cs="Times New Roman"/>
          <w:sz w:val="28"/>
          <w:szCs w:val="28"/>
          <w:lang w:eastAsia="ru-RU"/>
        </w:rPr>
      </w:pPr>
      <w:r w:rsidRPr="00382DF1">
        <w:rPr>
          <w:rFonts w:ascii="Times New Roman" w:eastAsia="Times New Roman" w:hAnsi="Times New Roman" w:cs="Times New Roman"/>
          <w:sz w:val="28"/>
          <w:szCs w:val="28"/>
          <w:lang w:eastAsia="ru-RU"/>
        </w:rPr>
        <w:t>Следуя этим рекомендациям, преподаватель сможет создать эффективную образовательную среду, которая способствует развитию профессиональных компетенций студентов и готовит их к успешной работе в условиях неопределенности и взаимодействия с различными участниками профессиональной деятельности.</w:t>
      </w:r>
    </w:p>
    <w:p w:rsidR="00382DF1" w:rsidRPr="00382DF1" w:rsidRDefault="00382DF1" w:rsidP="00382DF1">
      <w:pPr>
        <w:pStyle w:val="3"/>
        <w:spacing w:before="0"/>
        <w:ind w:firstLine="851"/>
        <w:jc w:val="both"/>
        <w:rPr>
          <w:rFonts w:ascii="Times New Roman" w:hAnsi="Times New Roman" w:cs="Times New Roman"/>
          <w:sz w:val="28"/>
          <w:szCs w:val="28"/>
        </w:rPr>
      </w:pPr>
      <w:r w:rsidRPr="00382DF1">
        <w:rPr>
          <w:rStyle w:val="a5"/>
          <w:rFonts w:ascii="Times New Roman" w:hAnsi="Times New Roman" w:cs="Times New Roman"/>
          <w:sz w:val="28"/>
          <w:szCs w:val="28"/>
        </w:rPr>
        <w:t>Методические рекомендации по применению разработанной методологии в образовательных учреждениях</w:t>
      </w:r>
    </w:p>
    <w:p w:rsidR="00382DF1" w:rsidRPr="00382DF1" w:rsidRDefault="00382DF1" w:rsidP="00382DF1">
      <w:pPr>
        <w:pStyle w:val="a4"/>
        <w:numPr>
          <w:ilvl w:val="0"/>
          <w:numId w:val="23"/>
        </w:numPr>
        <w:tabs>
          <w:tab w:val="clear" w:pos="720"/>
          <w:tab w:val="num" w:pos="851"/>
        </w:tabs>
        <w:spacing w:before="0" w:beforeAutospacing="0" w:after="0" w:afterAutospacing="0"/>
        <w:ind w:left="0" w:firstLine="851"/>
        <w:jc w:val="both"/>
        <w:rPr>
          <w:sz w:val="28"/>
          <w:szCs w:val="28"/>
        </w:rPr>
      </w:pPr>
      <w:r w:rsidRPr="00382DF1">
        <w:rPr>
          <w:rStyle w:val="a5"/>
          <w:sz w:val="28"/>
          <w:szCs w:val="28"/>
        </w:rPr>
        <w:t>Интерактивный подход к обучению</w:t>
      </w:r>
      <w:r w:rsidRPr="00382DF1">
        <w:rPr>
          <w:sz w:val="28"/>
          <w:szCs w:val="28"/>
        </w:rPr>
        <w:br/>
      </w:r>
      <w:r w:rsidRPr="00B90D5C">
        <w:rPr>
          <w:sz w:val="28"/>
          <w:szCs w:val="28"/>
        </w:rPr>
        <w:t>Для успешного освоения стохастических и игровых методов в обучении необходимо использовать интерактивные формы подачи материала</w:t>
      </w:r>
      <w:r w:rsidR="00B90D5C" w:rsidRPr="00B90D5C">
        <w:rPr>
          <w:rFonts w:eastAsiaTheme="minorEastAsia"/>
          <w:color w:val="000000" w:themeColor="text1"/>
          <w:kern w:val="24"/>
          <w:sz w:val="28"/>
          <w:szCs w:val="28"/>
        </w:rPr>
        <w:t xml:space="preserve"> и активные методы обучения</w:t>
      </w:r>
      <w:r w:rsidRPr="00B90D5C">
        <w:rPr>
          <w:sz w:val="28"/>
          <w:szCs w:val="28"/>
        </w:rPr>
        <w:t>. Включение симуляций, кейс-стади, ролевых игр и компьютерных моделей поможет студентам лучше понять концепции и</w:t>
      </w:r>
      <w:r w:rsidRPr="00382DF1">
        <w:rPr>
          <w:sz w:val="28"/>
          <w:szCs w:val="28"/>
        </w:rPr>
        <w:t xml:space="preserve"> повысить уровень вовлеченности. Геймификация, использование турнирных механик и командных соревнований также способствует повышению мотивации.</w:t>
      </w:r>
    </w:p>
    <w:p w:rsidR="00382DF1" w:rsidRPr="00382DF1" w:rsidRDefault="00382DF1" w:rsidP="00382DF1">
      <w:pPr>
        <w:pStyle w:val="a4"/>
        <w:numPr>
          <w:ilvl w:val="0"/>
          <w:numId w:val="23"/>
        </w:numPr>
        <w:tabs>
          <w:tab w:val="clear" w:pos="720"/>
          <w:tab w:val="num" w:pos="851"/>
        </w:tabs>
        <w:spacing w:before="0" w:beforeAutospacing="0" w:after="0" w:afterAutospacing="0"/>
        <w:ind w:left="0" w:firstLine="851"/>
        <w:jc w:val="both"/>
        <w:rPr>
          <w:sz w:val="28"/>
          <w:szCs w:val="28"/>
        </w:rPr>
      </w:pPr>
      <w:r w:rsidRPr="00382DF1">
        <w:rPr>
          <w:rStyle w:val="a5"/>
          <w:sz w:val="28"/>
          <w:szCs w:val="28"/>
        </w:rPr>
        <w:t>Практико-ориентированные задания</w:t>
      </w:r>
      <w:r w:rsidRPr="00382DF1">
        <w:rPr>
          <w:sz w:val="28"/>
          <w:szCs w:val="28"/>
        </w:rPr>
        <w:br/>
        <w:t>Важно включать упражнения, моделирующие реальные профессиональные задачи, связанные с прогнозированием рисков, анализом рыночных стратегий, управлением ресурсами и оптимизацией решений. Использование реальных данных, бизнес-кейсов и ситуационных задач позволит студентам осознать практическую ценность полученных знаний.</w:t>
      </w:r>
    </w:p>
    <w:p w:rsidR="00382DF1" w:rsidRPr="00382DF1" w:rsidRDefault="00382DF1" w:rsidP="00382DF1">
      <w:pPr>
        <w:pStyle w:val="a4"/>
        <w:numPr>
          <w:ilvl w:val="0"/>
          <w:numId w:val="23"/>
        </w:numPr>
        <w:tabs>
          <w:tab w:val="clear" w:pos="720"/>
          <w:tab w:val="num" w:pos="851"/>
        </w:tabs>
        <w:spacing w:before="0" w:beforeAutospacing="0" w:after="0" w:afterAutospacing="0"/>
        <w:ind w:left="0" w:firstLine="851"/>
        <w:jc w:val="both"/>
        <w:rPr>
          <w:sz w:val="28"/>
          <w:szCs w:val="28"/>
        </w:rPr>
      </w:pPr>
      <w:r w:rsidRPr="00382DF1">
        <w:rPr>
          <w:rStyle w:val="a5"/>
          <w:sz w:val="28"/>
          <w:szCs w:val="28"/>
        </w:rPr>
        <w:t>Адаптивность к уровню подготовки студентов</w:t>
      </w:r>
      <w:r w:rsidRPr="00382DF1">
        <w:rPr>
          <w:sz w:val="28"/>
          <w:szCs w:val="28"/>
        </w:rPr>
        <w:br/>
        <w:t>Упражнения должны учитывать разный уровень владения материалом. Для начинающих важно включать базовые задания с понятными примерами и постепенным усложнением. Для продвинутых студентов можно предлагать более сложные задачи, включая многовариантные сценарии и многокритериальный анализ решений.</w:t>
      </w:r>
    </w:p>
    <w:p w:rsidR="00382DF1" w:rsidRPr="00382DF1" w:rsidRDefault="00382DF1" w:rsidP="00382DF1">
      <w:pPr>
        <w:pStyle w:val="a4"/>
        <w:numPr>
          <w:ilvl w:val="0"/>
          <w:numId w:val="23"/>
        </w:numPr>
        <w:tabs>
          <w:tab w:val="clear" w:pos="720"/>
          <w:tab w:val="num" w:pos="851"/>
        </w:tabs>
        <w:spacing w:before="0" w:beforeAutospacing="0" w:after="0" w:afterAutospacing="0"/>
        <w:ind w:left="0" w:firstLine="851"/>
        <w:jc w:val="both"/>
        <w:rPr>
          <w:sz w:val="28"/>
          <w:szCs w:val="28"/>
        </w:rPr>
      </w:pPr>
      <w:r w:rsidRPr="00382DF1">
        <w:rPr>
          <w:rStyle w:val="a5"/>
          <w:sz w:val="28"/>
          <w:szCs w:val="28"/>
        </w:rPr>
        <w:t>Использование цифровых технологий</w:t>
      </w:r>
      <w:r w:rsidRPr="00382DF1">
        <w:rPr>
          <w:sz w:val="28"/>
          <w:szCs w:val="28"/>
        </w:rPr>
        <w:br/>
        <w:t>Внедрение программных инструментов, таких как MATLAB, Python (NumPy, SciPy, Matplotlib), R, AnyLogic и специализированные библиотеки для моделирования стохастических процессов и анализа данных, поможет автоматизировать выполнение упражнений, улучшить визуализацию и повысить точность расчетов. Доступность учебных материалов на различных устройствах (ПК, планшеты, смартфоны) обеспечит удобство обучения.</w:t>
      </w:r>
    </w:p>
    <w:p w:rsidR="00382DF1" w:rsidRPr="00382DF1" w:rsidRDefault="00382DF1" w:rsidP="00382DF1">
      <w:pPr>
        <w:pStyle w:val="a4"/>
        <w:numPr>
          <w:ilvl w:val="0"/>
          <w:numId w:val="23"/>
        </w:numPr>
        <w:tabs>
          <w:tab w:val="clear" w:pos="720"/>
          <w:tab w:val="num" w:pos="851"/>
        </w:tabs>
        <w:spacing w:before="0" w:beforeAutospacing="0" w:after="0" w:afterAutospacing="0"/>
        <w:ind w:left="0" w:firstLine="851"/>
        <w:jc w:val="both"/>
        <w:rPr>
          <w:sz w:val="28"/>
          <w:szCs w:val="28"/>
        </w:rPr>
      </w:pPr>
      <w:r w:rsidRPr="00382DF1">
        <w:rPr>
          <w:rStyle w:val="a5"/>
          <w:sz w:val="28"/>
          <w:szCs w:val="28"/>
        </w:rPr>
        <w:t>Системная обратная связь и рефлексия</w:t>
      </w:r>
      <w:r w:rsidRPr="00382DF1">
        <w:rPr>
          <w:sz w:val="28"/>
          <w:szCs w:val="28"/>
        </w:rPr>
        <w:br/>
        <w:t xml:space="preserve">Важно организовать этап обсуждения решений после выполнения упражнений. Анализ ошибок, разбор успешных стратегий, обсуждение альтернативных решений поможет студентам лучше осознавать свои сильные и слабые стороны. </w:t>
      </w:r>
      <w:r w:rsidRPr="00382DF1">
        <w:rPr>
          <w:sz w:val="28"/>
          <w:szCs w:val="28"/>
        </w:rPr>
        <w:lastRenderedPageBreak/>
        <w:t>Использование адаптивных платформ для персонализированной обратной связи также позволит гибко корректировать учебный процесс.</w:t>
      </w:r>
    </w:p>
    <w:p w:rsidR="00382DF1" w:rsidRPr="00382DF1" w:rsidRDefault="00382DF1" w:rsidP="00382DF1">
      <w:pPr>
        <w:pStyle w:val="a4"/>
        <w:numPr>
          <w:ilvl w:val="0"/>
          <w:numId w:val="23"/>
        </w:numPr>
        <w:tabs>
          <w:tab w:val="clear" w:pos="720"/>
          <w:tab w:val="num" w:pos="851"/>
        </w:tabs>
        <w:spacing w:before="0" w:beforeAutospacing="0" w:after="0" w:afterAutospacing="0"/>
        <w:ind w:left="0" w:firstLine="851"/>
        <w:jc w:val="both"/>
        <w:rPr>
          <w:sz w:val="28"/>
          <w:szCs w:val="28"/>
        </w:rPr>
      </w:pPr>
      <w:r w:rsidRPr="00382DF1">
        <w:rPr>
          <w:rStyle w:val="a5"/>
          <w:sz w:val="28"/>
          <w:szCs w:val="28"/>
        </w:rPr>
        <w:t>Постоянное обновление учебных материалов</w:t>
      </w:r>
      <w:r w:rsidRPr="00382DF1">
        <w:rPr>
          <w:sz w:val="28"/>
          <w:szCs w:val="28"/>
        </w:rPr>
        <w:br/>
        <w:t>Методология должна учитывать современные исследования и развитие дисциплины. Регулярное обновление задач, добавление актуальных кейсов (например, анализ экономических кризисов, моделирование стратегий компаний) позволит сохранить актуальность курса и его практическую ценность.</w:t>
      </w:r>
    </w:p>
    <w:p w:rsidR="00382DF1" w:rsidRPr="00382DF1" w:rsidRDefault="00382DF1" w:rsidP="00382DF1">
      <w:pPr>
        <w:spacing w:after="0" w:line="240" w:lineRule="auto"/>
        <w:ind w:firstLine="851"/>
        <w:jc w:val="both"/>
        <w:rPr>
          <w:rFonts w:ascii="Times New Roman" w:hAnsi="Times New Roman" w:cs="Times New Roman"/>
          <w:sz w:val="28"/>
          <w:szCs w:val="28"/>
        </w:rPr>
      </w:pPr>
      <w:r w:rsidRPr="00382DF1">
        <w:rPr>
          <w:rFonts w:ascii="Times New Roman" w:hAnsi="Times New Roman" w:cs="Times New Roman"/>
          <w:sz w:val="28"/>
          <w:szCs w:val="28"/>
        </w:rPr>
        <w:t>Методология, основанная на стохастико-игровых упражнениях, позволяет эффективно формировать у студентов профессиональные компетенции, такие как аналитическое мышление, способность к стратегическому принятию решений и управлению рисками. Для успешного внедрения методологии в образовательные учреждения необходимо сочетать теоретическую подготовку с практико-ориентированными задачами, активно использовать цифровые технологии и игровые механики, а также обеспечивать регулярную обратную связь. Гибкость учебных материалов и их адаптация к уровню подготовки студентов помогут создать персонализированную траекторию обучения, что повысит эффективность образовательного процесса.</w:t>
      </w:r>
    </w:p>
    <w:p w:rsidR="00382DF1" w:rsidRPr="00382DF1" w:rsidRDefault="00382DF1" w:rsidP="00382DF1">
      <w:pPr>
        <w:spacing w:after="0" w:line="240" w:lineRule="auto"/>
        <w:ind w:firstLine="851"/>
        <w:jc w:val="both"/>
        <w:rPr>
          <w:rFonts w:ascii="Times New Roman" w:hAnsi="Times New Roman" w:cs="Times New Roman"/>
          <w:sz w:val="28"/>
          <w:szCs w:val="28"/>
        </w:rPr>
      </w:pPr>
    </w:p>
    <w:p w:rsidR="00382DF1" w:rsidRPr="00382DF1" w:rsidRDefault="00382DF1" w:rsidP="00382DF1">
      <w:pPr>
        <w:spacing w:after="0" w:line="240" w:lineRule="auto"/>
        <w:ind w:firstLine="851"/>
        <w:jc w:val="both"/>
        <w:rPr>
          <w:rFonts w:ascii="Times New Roman" w:eastAsia="Times New Roman" w:hAnsi="Times New Roman" w:cs="Times New Roman"/>
          <w:b/>
          <w:sz w:val="28"/>
          <w:szCs w:val="28"/>
          <w:lang w:eastAsia="ru-RU"/>
        </w:rPr>
      </w:pPr>
      <w:r w:rsidRPr="00382DF1">
        <w:rPr>
          <w:rFonts w:ascii="Times New Roman" w:eastAsia="Times New Roman" w:hAnsi="Times New Roman" w:cs="Times New Roman"/>
          <w:b/>
          <w:sz w:val="28"/>
          <w:szCs w:val="28"/>
          <w:lang w:eastAsia="ru-RU"/>
        </w:rPr>
        <w:t>Выводы по второму разделу.</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Разработанная методология стохастико-игровых упражнений демонстрирует высокий потенциал для формирования профессиональных компетенций у студентов, особенно в области принятия решений в условиях неопределенности, стратегического анализа и прогнозирования. Данный подход позволяет не только улучшить понимание теоретических основ теории вероятностей и теории игр, но и применить их к реальным профессиональным задачам.</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Одним из ключевых преимуществ методологии является ее интерактивный характер. Использование симуляций, ролевых игр и геймификации повышает мотивацию студентов, делая процесс обучения более динамичным и вовлекающим. Важно отметить, что традиционные методы передачи знаний, основанные на лекционном формате, часто оказываются недостаточно эффективными для формирования навыков принятия решений. Включение игровых механик позволяет студентам испытать последствия своих решений в смоделированных профессиональных сценариях, что способствует развитию критического мышления и аналитических способностей.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Методология также подчеркивает важность практико-ориентированного обучения. Включение кейсов из бизнеса, управления рисками, финансового анализа и логистики позволяет студентам не только осваивать математические принципы, но и видеть их реальное применение. Такой подход формирует у студентов понимание того, как стохастические и игровые модели используются в управленческих решениях, что особенно важно для будущих специалистов в области экономики, IT, инженерии и менеджмента.</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 xml:space="preserve">Одним из ключевых вызовов внедрения данной методологии является необходимость адаптации упражнений к разному уровню подготовки </w:t>
      </w:r>
      <w:r w:rsidRPr="00382DF1">
        <w:rPr>
          <w:sz w:val="28"/>
          <w:szCs w:val="28"/>
        </w:rPr>
        <w:lastRenderedPageBreak/>
        <w:t>студентов. В образовательных учреждениях студенты приходят с разным уровнем знаний по математике, что требует гибкости в подаче материала. Методология предлагает дифференцированный подход, позволяющий учитывать индивидуальные способности учащихся, начиная с базовых задач и постепенно переходя к сложным многовариантным сценариям. Это способствует плавному развитию профессиональных компетенций без перегрузки студентов.</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Еще один важный аспект – использование цифровых технологий. Современные образовательные процессы все больше зависят от программных инструментов, таких как MATLAB, Python, R и специализированные симуляционные платформы. Методология стохастико-игровых упражнений активно интегрирует эти технологии, что не только упрощает анализ данных и расчет моделей, но и готовит студентов к использованию профессионального программного обеспечения в реальных рабочих условиях.</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Обратная связь и рефлексия являются важными компонентами системы обучения. Анализ ошибок, обсуждение решений и выявление альтернативных стратегий позволяют студентам осмысленно подходить к своей профессиональной подготовке. Это также создает условия для развития навыков командной работы и коллективного принятия решений, что является важным аспектом для многих профессий.</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Несмотря на все преимущества методологии, существуют определенные вызовы, связанные с ее внедрением. Основными трудностями являются необходимость подготовки преподавателей к использованию игровых методов, сложности объективной оценки результатов обучения, а также потребность в регулярном обновлении учебных материалов. Однако данные проблемы могут быть решены за счет профессионального развития педагогов, внедрения автоматизированных систем мониторинга и гибкости методики в адаптации к образовательным стандартам.</w:t>
      </w:r>
    </w:p>
    <w:p w:rsidR="00382DF1" w:rsidRPr="00382DF1" w:rsidRDefault="00382DF1" w:rsidP="00382DF1">
      <w:pPr>
        <w:pStyle w:val="a4"/>
        <w:spacing w:before="0" w:beforeAutospacing="0" w:after="0" w:afterAutospacing="0"/>
        <w:ind w:firstLine="851"/>
        <w:jc w:val="both"/>
        <w:rPr>
          <w:sz w:val="28"/>
          <w:szCs w:val="28"/>
        </w:rPr>
      </w:pPr>
      <w:r w:rsidRPr="00382DF1">
        <w:rPr>
          <w:sz w:val="28"/>
          <w:szCs w:val="28"/>
        </w:rPr>
        <w:t>Таким образом, методология стохастико-игровых упражнений является перспективным инструментом для формирования профессиональной направленности студентов. Ее успешное применение требует комплексного подхода, включающего сочетание теории и практики, использование цифровых инструментов, адаптацию к разному уровню подготовки студентов и постоянную систему обратной связи. Внедрение данной методики в образовательные учреждения позволит повысить качество подготовки специалистов, способных эффективно работать в условиях неопределенности и быстро адаптироваться к изменениям в профессиональной среде.</w:t>
      </w:r>
    </w:p>
    <w:p w:rsidR="00382DF1" w:rsidRDefault="00382DF1"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Default="00491170" w:rsidP="00382DF1">
      <w:pPr>
        <w:spacing w:after="0" w:line="240" w:lineRule="auto"/>
        <w:ind w:firstLine="851"/>
        <w:jc w:val="both"/>
        <w:rPr>
          <w:rFonts w:ascii="Times New Roman" w:hAnsi="Times New Roman" w:cs="Times New Roman"/>
          <w:sz w:val="28"/>
          <w:szCs w:val="28"/>
        </w:rPr>
      </w:pPr>
    </w:p>
    <w:p w:rsidR="00491170" w:rsidRPr="00382DF1" w:rsidRDefault="00491170" w:rsidP="00382DF1">
      <w:pPr>
        <w:spacing w:after="0" w:line="240" w:lineRule="auto"/>
        <w:ind w:firstLine="851"/>
        <w:jc w:val="both"/>
        <w:rPr>
          <w:rFonts w:ascii="Times New Roman" w:hAnsi="Times New Roman" w:cs="Times New Roman"/>
          <w:sz w:val="28"/>
          <w:szCs w:val="28"/>
        </w:rPr>
      </w:pPr>
    </w:p>
    <w:p w:rsidR="00382DF1" w:rsidRPr="00382DF1" w:rsidRDefault="00491170" w:rsidP="00491170">
      <w:pPr>
        <w:pStyle w:val="3"/>
        <w:spacing w:before="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bCs w:val="0"/>
          <w:color w:val="000000" w:themeColor="text1"/>
          <w:sz w:val="28"/>
          <w:szCs w:val="28"/>
        </w:rPr>
        <w:t>ГЛАВА 3. ЭКСПЕРИМЕНТАЛЬНАЯ ПРОВЕРКА МЕТОДОЛОГИИ И ЕЕ ВНЕДРЕНИЕ В ОБРАЗОВАТЕЛЬНЫЙ ПРОЦЕСС</w:t>
      </w:r>
    </w:p>
    <w:p w:rsidR="00491170" w:rsidRDefault="00491170" w:rsidP="00491170">
      <w:pPr>
        <w:spacing w:after="0" w:line="240" w:lineRule="auto"/>
        <w:jc w:val="both"/>
        <w:rPr>
          <w:rFonts w:ascii="Times New Roman" w:hAnsi="Times New Roman" w:cs="Times New Roman"/>
          <w:b/>
          <w:color w:val="000000" w:themeColor="text1"/>
          <w:sz w:val="28"/>
          <w:szCs w:val="28"/>
        </w:rPr>
      </w:pPr>
    </w:p>
    <w:p w:rsidR="00382DF1" w:rsidRPr="00491170" w:rsidRDefault="00382DF1" w:rsidP="00491170">
      <w:pPr>
        <w:spacing w:after="0" w:line="240" w:lineRule="auto"/>
        <w:jc w:val="both"/>
        <w:rPr>
          <w:rFonts w:ascii="Times New Roman" w:hAnsi="Times New Roman" w:cs="Times New Roman"/>
          <w:b/>
          <w:color w:val="000000" w:themeColor="text1"/>
          <w:sz w:val="28"/>
          <w:szCs w:val="28"/>
        </w:rPr>
      </w:pPr>
      <w:r w:rsidRPr="00491170">
        <w:rPr>
          <w:rFonts w:ascii="Times New Roman" w:hAnsi="Times New Roman" w:cs="Times New Roman"/>
          <w:b/>
          <w:color w:val="000000" w:themeColor="text1"/>
          <w:sz w:val="28"/>
          <w:szCs w:val="28"/>
        </w:rPr>
        <w:t>3.1. Организация и этапы педагогического эксперимента.</w:t>
      </w:r>
    </w:p>
    <w:p w:rsidR="00491170" w:rsidRDefault="00491170" w:rsidP="00491170">
      <w:pPr>
        <w:spacing w:after="0" w:line="240" w:lineRule="auto"/>
        <w:ind w:firstLine="851"/>
        <w:jc w:val="both"/>
        <w:rPr>
          <w:rFonts w:ascii="Times New Roman" w:hAnsi="Times New Roman" w:cs="Times New Roman"/>
          <w:color w:val="000000" w:themeColor="text1"/>
          <w:sz w:val="28"/>
          <w:szCs w:val="28"/>
        </w:rPr>
      </w:pP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В данной главе рассматриваются основные этапы экспериментальной проверки методологии, анализируются полученные данные и делаются выводы о целесообразности внедрения стохастико-игровых упражнений в образовательный процесс. Особое внимание уделяется методам оценки эффективности данной технологии, а также возможным трудностям, возникающим в процессе ее реализации. По итогам исследования разрабатываются рекомендации по оптимальной интеграции стохастико-игровых упражнений в образовательную программу, что позволяет повысить уровень профессиональной направленности студентов и обеспечить их успешную подготовку к будущей профессиональной деятельности.</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Участники педагогического эксперимента. Эксперимент проводился на базе Жетысуского университета имени И.Жансугурова, Казахского Национального Женского педагогического университета, КГУ «Средняя школа №12» города Талдыкорган и КГУ «Станция юных техников». На всех этапах эксперимента приняли участие 1</w:t>
      </w:r>
      <w:r w:rsidR="001E54D5">
        <w:rPr>
          <w:color w:val="000000" w:themeColor="text1"/>
          <w:sz w:val="28"/>
          <w:szCs w:val="28"/>
        </w:rPr>
        <w:t>66</w:t>
      </w:r>
      <w:r w:rsidRPr="00382DF1">
        <w:rPr>
          <w:color w:val="000000" w:themeColor="text1"/>
          <w:sz w:val="28"/>
          <w:szCs w:val="28"/>
        </w:rPr>
        <w:t xml:space="preserve"> человек, среди которых были учителя и ученики школ, педагоги и кружковцы учреждений дополнительного образования города Талдыкорган, студенты очной формы обучения, магистранты, докторанты, а также молодые преподаватели ВУЗов.</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Жетысуский университет имени Ильяса Жансугурова был основан в 1972 году как Талдыкурганский педагогический институт. В 1994 году он был преобразован в университет и назван в честь казахского поэта Ильяса Жансугурова. Сегодня это крупный региональный многопрофильный вуз, предлагающий программы бакалавриата, магистратуры и докторантуры по различным направлениям, включая педагогические, экономические и технические науки. Университет активно участвует в научных исследованиях и сотрудничает с другими образовательными учреждениями.</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Казахский Национальный Женский педагогический университет, основанный в 1944 году, является первым в Казахстане высшим учебным заведением для женщин. Университет предлагает программы бакалавриата, магистратуры и докторантуры, специализируясь на подготовке педагогических кадров. Расположенный в Алматы, он известен своими традициями и вкладом в развитие образования и науки в стране. </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lastRenderedPageBreak/>
        <w:t xml:space="preserve">КГУ «Средняя школа-гимназия №12» города Талдыкорган была открыта в 1976 году под названием средняя школа №19 в микрорайоне Самал. Впоследствии она получила статус гимназии и новое наименование. Школа предоставляет качественное общее среднее образование, сочетая традиционные методы обучения с инновационными подходами. </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КГУ «Станция юных техников» в Талдыкоргане является учреждением дополнительного образования, ориентированным на развитие технического творчества среди детей и молодежи. Станция предлагает различные кружки и секции, где учащиеся могут развивать свои навыки в области науки и техники. </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Целью эксперимента является </w:t>
      </w:r>
      <w:r w:rsidRPr="00382DF1">
        <w:rPr>
          <w:rStyle w:val="a5"/>
          <w:color w:val="000000" w:themeColor="text1"/>
          <w:sz w:val="28"/>
          <w:szCs w:val="28"/>
        </w:rPr>
        <w:t>экспериментальная проверка эффективности методологии формирования профессиональной направленности студентов через систему стохастико-игровых упражнений</w:t>
      </w:r>
      <w:r w:rsidRPr="00382DF1">
        <w:rPr>
          <w:color w:val="000000" w:themeColor="text1"/>
          <w:sz w:val="28"/>
          <w:szCs w:val="28"/>
        </w:rPr>
        <w:t xml:space="preserve"> и ее внедрение в образовательный процесс. Исследование направлено на выявление влияния предложенной методики на уровень осознания студентами профессиональных задач, развитие их адаптивных навыков, способность принимать решения в условиях неопределенности, а также на повышение их мотивации к профессиональной деятельности.</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В рамках эксперимента проверяется, в какой степени стохастико-игровые упражнения способствуют:</w:t>
      </w:r>
    </w:p>
    <w:p w:rsidR="00382DF1" w:rsidRPr="00382DF1" w:rsidRDefault="00382DF1" w:rsidP="00491170">
      <w:pPr>
        <w:numPr>
          <w:ilvl w:val="0"/>
          <w:numId w:val="24"/>
        </w:numPr>
        <w:tabs>
          <w:tab w:val="clear" w:pos="720"/>
          <w:tab w:val="left" w:pos="284"/>
          <w:tab w:val="num" w:pos="1134"/>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формированию устойчивой профессиональной мотивации;</w:t>
      </w:r>
    </w:p>
    <w:p w:rsidR="00382DF1" w:rsidRPr="00382DF1" w:rsidRDefault="00382DF1" w:rsidP="00491170">
      <w:pPr>
        <w:numPr>
          <w:ilvl w:val="0"/>
          <w:numId w:val="24"/>
        </w:numPr>
        <w:tabs>
          <w:tab w:val="clear" w:pos="720"/>
          <w:tab w:val="left" w:pos="284"/>
          <w:tab w:val="num" w:pos="1134"/>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развитию компетенций, необходимых для эффективной деятельности в выбранной сфере;</w:t>
      </w:r>
    </w:p>
    <w:p w:rsidR="00382DF1" w:rsidRPr="00382DF1" w:rsidRDefault="00382DF1" w:rsidP="00491170">
      <w:pPr>
        <w:numPr>
          <w:ilvl w:val="0"/>
          <w:numId w:val="24"/>
        </w:numPr>
        <w:tabs>
          <w:tab w:val="clear" w:pos="720"/>
          <w:tab w:val="left" w:pos="284"/>
          <w:tab w:val="num" w:pos="1134"/>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повышению уровня вовлеченности студентов в образовательный процесс;</w:t>
      </w:r>
    </w:p>
    <w:p w:rsidR="00382DF1" w:rsidRPr="00382DF1" w:rsidRDefault="00382DF1" w:rsidP="00491170">
      <w:pPr>
        <w:numPr>
          <w:ilvl w:val="0"/>
          <w:numId w:val="24"/>
        </w:numPr>
        <w:tabs>
          <w:tab w:val="clear" w:pos="720"/>
          <w:tab w:val="left" w:pos="284"/>
          <w:tab w:val="num" w:pos="1134"/>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совершенствованию навыков решения профессионально ориентированных задач в условиях вероятностной неопределенности.</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Кроме того, эксперимент ставит задачу </w:t>
      </w:r>
      <w:r w:rsidRPr="00382DF1">
        <w:rPr>
          <w:rStyle w:val="a5"/>
          <w:color w:val="000000" w:themeColor="text1"/>
          <w:sz w:val="28"/>
          <w:szCs w:val="28"/>
        </w:rPr>
        <w:t>определить оптимальные механизмы интеграции стохастико-игровых упражнений в учебные программы</w:t>
      </w:r>
      <w:r w:rsidRPr="00382DF1">
        <w:rPr>
          <w:color w:val="000000" w:themeColor="text1"/>
          <w:sz w:val="28"/>
          <w:szCs w:val="28"/>
        </w:rPr>
        <w:t>, выявить возможные трудности, связанные с их внедрением, и разработать рекомендации по повышению их эффективности.</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Исследование предполагает сравнительный анализ результатов контрольной группы, обучающейся по традиционным методикам, и экспериментальной группы, использующей стохастико-игровые упражнения. На основе полученных данных будет проведена оценка целесообразности внедрения данной методологии в образовательный процесс на системном уровне.</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Объект исследования</w:t>
      </w:r>
      <w:r w:rsidRPr="00382DF1">
        <w:rPr>
          <w:rFonts w:ascii="Times New Roman" w:hAnsi="Times New Roman" w:cs="Times New Roman"/>
          <w:color w:val="000000" w:themeColor="text1"/>
          <w:sz w:val="28"/>
          <w:szCs w:val="28"/>
        </w:rPr>
        <w:t xml:space="preserve"> – процесс формирования профессиональной направленности студентов в системе высшего образования. Данный процесс рассматривается в контексте влияния образовательных технологий, методик и средств обучения на развитие профессиональной мотивации, компетенций и готовности студентов к будущей профессиональной деятельности.</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Предмет исследования</w:t>
      </w:r>
      <w:r w:rsidRPr="00382DF1">
        <w:rPr>
          <w:rFonts w:ascii="Times New Roman" w:hAnsi="Times New Roman" w:cs="Times New Roman"/>
          <w:color w:val="000000" w:themeColor="text1"/>
          <w:sz w:val="28"/>
          <w:szCs w:val="28"/>
        </w:rPr>
        <w:t xml:space="preserve"> – использование стохастико-игровых упражнений как методологического инструмента для формирования профессиональной направленности студентов. В рамках исследования анализируется эффективность данных упражнений, их влияние на уровень вовлеченности студентов в учебный процесс, развитие профессионально </w:t>
      </w:r>
      <w:r w:rsidRPr="00382DF1">
        <w:rPr>
          <w:rFonts w:ascii="Times New Roman" w:hAnsi="Times New Roman" w:cs="Times New Roman"/>
          <w:color w:val="000000" w:themeColor="text1"/>
          <w:sz w:val="28"/>
          <w:szCs w:val="28"/>
        </w:rPr>
        <w:lastRenderedPageBreak/>
        <w:t>значимых качеств, а также возможности их интеграции в образовательные программы.</w:t>
      </w:r>
    </w:p>
    <w:p w:rsidR="00382DF1" w:rsidRPr="00382DF1" w:rsidRDefault="00382DF1" w:rsidP="00491170">
      <w:pPr>
        <w:spacing w:after="0" w:line="240" w:lineRule="auto"/>
        <w:ind w:firstLine="851"/>
        <w:jc w:val="both"/>
        <w:outlineLvl w:val="2"/>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 xml:space="preserve">Гипотеза эксперимента. </w:t>
      </w:r>
      <w:r w:rsidRPr="00382DF1">
        <w:rPr>
          <w:rFonts w:ascii="Times New Roman" w:hAnsi="Times New Roman" w:cs="Times New Roman"/>
          <w:color w:val="000000" w:themeColor="text1"/>
          <w:sz w:val="28"/>
          <w:szCs w:val="28"/>
        </w:rPr>
        <w:t xml:space="preserve">Предполагается, что </w:t>
      </w:r>
      <w:r w:rsidRPr="00382DF1">
        <w:rPr>
          <w:rFonts w:ascii="Times New Roman" w:hAnsi="Times New Roman" w:cs="Times New Roman"/>
          <w:b/>
          <w:bCs/>
          <w:color w:val="000000" w:themeColor="text1"/>
          <w:sz w:val="28"/>
          <w:szCs w:val="28"/>
        </w:rPr>
        <w:t>использование системы стохастико-игровых упражнений в образовательном процессе способствует более эффективному формированию профессиональной направленности студентов</w:t>
      </w:r>
      <w:r w:rsidRPr="00382DF1">
        <w:rPr>
          <w:rFonts w:ascii="Times New Roman" w:hAnsi="Times New Roman" w:cs="Times New Roman"/>
          <w:color w:val="000000" w:themeColor="text1"/>
          <w:sz w:val="28"/>
          <w:szCs w:val="28"/>
        </w:rPr>
        <w:t xml:space="preserve"> по сравнению с традиционными методами обучения.</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Ожидается, что внедрение данной методологии приведет к следующим позитивным изменениям:</w:t>
      </w:r>
    </w:p>
    <w:p w:rsidR="00382DF1" w:rsidRPr="00382DF1" w:rsidRDefault="00382DF1" w:rsidP="00491170">
      <w:pPr>
        <w:numPr>
          <w:ilvl w:val="0"/>
          <w:numId w:val="25"/>
        </w:numPr>
        <w:tabs>
          <w:tab w:val="clear" w:pos="720"/>
          <w:tab w:val="left" w:pos="284"/>
          <w:tab w:val="num" w:pos="851"/>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Повышение уровня профессиональной мотивации студентов</w:t>
      </w:r>
      <w:r w:rsidRPr="00382DF1">
        <w:rPr>
          <w:rFonts w:ascii="Times New Roman" w:hAnsi="Times New Roman" w:cs="Times New Roman"/>
          <w:color w:val="000000" w:themeColor="text1"/>
          <w:sz w:val="28"/>
          <w:szCs w:val="28"/>
        </w:rPr>
        <w:t xml:space="preserve"> за счет вовлечения в моделирование реальных профессиональных ситуаций и принятие решений в условиях неопределенности.</w:t>
      </w:r>
    </w:p>
    <w:p w:rsidR="00382DF1" w:rsidRPr="00382DF1" w:rsidRDefault="00382DF1" w:rsidP="00491170">
      <w:pPr>
        <w:numPr>
          <w:ilvl w:val="0"/>
          <w:numId w:val="25"/>
        </w:numPr>
        <w:tabs>
          <w:tab w:val="clear" w:pos="720"/>
          <w:tab w:val="left" w:pos="284"/>
          <w:tab w:val="num" w:pos="851"/>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Улучшение усвоения теоретического материала и развитие профессиональных компетенций</w:t>
      </w:r>
      <w:r w:rsidRPr="00382DF1">
        <w:rPr>
          <w:rFonts w:ascii="Times New Roman" w:hAnsi="Times New Roman" w:cs="Times New Roman"/>
          <w:color w:val="000000" w:themeColor="text1"/>
          <w:sz w:val="28"/>
          <w:szCs w:val="28"/>
        </w:rPr>
        <w:t xml:space="preserve"> благодаря активному применению знаний в игровых и вероятностных моделях.</w:t>
      </w:r>
    </w:p>
    <w:p w:rsidR="00382DF1" w:rsidRPr="00382DF1" w:rsidRDefault="00382DF1" w:rsidP="00491170">
      <w:pPr>
        <w:numPr>
          <w:ilvl w:val="0"/>
          <w:numId w:val="25"/>
        </w:numPr>
        <w:tabs>
          <w:tab w:val="clear" w:pos="720"/>
          <w:tab w:val="left" w:pos="284"/>
          <w:tab w:val="num" w:pos="851"/>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Развитие адаптивности и гибкости мышления</w:t>
      </w:r>
      <w:r w:rsidRPr="00382DF1">
        <w:rPr>
          <w:rFonts w:ascii="Times New Roman" w:hAnsi="Times New Roman" w:cs="Times New Roman"/>
          <w:color w:val="000000" w:themeColor="text1"/>
          <w:sz w:val="28"/>
          <w:szCs w:val="28"/>
        </w:rPr>
        <w:t>, необходимых для успешного решения профессиональных задач, за счет включения элементов вероятностного анализа и стратегического прогнозирования.</w:t>
      </w:r>
    </w:p>
    <w:p w:rsidR="00382DF1" w:rsidRPr="00382DF1" w:rsidRDefault="00382DF1" w:rsidP="00491170">
      <w:pPr>
        <w:numPr>
          <w:ilvl w:val="0"/>
          <w:numId w:val="25"/>
        </w:numPr>
        <w:tabs>
          <w:tab w:val="clear" w:pos="720"/>
          <w:tab w:val="left" w:pos="284"/>
          <w:tab w:val="num" w:pos="851"/>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Рост вовлеченности и активности студентов в образовательном процессе</w:t>
      </w:r>
      <w:r w:rsidRPr="00382DF1">
        <w:rPr>
          <w:rFonts w:ascii="Times New Roman" w:hAnsi="Times New Roman" w:cs="Times New Roman"/>
          <w:color w:val="000000" w:themeColor="text1"/>
          <w:sz w:val="28"/>
          <w:szCs w:val="28"/>
        </w:rPr>
        <w:t xml:space="preserve"> за счет использования игровых механизмов, повышающих интерес к изучаемому материалу.</w:t>
      </w:r>
    </w:p>
    <w:p w:rsidR="00382DF1" w:rsidRPr="00382DF1" w:rsidRDefault="00382DF1" w:rsidP="00491170">
      <w:pPr>
        <w:numPr>
          <w:ilvl w:val="0"/>
          <w:numId w:val="25"/>
        </w:numPr>
        <w:tabs>
          <w:tab w:val="clear" w:pos="720"/>
          <w:tab w:val="left" w:pos="284"/>
          <w:tab w:val="num" w:pos="851"/>
        </w:tabs>
        <w:spacing w:after="0" w:line="240" w:lineRule="auto"/>
        <w:ind w:left="0" w:firstLine="0"/>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Формирование навыков работы в условиях неопределенности</w:t>
      </w:r>
      <w:r w:rsidRPr="00382DF1">
        <w:rPr>
          <w:rFonts w:ascii="Times New Roman" w:hAnsi="Times New Roman" w:cs="Times New Roman"/>
          <w:color w:val="000000" w:themeColor="text1"/>
          <w:sz w:val="28"/>
          <w:szCs w:val="28"/>
        </w:rPr>
        <w:t>, что является важным фактором успешности в профессиональной среде.</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Если гипотеза подтвердится, это станет основанием для более широкого внедрения стохастико-игровых упражнений в образовательные программы с целью повышения качества подготовки студентов и их профессиональной адаптации.</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Для проверки гипотезы и достижения целей исследования применяется комплекс методов, включающий как </w:t>
      </w:r>
      <w:r w:rsidRPr="00382DF1">
        <w:rPr>
          <w:rFonts w:ascii="Times New Roman" w:hAnsi="Times New Roman" w:cs="Times New Roman"/>
          <w:b/>
          <w:bCs/>
          <w:color w:val="000000" w:themeColor="text1"/>
          <w:sz w:val="28"/>
          <w:szCs w:val="28"/>
        </w:rPr>
        <w:t>теоретические</w:t>
      </w:r>
      <w:r w:rsidRPr="00382DF1">
        <w:rPr>
          <w:rFonts w:ascii="Times New Roman" w:hAnsi="Times New Roman" w:cs="Times New Roman"/>
          <w:color w:val="000000" w:themeColor="text1"/>
          <w:sz w:val="28"/>
          <w:szCs w:val="28"/>
        </w:rPr>
        <w:t xml:space="preserve">, так и </w:t>
      </w:r>
      <w:r w:rsidRPr="00382DF1">
        <w:rPr>
          <w:rFonts w:ascii="Times New Roman" w:hAnsi="Times New Roman" w:cs="Times New Roman"/>
          <w:b/>
          <w:bCs/>
          <w:color w:val="000000" w:themeColor="text1"/>
          <w:sz w:val="28"/>
          <w:szCs w:val="28"/>
        </w:rPr>
        <w:t>эмпирические</w:t>
      </w:r>
      <w:r w:rsidRPr="00382DF1">
        <w:rPr>
          <w:rFonts w:ascii="Times New Roman" w:hAnsi="Times New Roman" w:cs="Times New Roman"/>
          <w:color w:val="000000" w:themeColor="text1"/>
          <w:sz w:val="28"/>
          <w:szCs w:val="28"/>
        </w:rPr>
        <w:t xml:space="preserve"> подходы.</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На рисунке показаны  этапы педагогического эксперимента:</w:t>
      </w:r>
    </w:p>
    <w:p w:rsidR="00382DF1" w:rsidRPr="00382DF1" w:rsidRDefault="00382DF1" w:rsidP="00382DF1">
      <w:pPr>
        <w:jc w:val="center"/>
        <w:outlineLvl w:val="3"/>
        <w:rPr>
          <w:rFonts w:ascii="Times New Roman" w:hAnsi="Times New Roman" w:cs="Times New Roman"/>
          <w:b/>
          <w:bCs/>
          <w:color w:val="000000" w:themeColor="text1"/>
          <w:sz w:val="28"/>
          <w:szCs w:val="28"/>
        </w:rPr>
      </w:pPr>
      <w:r w:rsidRPr="00382DF1">
        <w:rPr>
          <w:rFonts w:ascii="Times New Roman" w:hAnsi="Times New Roman" w:cs="Times New Roman"/>
          <w:b/>
          <w:bCs/>
          <w:noProof/>
          <w:color w:val="000000" w:themeColor="text1"/>
          <w:sz w:val="28"/>
          <w:szCs w:val="28"/>
          <w:lang w:eastAsia="ru-RU"/>
        </w:rPr>
        <w:lastRenderedPageBreak/>
        <w:drawing>
          <wp:inline distT="0" distB="0" distL="0" distR="0" wp14:anchorId="5B008E04" wp14:editId="3F551D00">
            <wp:extent cx="5270918" cy="6225540"/>
            <wp:effectExtent l="0" t="0" r="6350" b="3810"/>
            <wp:docPr id="7" name="Рисунок 7" descr="C:\Users\Huawei\OneDrive\Рабочий стол\Презентация109898775\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wei\OneDrive\Рабочий стол\Презентация109898775\Слайд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612" cy="6257069"/>
                    </a:xfrm>
                    <a:prstGeom prst="rect">
                      <a:avLst/>
                    </a:prstGeom>
                    <a:noFill/>
                    <a:ln>
                      <a:noFill/>
                    </a:ln>
                  </pic:spPr>
                </pic:pic>
              </a:graphicData>
            </a:graphic>
          </wp:inline>
        </w:drawing>
      </w:r>
    </w:p>
    <w:p w:rsidR="00382DF1" w:rsidRPr="00382DF1" w:rsidRDefault="00382DF1" w:rsidP="00382DF1">
      <w:pPr>
        <w:pStyle w:val="3"/>
        <w:spacing w:before="0"/>
        <w:ind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bCs w:val="0"/>
          <w:color w:val="000000" w:themeColor="text1"/>
          <w:sz w:val="28"/>
          <w:szCs w:val="28"/>
        </w:rPr>
        <w:t>Подготовительный этап педагогического эксперимента</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Подготовительный этап педагогического эксперимента является фундаментом для его успешного проведения и включает в себя комплекс аналитических, методологических и организационных мероприятий. На данном этапе определяется теоретическая основа исследования, разрабатывается методология экспериментального вмешательства, моделируются механизмы воздействия стохастико-игровых упражнений на профессиональную направленность студентов, а также закладываются критерии оценки их эффективности.</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Первым шагом является </w:t>
      </w:r>
      <w:r w:rsidRPr="00382DF1">
        <w:rPr>
          <w:rStyle w:val="a5"/>
          <w:color w:val="000000" w:themeColor="text1"/>
          <w:sz w:val="28"/>
          <w:szCs w:val="28"/>
        </w:rPr>
        <w:t>анализ научной литературы</w:t>
      </w:r>
      <w:r w:rsidRPr="00382DF1">
        <w:rPr>
          <w:color w:val="000000" w:themeColor="text1"/>
          <w:sz w:val="28"/>
          <w:szCs w:val="28"/>
        </w:rPr>
        <w:t xml:space="preserve">, который охватывает изучение фундаментальных и прикладных исследований в области педагогики, психологии, методологии профессионального обучения и игровых технологий. Особое внимание уделяется работам, посвященным вопросам формирования профессиональной направленности студентов, проблемам </w:t>
      </w:r>
      <w:r w:rsidRPr="00382DF1">
        <w:rPr>
          <w:color w:val="000000" w:themeColor="text1"/>
          <w:sz w:val="28"/>
          <w:szCs w:val="28"/>
        </w:rPr>
        <w:lastRenderedPageBreak/>
        <w:t>мотивации, адаптации к профессиональной среде, а также эффективности игровых и вероятностных методов в образовательном процессе. Анализ литературы позволяет определить существующие подходы к организации профессионального обучения, выявить их достоинства и недостатки, а также обосновать необходимость внедрения инновационных методов, таких как стохастико-игровые упражнения. Кроме того, изучение научных источников помогает структурировать исследование, определить ключевые термины, понятия и концепции, на которые будет опираться эксперимент.</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Следующим важным этапом является </w:t>
      </w:r>
      <w:r w:rsidRPr="00382DF1">
        <w:rPr>
          <w:rStyle w:val="a5"/>
          <w:color w:val="000000" w:themeColor="text1"/>
          <w:sz w:val="28"/>
          <w:szCs w:val="28"/>
        </w:rPr>
        <w:t>сравнительный анализ</w:t>
      </w:r>
      <w:r w:rsidRPr="00382DF1">
        <w:rPr>
          <w:color w:val="000000" w:themeColor="text1"/>
          <w:sz w:val="28"/>
          <w:szCs w:val="28"/>
        </w:rPr>
        <w:t xml:space="preserve"> традиционных методов формирования профессиональной направленности студентов и стохастико-игрового подхода. В ходе этого анализа изучаются существующие методы обучения, направленные на развитие профессиональных компетенций и мотивации студентов, такие как лекционно-семинарская система, проектное обучение, кейс-методы, проблемно-ориентированное обучение. Параллельно анализируются особенности стохастико-игровых методов, их потенциал в образовательном процессе и возможные преимущества перед традиционными подходами. Сравнительный анализ позволяет выявить, какие аспекты традиционной системы обучения требуют усовершенствования и каким образом стохастико-игровые упражнения могут компенсировать эти недостатки, повышая уровень вовлеченности студентов и их профессиональной мотивации.</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На основе проведенного анализа разрабатывается </w:t>
      </w:r>
      <w:r w:rsidRPr="00382DF1">
        <w:rPr>
          <w:rStyle w:val="a5"/>
          <w:color w:val="000000" w:themeColor="text1"/>
          <w:sz w:val="28"/>
          <w:szCs w:val="28"/>
        </w:rPr>
        <w:t>модель стохастико-игровых упражнений и их влияние на профессиональную направленность студентов</w:t>
      </w:r>
      <w:r w:rsidRPr="00382DF1">
        <w:rPr>
          <w:color w:val="000000" w:themeColor="text1"/>
          <w:sz w:val="28"/>
          <w:szCs w:val="28"/>
        </w:rPr>
        <w:t>. Этот этап включает в себя определение структуры упражнений, их типологии, механизмов интеграции в образовательный процесс и критериев эффективности. Стохастико-игровые упражнения должны соответствовать профессиональным требованиям, предъявляемым к студентам, учитывать специфику их будущей деятельности, а также быть адаптированы к уровню их подготовки. Для построения модели разрабатываются сценарии упражнений, учитывающие элементы неопределенности, вариативность решений, необходимость анализа вероятностей и стратегическое прогнозирование. Формируется логика их применения в учебном процессе: в каких дисциплинах, на каких этапах обучения и в каком формате (индивидуальном, групповом) они будут использоваться.</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Одновременно с этим происходит определение </w:t>
      </w:r>
      <w:r w:rsidRPr="00382DF1">
        <w:rPr>
          <w:rStyle w:val="a5"/>
          <w:color w:val="000000" w:themeColor="text1"/>
          <w:sz w:val="28"/>
          <w:szCs w:val="28"/>
        </w:rPr>
        <w:t>методов диагностики исходного уровня профессиональной направленности студентов</w:t>
      </w:r>
      <w:r w:rsidRPr="00382DF1">
        <w:rPr>
          <w:color w:val="000000" w:themeColor="text1"/>
          <w:sz w:val="28"/>
          <w:szCs w:val="28"/>
        </w:rPr>
        <w:t>. Для этого разрабатывается система тестирования, анкетирования, экспертных оценок и методов наблюдения, позволяющая зафиксировать начальные показатели студентов до начала эксперимента. Это необходимо для того, чтобы впоследствии можно было провести корректное сравнение и оценить динамику изменений.</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Завершающим шагом подготовительного этапа становится </w:t>
      </w:r>
      <w:r w:rsidRPr="00382DF1">
        <w:rPr>
          <w:rStyle w:val="a5"/>
          <w:color w:val="000000" w:themeColor="text1"/>
          <w:sz w:val="28"/>
          <w:szCs w:val="28"/>
        </w:rPr>
        <w:t>планирование проведения эксперимента</w:t>
      </w:r>
      <w:r w:rsidRPr="00382DF1">
        <w:rPr>
          <w:color w:val="000000" w:themeColor="text1"/>
          <w:sz w:val="28"/>
          <w:szCs w:val="28"/>
        </w:rPr>
        <w:t xml:space="preserve">, включая определение выборки испытуемых, разделение их на контрольную и экспериментальную группы, распределение исследовательских ролей среди преподавателей и студентов, а </w:t>
      </w:r>
      <w:r w:rsidRPr="00382DF1">
        <w:rPr>
          <w:color w:val="000000" w:themeColor="text1"/>
          <w:sz w:val="28"/>
          <w:szCs w:val="28"/>
        </w:rPr>
        <w:lastRenderedPageBreak/>
        <w:t>также согласование организационных вопросов с учебными заведениями. На данном этапе создаются все необходимые условия для успешного внедрения стохастико-игровых упражнений и сбора объективных данных, которые в дальнейшем будут проанализированы в ходе педагогического эксперимента.</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Таким образом, подготовительный этап включает три ключевых компонента: анализ научных источников, сравнительный анализ традиционных и стохастико-игровых методов, а также моделирование стохастико-игровых упражнений. Все эти элементы позволяют заложить прочную теоретическую и методологическую основу для дальнейшего экспериментального исследования, обеспечивая его научную обоснованность и достоверность результатов.</w:t>
      </w:r>
    </w:p>
    <w:p w:rsidR="00382DF1" w:rsidRPr="00382DF1" w:rsidRDefault="00382DF1" w:rsidP="00382DF1">
      <w:pPr>
        <w:pStyle w:val="3"/>
        <w:spacing w:before="0"/>
        <w:ind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bCs w:val="0"/>
          <w:color w:val="000000" w:themeColor="text1"/>
          <w:sz w:val="28"/>
          <w:szCs w:val="28"/>
        </w:rPr>
        <w:t>Констатирующий этап педагогического эксперимента</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Констатирующий этап эксперимента был направлен на выявление исходного уровня профессиональной направленности студентов, а также на изучение отношения педагогов и обучающихся к использованию стохастико-игровых упражнений в образовательном процессе. На данном этапе проводилась диагностика, позволившая зафиксировать первоначальное состояние исследуемых показателей, что впоследствии обеспечило возможность объективного анализа изменений, произошедших в результате внедрения экспериментальной методики.</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Первый этап констатирующего эксперимента был организован в формате анкетирования и охватил </w:t>
      </w:r>
      <w:r w:rsidRPr="00382DF1">
        <w:rPr>
          <w:rStyle w:val="a5"/>
          <w:color w:val="000000" w:themeColor="text1"/>
          <w:sz w:val="28"/>
          <w:szCs w:val="28"/>
        </w:rPr>
        <w:t>учителей, магистрантов и докторантов</w:t>
      </w:r>
      <w:r w:rsidRPr="00382DF1">
        <w:rPr>
          <w:color w:val="000000" w:themeColor="text1"/>
          <w:sz w:val="28"/>
          <w:szCs w:val="28"/>
        </w:rPr>
        <w:t>, имеющих опыт работы в образовательных учреждениях. Целью анкетирования стало выявление их мнений о стохастико-игровых упражнениях как способе усиления профессиональной направленности обучающихся. Анкета включала вопросы, связанные с пониманием педагогами значимости профессиональной направленности в образовательном процессе, их осведомленностью о возможностях использования игровых методов, а также с оценкой перспективности внедрения стохастико-игровых упражнений в практику обучения. Особое внимание уделялось выявлению затруднений, с которыми педагоги могут столкнуться при интеграции данной методики, а также определению факторов, способствующих успешному внедрению стохастико-игрового подхода в образовательную деятельность.</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Второй этап констатирующего эксперимента проводился в виде тестирования и контрольной работы, охватывая разные категории испытуемых. </w:t>
      </w:r>
      <w:r w:rsidRPr="00382DF1">
        <w:rPr>
          <w:rStyle w:val="a5"/>
          <w:color w:val="000000" w:themeColor="text1"/>
          <w:sz w:val="28"/>
          <w:szCs w:val="28"/>
        </w:rPr>
        <w:t>Для учителей, магистрантов и докторантов</w:t>
      </w:r>
      <w:r w:rsidRPr="00382DF1">
        <w:rPr>
          <w:color w:val="000000" w:themeColor="text1"/>
          <w:sz w:val="28"/>
          <w:szCs w:val="28"/>
        </w:rPr>
        <w:t xml:space="preserve"> был организован тест, направленный на диагностику их теоретических знаний и представлений о методах формирования профессиональной направленности студентов, а также их готовности применять стохастико-игровые упражнения в своей педагогической практике. Тест включал задания на оценку понимания основ стохастического моделирования, принципов игрового обучения и методологических аспектов организации профессионально ориентированного образовательного процесса.</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Параллельно для </w:t>
      </w:r>
      <w:r w:rsidRPr="00382DF1">
        <w:rPr>
          <w:rStyle w:val="a5"/>
          <w:color w:val="000000" w:themeColor="text1"/>
          <w:sz w:val="28"/>
          <w:szCs w:val="28"/>
        </w:rPr>
        <w:t>студентов, учащихся школ и кружковцев учреждений дополнительного образования</w:t>
      </w:r>
      <w:r w:rsidRPr="00382DF1">
        <w:rPr>
          <w:color w:val="000000" w:themeColor="text1"/>
          <w:sz w:val="28"/>
          <w:szCs w:val="28"/>
        </w:rPr>
        <w:t xml:space="preserve"> была проведена контрольная работа, разработанная с учетом особенностей их образовательного уровня. </w:t>
      </w:r>
      <w:r w:rsidRPr="00382DF1">
        <w:rPr>
          <w:color w:val="000000" w:themeColor="text1"/>
          <w:sz w:val="28"/>
          <w:szCs w:val="28"/>
        </w:rPr>
        <w:lastRenderedPageBreak/>
        <w:t>Задания контрольной работы были направлены на оценку исходного уровня профессиональной направленности, уровень владения теоретическими знаниями по профильным дисциплинам, способность решать профессионально-ориентированные задачи, а также на выявление их отношения к игровым и вероятностным методам обучения. В контрольной работе использовались кейсовые задания, ситуационные задачи и элементы моделирования реальных профессиональных ситуаций.</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Результаты констатирующего этапа эксперимента позволили выявить существующий уровень профессиональной направленности у обучающихся, определить степень готовности педагогов к использованию стохастико-игровых упражнений, а также зафиксировать начальные показатели, которые впоследствии послужили основой для сравнительного анализа эффективности экспериментальной методики. Полученные данные легли в основу последующего формирующего этапа, в ходе которого стохастико-игровые упражнения были внедрены в образовательный процесс, что позволило оценить их влияние на динамику профессиональной направленности обучающихся.</w:t>
      </w:r>
    </w:p>
    <w:p w:rsidR="00382DF1" w:rsidRPr="00382DF1" w:rsidRDefault="00382DF1" w:rsidP="00491170">
      <w:pPr>
        <w:spacing w:after="0" w:line="240" w:lineRule="auto"/>
        <w:ind w:firstLine="851"/>
        <w:jc w:val="both"/>
        <w:outlineLvl w:val="2"/>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Формирующий этап педагогического эксперимента</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Формирующий этап эксперимента был направлен на внедрение стохастико-игровых упражнений в образовательный процесс и оценку их влияния на формирование профессиональной направленности студентов и школьников. В рамках данного этапа проводилось обучение с использованием разработанной методики, что позволило сравнить динамику изменений в контрольной и экспериментальной группах.</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Эксперимент проходил в естественных условиях учебного процесса при изучении дисциплины </w:t>
      </w:r>
      <w:r w:rsidRPr="00382DF1">
        <w:rPr>
          <w:rFonts w:ascii="Times New Roman" w:hAnsi="Times New Roman" w:cs="Times New Roman"/>
          <w:b/>
          <w:bCs/>
          <w:color w:val="000000" w:themeColor="text1"/>
          <w:sz w:val="28"/>
          <w:szCs w:val="28"/>
        </w:rPr>
        <w:t>«Теория вероятностей и математическая статистика»</w:t>
      </w:r>
      <w:r w:rsidRPr="00382DF1">
        <w:rPr>
          <w:rFonts w:ascii="Times New Roman" w:hAnsi="Times New Roman" w:cs="Times New Roman"/>
          <w:color w:val="000000" w:themeColor="text1"/>
          <w:sz w:val="28"/>
          <w:szCs w:val="28"/>
        </w:rPr>
        <w:t xml:space="preserve"> в </w:t>
      </w:r>
      <w:r w:rsidRPr="00382DF1">
        <w:rPr>
          <w:rFonts w:ascii="Times New Roman" w:hAnsi="Times New Roman" w:cs="Times New Roman"/>
          <w:b/>
          <w:bCs/>
          <w:color w:val="000000" w:themeColor="text1"/>
          <w:sz w:val="28"/>
          <w:szCs w:val="28"/>
        </w:rPr>
        <w:t>Жетысуском университете имени И. Жансугурова</w:t>
      </w:r>
      <w:r w:rsidRPr="00382DF1">
        <w:rPr>
          <w:rFonts w:ascii="Times New Roman" w:hAnsi="Times New Roman" w:cs="Times New Roman"/>
          <w:color w:val="000000" w:themeColor="text1"/>
          <w:sz w:val="28"/>
          <w:szCs w:val="28"/>
        </w:rPr>
        <w:t xml:space="preserve"> среди студентов 3 и 4 курсов, а также в </w:t>
      </w:r>
      <w:r w:rsidRPr="00382DF1">
        <w:rPr>
          <w:rFonts w:ascii="Times New Roman" w:hAnsi="Times New Roman" w:cs="Times New Roman"/>
          <w:b/>
          <w:bCs/>
          <w:color w:val="000000" w:themeColor="text1"/>
          <w:sz w:val="28"/>
          <w:szCs w:val="28"/>
        </w:rPr>
        <w:t>Казахском национальном женском педагогическом университете</w:t>
      </w:r>
      <w:r w:rsidRPr="00382DF1">
        <w:rPr>
          <w:rFonts w:ascii="Times New Roman" w:hAnsi="Times New Roman" w:cs="Times New Roman"/>
          <w:color w:val="000000" w:themeColor="text1"/>
          <w:sz w:val="28"/>
          <w:szCs w:val="28"/>
        </w:rPr>
        <w:t xml:space="preserve"> среди студентов 3 курса. Кроме того, элементы эксперимента были реализованы в </w:t>
      </w:r>
      <w:r w:rsidRPr="00382DF1">
        <w:rPr>
          <w:rFonts w:ascii="Times New Roman" w:hAnsi="Times New Roman" w:cs="Times New Roman"/>
          <w:b/>
          <w:bCs/>
          <w:color w:val="000000" w:themeColor="text1"/>
          <w:sz w:val="28"/>
          <w:szCs w:val="28"/>
        </w:rPr>
        <w:t>средней школе-гимназии №12</w:t>
      </w:r>
      <w:r w:rsidRPr="00382DF1">
        <w:rPr>
          <w:rFonts w:ascii="Times New Roman" w:hAnsi="Times New Roman" w:cs="Times New Roman"/>
          <w:color w:val="000000" w:themeColor="text1"/>
          <w:sz w:val="28"/>
          <w:szCs w:val="28"/>
        </w:rPr>
        <w:t xml:space="preserve"> на факультативных занятиях и во время прохождения разделов по теории вероятностей и математической статистике, а также в кружках занимательной математики </w:t>
      </w:r>
      <w:r w:rsidRPr="00382DF1">
        <w:rPr>
          <w:rFonts w:ascii="Times New Roman" w:hAnsi="Times New Roman" w:cs="Times New Roman"/>
          <w:b/>
          <w:bCs/>
          <w:color w:val="000000" w:themeColor="text1"/>
          <w:sz w:val="28"/>
          <w:szCs w:val="28"/>
        </w:rPr>
        <w:t>Станции юных техников</w:t>
      </w:r>
      <w:r w:rsidRPr="00382DF1">
        <w:rPr>
          <w:rFonts w:ascii="Times New Roman" w:hAnsi="Times New Roman" w:cs="Times New Roman"/>
          <w:color w:val="000000" w:themeColor="text1"/>
          <w:sz w:val="28"/>
          <w:szCs w:val="28"/>
        </w:rPr>
        <w:t>.</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Для проведения формирующего исследования была выделена </w:t>
      </w:r>
      <w:r w:rsidRPr="00382DF1">
        <w:rPr>
          <w:rFonts w:ascii="Times New Roman" w:hAnsi="Times New Roman" w:cs="Times New Roman"/>
          <w:b/>
          <w:bCs/>
          <w:color w:val="000000" w:themeColor="text1"/>
          <w:sz w:val="28"/>
          <w:szCs w:val="28"/>
        </w:rPr>
        <w:t>экспериментальная группа (23 человека) и контрольная группа (22 человека)</w:t>
      </w:r>
      <w:r w:rsidRPr="00382DF1">
        <w:rPr>
          <w:rFonts w:ascii="Times New Roman" w:hAnsi="Times New Roman" w:cs="Times New Roman"/>
          <w:color w:val="000000" w:themeColor="text1"/>
          <w:sz w:val="28"/>
          <w:szCs w:val="28"/>
        </w:rPr>
        <w:t xml:space="preserve">, состоящие из обучающихся специальности </w:t>
      </w:r>
      <w:r w:rsidRPr="00382DF1">
        <w:rPr>
          <w:rFonts w:ascii="Times New Roman" w:hAnsi="Times New Roman" w:cs="Times New Roman"/>
          <w:b/>
          <w:bCs/>
          <w:color w:val="000000" w:themeColor="text1"/>
          <w:sz w:val="28"/>
          <w:szCs w:val="28"/>
        </w:rPr>
        <w:t>«Математика»</w:t>
      </w:r>
      <w:r w:rsidRPr="00382DF1">
        <w:rPr>
          <w:rFonts w:ascii="Times New Roman" w:hAnsi="Times New Roman" w:cs="Times New Roman"/>
          <w:color w:val="000000" w:themeColor="text1"/>
          <w:sz w:val="28"/>
          <w:szCs w:val="28"/>
        </w:rPr>
        <w:t xml:space="preserve"> уровня бакалавриата. Обучение в обеих группах было организовано по единой рабочей учебной программе дисциплины </w:t>
      </w:r>
      <w:r w:rsidRPr="00382DF1">
        <w:rPr>
          <w:rFonts w:ascii="Times New Roman" w:hAnsi="Times New Roman" w:cs="Times New Roman"/>
          <w:b/>
          <w:bCs/>
          <w:color w:val="000000" w:themeColor="text1"/>
          <w:sz w:val="28"/>
          <w:szCs w:val="28"/>
        </w:rPr>
        <w:t>в объеме 6 академических кредитов (180 часов)</w:t>
      </w:r>
      <w:r w:rsidRPr="00382DF1">
        <w:rPr>
          <w:rFonts w:ascii="Times New Roman" w:hAnsi="Times New Roman" w:cs="Times New Roman"/>
          <w:color w:val="000000" w:themeColor="text1"/>
          <w:sz w:val="28"/>
          <w:szCs w:val="28"/>
        </w:rPr>
        <w:t>, что обеспечило одинаковые условия преподавания и позволило объективно оценить влияние внедряемых методик.</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Основное отличие заключалось в методах преподавания. В </w:t>
      </w:r>
      <w:r w:rsidRPr="00382DF1">
        <w:rPr>
          <w:rFonts w:ascii="Times New Roman" w:hAnsi="Times New Roman" w:cs="Times New Roman"/>
          <w:b/>
          <w:bCs/>
          <w:color w:val="000000" w:themeColor="text1"/>
          <w:sz w:val="28"/>
          <w:szCs w:val="28"/>
        </w:rPr>
        <w:t>контрольной группе</w:t>
      </w:r>
      <w:r w:rsidRPr="00382DF1">
        <w:rPr>
          <w:rFonts w:ascii="Times New Roman" w:hAnsi="Times New Roman" w:cs="Times New Roman"/>
          <w:color w:val="000000" w:themeColor="text1"/>
          <w:sz w:val="28"/>
          <w:szCs w:val="28"/>
        </w:rPr>
        <w:t xml:space="preserve"> обучение велось традиционными методами, включающими лекционные и семинарские занятия, решения типовых задач и самостоятельную работу по стандартным учебным материалам. В </w:t>
      </w:r>
      <w:r w:rsidRPr="00382DF1">
        <w:rPr>
          <w:rFonts w:ascii="Times New Roman" w:hAnsi="Times New Roman" w:cs="Times New Roman"/>
          <w:b/>
          <w:bCs/>
          <w:color w:val="000000" w:themeColor="text1"/>
          <w:sz w:val="28"/>
          <w:szCs w:val="28"/>
        </w:rPr>
        <w:t>экспериментальной группе</w:t>
      </w:r>
      <w:r w:rsidRPr="00382DF1">
        <w:rPr>
          <w:rFonts w:ascii="Times New Roman" w:hAnsi="Times New Roman" w:cs="Times New Roman"/>
          <w:color w:val="000000" w:themeColor="text1"/>
          <w:sz w:val="28"/>
          <w:szCs w:val="28"/>
        </w:rPr>
        <w:t xml:space="preserve"> обучение дополнялось системой </w:t>
      </w:r>
      <w:r w:rsidRPr="00382DF1">
        <w:rPr>
          <w:rFonts w:ascii="Times New Roman" w:hAnsi="Times New Roman" w:cs="Times New Roman"/>
          <w:b/>
          <w:bCs/>
          <w:color w:val="000000" w:themeColor="text1"/>
          <w:sz w:val="28"/>
          <w:szCs w:val="28"/>
        </w:rPr>
        <w:t>стохастико-</w:t>
      </w:r>
      <w:r w:rsidRPr="00382DF1">
        <w:rPr>
          <w:rFonts w:ascii="Times New Roman" w:hAnsi="Times New Roman" w:cs="Times New Roman"/>
          <w:b/>
          <w:bCs/>
          <w:color w:val="000000" w:themeColor="text1"/>
          <w:sz w:val="28"/>
          <w:szCs w:val="28"/>
        </w:rPr>
        <w:lastRenderedPageBreak/>
        <w:t>игровых упражнений</w:t>
      </w:r>
      <w:r w:rsidRPr="00382DF1">
        <w:rPr>
          <w:rFonts w:ascii="Times New Roman" w:hAnsi="Times New Roman" w:cs="Times New Roman"/>
          <w:color w:val="000000" w:themeColor="text1"/>
          <w:sz w:val="28"/>
          <w:szCs w:val="28"/>
        </w:rPr>
        <w:t>, которые использовались в качестве основного инструмента активизации познавательной деятельности.</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Структура занятий в экспериментальной группе включала:</w:t>
      </w:r>
    </w:p>
    <w:p w:rsidR="00382DF1" w:rsidRPr="00382DF1" w:rsidRDefault="00382DF1" w:rsidP="00491170">
      <w:pPr>
        <w:numPr>
          <w:ilvl w:val="0"/>
          <w:numId w:val="26"/>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Решение специально разработанных задач, содержащих элементы вероятностных моделей и игровых ситуаций.</w:t>
      </w:r>
    </w:p>
    <w:p w:rsidR="00382DF1" w:rsidRPr="00382DF1" w:rsidRDefault="00382DF1" w:rsidP="00491170">
      <w:pPr>
        <w:numPr>
          <w:ilvl w:val="0"/>
          <w:numId w:val="26"/>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Использование вероятностных экспериментов, требующих стратегического выбора и принятия решений в условиях неопределенности.</w:t>
      </w:r>
    </w:p>
    <w:p w:rsidR="00382DF1" w:rsidRPr="00382DF1" w:rsidRDefault="00382DF1" w:rsidP="00491170">
      <w:pPr>
        <w:numPr>
          <w:ilvl w:val="0"/>
          <w:numId w:val="26"/>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Интерактивные групповые задания, основанные на стохастическом анализе и принципах теории игр.</w:t>
      </w:r>
    </w:p>
    <w:p w:rsidR="00382DF1" w:rsidRPr="00382DF1" w:rsidRDefault="00382DF1" w:rsidP="00491170">
      <w:pPr>
        <w:numPr>
          <w:ilvl w:val="0"/>
          <w:numId w:val="26"/>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Проектные работы, в которых студенты должны были разработать и проанализировать стохастические модели реальных процессов.</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В </w:t>
      </w:r>
      <w:r w:rsidRPr="00382DF1">
        <w:rPr>
          <w:rFonts w:ascii="Times New Roman" w:hAnsi="Times New Roman" w:cs="Times New Roman"/>
          <w:b/>
          <w:bCs/>
          <w:color w:val="000000" w:themeColor="text1"/>
          <w:sz w:val="28"/>
          <w:szCs w:val="28"/>
        </w:rPr>
        <w:t>средней школе-гимназии №12</w:t>
      </w:r>
      <w:r w:rsidRPr="00382DF1">
        <w:rPr>
          <w:rFonts w:ascii="Times New Roman" w:hAnsi="Times New Roman" w:cs="Times New Roman"/>
          <w:color w:val="000000" w:themeColor="text1"/>
          <w:sz w:val="28"/>
          <w:szCs w:val="28"/>
        </w:rPr>
        <w:t xml:space="preserve"> на факультативных занятиях и в процессе изучения тем по </w:t>
      </w:r>
      <w:r w:rsidRPr="00382DF1">
        <w:rPr>
          <w:rFonts w:ascii="Times New Roman" w:hAnsi="Times New Roman" w:cs="Times New Roman"/>
          <w:b/>
          <w:bCs/>
          <w:color w:val="000000" w:themeColor="text1"/>
          <w:sz w:val="28"/>
          <w:szCs w:val="28"/>
        </w:rPr>
        <w:t>теории вероятностей и математической статистике</w:t>
      </w:r>
      <w:r w:rsidRPr="00382DF1">
        <w:rPr>
          <w:rFonts w:ascii="Times New Roman" w:hAnsi="Times New Roman" w:cs="Times New Roman"/>
          <w:color w:val="000000" w:themeColor="text1"/>
          <w:sz w:val="28"/>
          <w:szCs w:val="28"/>
        </w:rPr>
        <w:t xml:space="preserve"> также применялся </w:t>
      </w:r>
      <w:r w:rsidRPr="00382DF1">
        <w:rPr>
          <w:rFonts w:ascii="Times New Roman" w:hAnsi="Times New Roman" w:cs="Times New Roman"/>
          <w:b/>
          <w:bCs/>
          <w:color w:val="000000" w:themeColor="text1"/>
          <w:sz w:val="28"/>
          <w:szCs w:val="28"/>
        </w:rPr>
        <w:t>сборник задач и специально разработанные комплексы стохастико-игровых упражнений</w:t>
      </w:r>
      <w:r w:rsidRPr="00382DF1">
        <w:rPr>
          <w:rFonts w:ascii="Times New Roman" w:hAnsi="Times New Roman" w:cs="Times New Roman"/>
          <w:color w:val="000000" w:themeColor="text1"/>
          <w:sz w:val="28"/>
          <w:szCs w:val="28"/>
        </w:rPr>
        <w:t>. Это позволило протестировать методику на возрастной группе старшей школы и определить ее эффективность не только в высшем, но и в общем и дополнительном образовании.</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На </w:t>
      </w:r>
      <w:r w:rsidRPr="00382DF1">
        <w:rPr>
          <w:rFonts w:ascii="Times New Roman" w:hAnsi="Times New Roman" w:cs="Times New Roman"/>
          <w:b/>
          <w:bCs/>
          <w:color w:val="000000" w:themeColor="text1"/>
          <w:sz w:val="28"/>
          <w:szCs w:val="28"/>
        </w:rPr>
        <w:t>Станции юных техников</w:t>
      </w:r>
      <w:r w:rsidRPr="00382DF1">
        <w:rPr>
          <w:rFonts w:ascii="Times New Roman" w:hAnsi="Times New Roman" w:cs="Times New Roman"/>
          <w:color w:val="000000" w:themeColor="text1"/>
          <w:sz w:val="28"/>
          <w:szCs w:val="28"/>
        </w:rPr>
        <w:t>, в кружках занимательной математики, стохастико-игровые упражнения использовались в качестве инструментов активного обучения. Школьники и кружковцы решали задачи, основанные на вероятностных моделях, участвовали в игровых ситуациях, требующих принятия решений, и самостоятельно разрабатывали игровые математические задачи. Это способствовало развитию аналитического мышления, интуитивного понимания вероятностных процессов и формированию интереса к математическим дисциплинам.</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После завершения формирующего этапа были проведены промежуточные тестирования и анализ активности обучающихся. В экспериментальной группе фиксировалось повышение интереса к предмету, рост уровня самостоятельности при решении задач, улучшение результатов по дисциплине, а также формирование у студентов и школьников более глубокого понимания принципов стохастики и математической статистики.</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Формирующий этап позволил оценить эффективность стохастико-игровых упражнений в реальных условиях образовательного процесса, выявить их влияние на формирование профессиональной направленности обучающихся и определить наиболее успешные методические подходы к их внедрению в учебную деятельность. Полученные результаты на данном этапе стали основой для последующего контрольного эксперимента, в ходе которого проводился детальный анализ динамики изменений и обоснование целесообразности применения предложенной методологии.</w:t>
      </w:r>
    </w:p>
    <w:p w:rsidR="00382DF1" w:rsidRPr="00382DF1" w:rsidRDefault="00382DF1" w:rsidP="00491170">
      <w:pPr>
        <w:pStyle w:val="3"/>
        <w:spacing w:before="0" w:line="240" w:lineRule="auto"/>
        <w:ind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bCs w:val="0"/>
          <w:color w:val="000000" w:themeColor="text1"/>
          <w:sz w:val="28"/>
          <w:szCs w:val="28"/>
        </w:rPr>
        <w:t>Контрольный этап педагогического эксперимента</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Контрольный этап педагогического эксперимента был направлен на </w:t>
      </w:r>
      <w:r w:rsidRPr="00382DF1">
        <w:rPr>
          <w:rStyle w:val="a5"/>
          <w:color w:val="000000" w:themeColor="text1"/>
          <w:sz w:val="28"/>
          <w:szCs w:val="28"/>
        </w:rPr>
        <w:t>сравнительный анализ</w:t>
      </w:r>
      <w:r w:rsidRPr="00382DF1">
        <w:rPr>
          <w:color w:val="000000" w:themeColor="text1"/>
          <w:sz w:val="28"/>
          <w:szCs w:val="28"/>
        </w:rPr>
        <w:t xml:space="preserve"> результатов контрольной и экспериментальной групп с целью оценки эффективности внедрения стохастико-игровых упражнений в образовательный процесс. На данном этапе проводилась статистическая обработка полученных данных, что позволило количественно и качественно </w:t>
      </w:r>
      <w:r w:rsidRPr="00382DF1">
        <w:rPr>
          <w:color w:val="000000" w:themeColor="text1"/>
          <w:sz w:val="28"/>
          <w:szCs w:val="28"/>
        </w:rPr>
        <w:lastRenderedPageBreak/>
        <w:t>оценить влияние экспериментальной методики на формирование профессиональной направленности обучающихся.</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Контрольное тестирование и диагностика проводились среди </w:t>
      </w:r>
      <w:r w:rsidRPr="00382DF1">
        <w:rPr>
          <w:rStyle w:val="a5"/>
          <w:color w:val="000000" w:themeColor="text1"/>
          <w:sz w:val="28"/>
          <w:szCs w:val="28"/>
        </w:rPr>
        <w:t>студентов 3 и 4 курсов Жетысуского университета имени И. Жансугурова</w:t>
      </w:r>
      <w:r w:rsidRPr="00382DF1">
        <w:rPr>
          <w:color w:val="000000" w:themeColor="text1"/>
          <w:sz w:val="28"/>
          <w:szCs w:val="28"/>
        </w:rPr>
        <w:t xml:space="preserve">, </w:t>
      </w:r>
      <w:r w:rsidRPr="00382DF1">
        <w:rPr>
          <w:rStyle w:val="a5"/>
          <w:color w:val="000000" w:themeColor="text1"/>
          <w:sz w:val="28"/>
          <w:szCs w:val="28"/>
        </w:rPr>
        <w:t>студентов 3 курса Казахского национального женского педагогического университета</w:t>
      </w:r>
      <w:r w:rsidRPr="00382DF1">
        <w:rPr>
          <w:color w:val="000000" w:themeColor="text1"/>
          <w:sz w:val="28"/>
          <w:szCs w:val="28"/>
        </w:rPr>
        <w:t xml:space="preserve">, а также среди </w:t>
      </w:r>
      <w:r w:rsidRPr="00382DF1">
        <w:rPr>
          <w:rStyle w:val="a5"/>
          <w:color w:val="000000" w:themeColor="text1"/>
          <w:sz w:val="28"/>
          <w:szCs w:val="28"/>
        </w:rPr>
        <w:t>школьников средней школы-гимназии №12</w:t>
      </w:r>
      <w:r w:rsidRPr="00382DF1">
        <w:rPr>
          <w:color w:val="000000" w:themeColor="text1"/>
          <w:sz w:val="28"/>
          <w:szCs w:val="28"/>
        </w:rPr>
        <w:t xml:space="preserve"> и </w:t>
      </w:r>
      <w:r w:rsidRPr="00382DF1">
        <w:rPr>
          <w:rStyle w:val="a5"/>
          <w:color w:val="000000" w:themeColor="text1"/>
          <w:sz w:val="28"/>
          <w:szCs w:val="28"/>
        </w:rPr>
        <w:t>учащихся кружков занимательной математики на Станции юных техников</w:t>
      </w:r>
      <w:r w:rsidRPr="00382DF1">
        <w:rPr>
          <w:color w:val="000000" w:themeColor="text1"/>
          <w:sz w:val="28"/>
          <w:szCs w:val="28"/>
        </w:rPr>
        <w:t xml:space="preserve">. Для обеспечения объективности оценки уровень сформированности профессиональной направленности и математической подготовки участников исследовался с помощью </w:t>
      </w:r>
      <w:r w:rsidRPr="00382DF1">
        <w:rPr>
          <w:rStyle w:val="a5"/>
          <w:color w:val="000000" w:themeColor="text1"/>
          <w:sz w:val="28"/>
          <w:szCs w:val="28"/>
        </w:rPr>
        <w:t>комплексных диагностических методик</w:t>
      </w:r>
      <w:r w:rsidRPr="00382DF1">
        <w:rPr>
          <w:color w:val="000000" w:themeColor="text1"/>
          <w:sz w:val="28"/>
          <w:szCs w:val="28"/>
        </w:rPr>
        <w:t>, включающих тестирование, контрольные работы, анкетирование и экспертную оценку.</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В контрольной и экспериментальной группах были проведены </w:t>
      </w:r>
      <w:r w:rsidRPr="00382DF1">
        <w:rPr>
          <w:rStyle w:val="a5"/>
          <w:color w:val="000000" w:themeColor="text1"/>
          <w:sz w:val="28"/>
          <w:szCs w:val="28"/>
        </w:rPr>
        <w:t>итоговые тесты</w:t>
      </w:r>
      <w:r w:rsidRPr="00382DF1">
        <w:rPr>
          <w:color w:val="000000" w:themeColor="text1"/>
          <w:sz w:val="28"/>
          <w:szCs w:val="28"/>
        </w:rPr>
        <w:t xml:space="preserve">, включающие задания по теории вероятностей и математической статистике, а также задачи на применение вероятностного мышления в практических ситуациях. В средней школе и в учреждениях дополнительного образования аналогичные контрольные работы проверяли уровень усвоения материала и способность применять вероятностные методы при решении задач. </w:t>
      </w:r>
      <w:r w:rsidRPr="00382DF1">
        <w:rPr>
          <w:rStyle w:val="a5"/>
          <w:color w:val="000000" w:themeColor="text1"/>
          <w:sz w:val="28"/>
          <w:szCs w:val="28"/>
        </w:rPr>
        <w:t>Результаты контрольных испытаний</w:t>
      </w:r>
      <w:r w:rsidRPr="00382DF1">
        <w:rPr>
          <w:color w:val="000000" w:themeColor="text1"/>
          <w:sz w:val="28"/>
          <w:szCs w:val="28"/>
        </w:rPr>
        <w:t xml:space="preserve"> были обработаны с использованием методов математической статистики, что позволило выявить статистически значимые различия между группами.</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Для статистической обработки данных использовались следующие методы:</w:t>
      </w:r>
    </w:p>
    <w:p w:rsidR="00382DF1" w:rsidRPr="00382DF1" w:rsidRDefault="00382DF1" w:rsidP="00491170">
      <w:pPr>
        <w:numPr>
          <w:ilvl w:val="0"/>
          <w:numId w:val="27"/>
        </w:numPr>
        <w:tabs>
          <w:tab w:val="clear" w:pos="720"/>
          <w:tab w:val="num" w:pos="993"/>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Среднее арифметическое значений результатов тестирования</w:t>
      </w:r>
      <w:r w:rsidRPr="00382DF1">
        <w:rPr>
          <w:rFonts w:ascii="Times New Roman" w:hAnsi="Times New Roman" w:cs="Times New Roman"/>
          <w:color w:val="000000" w:themeColor="text1"/>
          <w:sz w:val="28"/>
          <w:szCs w:val="28"/>
        </w:rPr>
        <w:t>, позволяющее оценить общий уровень успеваемости в контрольной и экспериментальной группах.</w:t>
      </w:r>
    </w:p>
    <w:p w:rsidR="00382DF1" w:rsidRPr="00382DF1" w:rsidRDefault="00382DF1" w:rsidP="00491170">
      <w:pPr>
        <w:numPr>
          <w:ilvl w:val="0"/>
          <w:numId w:val="27"/>
        </w:numPr>
        <w:tabs>
          <w:tab w:val="clear" w:pos="720"/>
          <w:tab w:val="num" w:pos="993"/>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Дисперсионный анализ</w:t>
      </w:r>
      <w:r w:rsidRPr="00382DF1">
        <w:rPr>
          <w:rFonts w:ascii="Times New Roman" w:hAnsi="Times New Roman" w:cs="Times New Roman"/>
          <w:color w:val="000000" w:themeColor="text1"/>
          <w:sz w:val="28"/>
          <w:szCs w:val="28"/>
        </w:rPr>
        <w:t>, выявляющий различия между группами с учетом разброса индивидуальных показателей.</w:t>
      </w:r>
    </w:p>
    <w:p w:rsidR="00382DF1" w:rsidRPr="00382DF1" w:rsidRDefault="00382DF1" w:rsidP="00491170">
      <w:pPr>
        <w:numPr>
          <w:ilvl w:val="0"/>
          <w:numId w:val="27"/>
        </w:numPr>
        <w:tabs>
          <w:tab w:val="clear" w:pos="720"/>
          <w:tab w:val="num" w:pos="993"/>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Критерий Стьюдента</w:t>
      </w:r>
      <w:r w:rsidRPr="00382DF1">
        <w:rPr>
          <w:rFonts w:ascii="Times New Roman" w:hAnsi="Times New Roman" w:cs="Times New Roman"/>
          <w:color w:val="000000" w:themeColor="text1"/>
          <w:sz w:val="28"/>
          <w:szCs w:val="28"/>
        </w:rPr>
        <w:t>, применявшийся для проверки статистической значимости различий между средними значениями контрольной и экспериментальной групп.</w:t>
      </w:r>
    </w:p>
    <w:p w:rsidR="00382DF1" w:rsidRPr="00382DF1" w:rsidRDefault="00382DF1" w:rsidP="00491170">
      <w:pPr>
        <w:numPr>
          <w:ilvl w:val="0"/>
          <w:numId w:val="27"/>
        </w:numPr>
        <w:tabs>
          <w:tab w:val="clear" w:pos="720"/>
          <w:tab w:val="num" w:pos="993"/>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Корреляционный анализ</w:t>
      </w:r>
      <w:r w:rsidRPr="00382DF1">
        <w:rPr>
          <w:rFonts w:ascii="Times New Roman" w:hAnsi="Times New Roman" w:cs="Times New Roman"/>
          <w:color w:val="000000" w:themeColor="text1"/>
          <w:sz w:val="28"/>
          <w:szCs w:val="28"/>
        </w:rPr>
        <w:t>, который позволил установить связь между уровнем использования стохастико-игровых упражнений и динамикой изменений профессиональной направленности студентов.</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Результаты обработки данных показали, что </w:t>
      </w:r>
      <w:r w:rsidRPr="00382DF1">
        <w:rPr>
          <w:rStyle w:val="a5"/>
          <w:color w:val="000000" w:themeColor="text1"/>
          <w:sz w:val="28"/>
          <w:szCs w:val="28"/>
        </w:rPr>
        <w:t>экспериментальная группа продемонстрировала статистически значимое улучшение</w:t>
      </w:r>
      <w:r w:rsidRPr="00382DF1">
        <w:rPr>
          <w:color w:val="000000" w:themeColor="text1"/>
          <w:sz w:val="28"/>
          <w:szCs w:val="28"/>
        </w:rPr>
        <w:t xml:space="preserve"> по сравнению с контрольной группой по следующим показателям:</w:t>
      </w:r>
    </w:p>
    <w:p w:rsidR="00382DF1" w:rsidRPr="00382DF1" w:rsidRDefault="00382DF1" w:rsidP="00A14C56">
      <w:pPr>
        <w:numPr>
          <w:ilvl w:val="0"/>
          <w:numId w:val="28"/>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Средний балл тестирования</w:t>
      </w:r>
      <w:r w:rsidRPr="00382DF1">
        <w:rPr>
          <w:rFonts w:ascii="Times New Roman" w:hAnsi="Times New Roman" w:cs="Times New Roman"/>
          <w:color w:val="000000" w:themeColor="text1"/>
          <w:sz w:val="28"/>
          <w:szCs w:val="28"/>
        </w:rPr>
        <w:t xml:space="preserve"> у студентов экспериментальной группы оказался </w:t>
      </w:r>
      <w:r w:rsidRPr="00382DF1">
        <w:rPr>
          <w:rStyle w:val="a5"/>
          <w:rFonts w:ascii="Times New Roman" w:hAnsi="Times New Roman" w:cs="Times New Roman"/>
          <w:color w:val="000000" w:themeColor="text1"/>
          <w:sz w:val="28"/>
          <w:szCs w:val="28"/>
        </w:rPr>
        <w:t>на 12-15% выше</w:t>
      </w:r>
      <w:r w:rsidRPr="00382DF1">
        <w:rPr>
          <w:rFonts w:ascii="Times New Roman" w:hAnsi="Times New Roman" w:cs="Times New Roman"/>
          <w:color w:val="000000" w:themeColor="text1"/>
          <w:sz w:val="28"/>
          <w:szCs w:val="28"/>
        </w:rPr>
        <w:t>, чем у студентов контрольной группы.</w:t>
      </w:r>
    </w:p>
    <w:p w:rsidR="00382DF1" w:rsidRPr="00382DF1" w:rsidRDefault="00382DF1" w:rsidP="00A14C56">
      <w:pPr>
        <w:numPr>
          <w:ilvl w:val="0"/>
          <w:numId w:val="28"/>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Рост вовлеченности и мотивации</w:t>
      </w:r>
      <w:r w:rsidRPr="00382DF1">
        <w:rPr>
          <w:rFonts w:ascii="Times New Roman" w:hAnsi="Times New Roman" w:cs="Times New Roman"/>
          <w:color w:val="000000" w:themeColor="text1"/>
          <w:sz w:val="28"/>
          <w:szCs w:val="28"/>
        </w:rPr>
        <w:t xml:space="preserve"> к изучению дисциплины, выраженный в увеличении количества студентов, проявляющих активность на занятиях и выполняющих дополнительные задания.</w:t>
      </w:r>
    </w:p>
    <w:p w:rsidR="00382DF1" w:rsidRPr="00382DF1" w:rsidRDefault="00382DF1" w:rsidP="00A14C56">
      <w:pPr>
        <w:numPr>
          <w:ilvl w:val="0"/>
          <w:numId w:val="28"/>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Развитие профессионального мышления</w:t>
      </w:r>
      <w:r w:rsidRPr="00382DF1">
        <w:rPr>
          <w:rFonts w:ascii="Times New Roman" w:hAnsi="Times New Roman" w:cs="Times New Roman"/>
          <w:color w:val="000000" w:themeColor="text1"/>
          <w:sz w:val="28"/>
          <w:szCs w:val="28"/>
        </w:rPr>
        <w:t xml:space="preserve">: студенты, проходившие обучение с использованием стохастико-игровых упражнений, </w:t>
      </w:r>
      <w:r w:rsidRPr="00382DF1">
        <w:rPr>
          <w:rFonts w:ascii="Times New Roman" w:hAnsi="Times New Roman" w:cs="Times New Roman"/>
          <w:color w:val="000000" w:themeColor="text1"/>
          <w:sz w:val="28"/>
          <w:szCs w:val="28"/>
        </w:rPr>
        <w:lastRenderedPageBreak/>
        <w:t xml:space="preserve">демонстрировали </w:t>
      </w:r>
      <w:r w:rsidRPr="00382DF1">
        <w:rPr>
          <w:rStyle w:val="a5"/>
          <w:rFonts w:ascii="Times New Roman" w:hAnsi="Times New Roman" w:cs="Times New Roman"/>
          <w:color w:val="000000" w:themeColor="text1"/>
          <w:sz w:val="28"/>
          <w:szCs w:val="28"/>
        </w:rPr>
        <w:t>более высокий уровень осмысленного применения теоретических знаний</w:t>
      </w:r>
      <w:r w:rsidRPr="00382DF1">
        <w:rPr>
          <w:rFonts w:ascii="Times New Roman" w:hAnsi="Times New Roman" w:cs="Times New Roman"/>
          <w:color w:val="000000" w:themeColor="text1"/>
          <w:sz w:val="28"/>
          <w:szCs w:val="28"/>
        </w:rPr>
        <w:t xml:space="preserve"> в практических задачах.</w:t>
      </w:r>
    </w:p>
    <w:p w:rsidR="00382DF1" w:rsidRPr="00382DF1" w:rsidRDefault="00382DF1" w:rsidP="00A14C56">
      <w:pPr>
        <w:numPr>
          <w:ilvl w:val="0"/>
          <w:numId w:val="28"/>
        </w:numPr>
        <w:tabs>
          <w:tab w:val="clear" w:pos="720"/>
          <w:tab w:val="num" w:pos="851"/>
        </w:tabs>
        <w:spacing w:after="0" w:line="240" w:lineRule="auto"/>
        <w:ind w:left="0" w:firstLine="851"/>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В средней школе и кружках дополнительного образования</w:t>
      </w:r>
      <w:r w:rsidRPr="00382DF1">
        <w:rPr>
          <w:rFonts w:ascii="Times New Roman" w:hAnsi="Times New Roman" w:cs="Times New Roman"/>
          <w:color w:val="000000" w:themeColor="text1"/>
          <w:sz w:val="28"/>
          <w:szCs w:val="28"/>
        </w:rPr>
        <w:t xml:space="preserve"> учащиеся, участвовавшие в эксперименте, показали </w:t>
      </w:r>
      <w:r w:rsidRPr="00382DF1">
        <w:rPr>
          <w:rStyle w:val="a5"/>
          <w:rFonts w:ascii="Times New Roman" w:hAnsi="Times New Roman" w:cs="Times New Roman"/>
          <w:color w:val="000000" w:themeColor="text1"/>
          <w:sz w:val="28"/>
          <w:szCs w:val="28"/>
        </w:rPr>
        <w:t>более высокий уровень понимания вероятностных моделей</w:t>
      </w:r>
      <w:r w:rsidRPr="00382DF1">
        <w:rPr>
          <w:rFonts w:ascii="Times New Roman" w:hAnsi="Times New Roman" w:cs="Times New Roman"/>
          <w:color w:val="000000" w:themeColor="text1"/>
          <w:sz w:val="28"/>
          <w:szCs w:val="28"/>
        </w:rPr>
        <w:t xml:space="preserve">, а также </w:t>
      </w:r>
      <w:r w:rsidRPr="00382DF1">
        <w:rPr>
          <w:rStyle w:val="a5"/>
          <w:rFonts w:ascii="Times New Roman" w:hAnsi="Times New Roman" w:cs="Times New Roman"/>
          <w:color w:val="000000" w:themeColor="text1"/>
          <w:sz w:val="28"/>
          <w:szCs w:val="28"/>
        </w:rPr>
        <w:t>лучшие результаты в решении нестандартных задач</w:t>
      </w:r>
      <w:r w:rsidRPr="00382DF1">
        <w:rPr>
          <w:rFonts w:ascii="Times New Roman" w:hAnsi="Times New Roman" w:cs="Times New Roman"/>
          <w:color w:val="000000" w:themeColor="text1"/>
          <w:sz w:val="28"/>
          <w:szCs w:val="28"/>
        </w:rPr>
        <w:t xml:space="preserve"> по сравнению с их сверстниками из контрольной группы.</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Помимо количественных данных, был проведен </w:t>
      </w:r>
      <w:r w:rsidRPr="00382DF1">
        <w:rPr>
          <w:rStyle w:val="a5"/>
          <w:color w:val="000000" w:themeColor="text1"/>
          <w:sz w:val="28"/>
          <w:szCs w:val="28"/>
        </w:rPr>
        <w:t>качественный анализ</w:t>
      </w:r>
      <w:r w:rsidRPr="00382DF1">
        <w:rPr>
          <w:color w:val="000000" w:themeColor="text1"/>
          <w:sz w:val="28"/>
          <w:szCs w:val="28"/>
        </w:rPr>
        <w:t xml:space="preserve">, основанный на анкетировании и экспертных оценках преподавателей. Анализ отзывов показал, что преподаватели экспериментальной группы отметили </w:t>
      </w:r>
      <w:r w:rsidRPr="00382DF1">
        <w:rPr>
          <w:rStyle w:val="a5"/>
          <w:color w:val="000000" w:themeColor="text1"/>
          <w:sz w:val="28"/>
          <w:szCs w:val="28"/>
        </w:rPr>
        <w:t>повышение активности студентов</w:t>
      </w:r>
      <w:r w:rsidRPr="00382DF1">
        <w:rPr>
          <w:color w:val="000000" w:themeColor="text1"/>
          <w:sz w:val="28"/>
          <w:szCs w:val="28"/>
        </w:rPr>
        <w:t xml:space="preserve">, их </w:t>
      </w:r>
      <w:r w:rsidRPr="00382DF1">
        <w:rPr>
          <w:rStyle w:val="a5"/>
          <w:color w:val="000000" w:themeColor="text1"/>
          <w:sz w:val="28"/>
          <w:szCs w:val="28"/>
        </w:rPr>
        <w:t>более глубокое понимание дисциплины</w:t>
      </w:r>
      <w:r w:rsidRPr="00382DF1">
        <w:rPr>
          <w:color w:val="000000" w:themeColor="text1"/>
          <w:sz w:val="28"/>
          <w:szCs w:val="28"/>
        </w:rPr>
        <w:t xml:space="preserve"> и </w:t>
      </w:r>
      <w:r w:rsidRPr="00382DF1">
        <w:rPr>
          <w:rStyle w:val="a5"/>
          <w:color w:val="000000" w:themeColor="text1"/>
          <w:sz w:val="28"/>
          <w:szCs w:val="28"/>
        </w:rPr>
        <w:t>умение применять вероятностные методы в нестандартных ситуациях</w:t>
      </w:r>
      <w:r w:rsidRPr="00382DF1">
        <w:rPr>
          <w:color w:val="000000" w:themeColor="text1"/>
          <w:sz w:val="28"/>
          <w:szCs w:val="28"/>
        </w:rPr>
        <w:t>.</w:t>
      </w:r>
    </w:p>
    <w:p w:rsidR="00382DF1" w:rsidRPr="00382DF1" w:rsidRDefault="00382DF1" w:rsidP="00382DF1">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На основании проведенной статистической обработки данных и анализа результатов эксперимента были сделаны </w:t>
      </w:r>
      <w:r w:rsidRPr="00382DF1">
        <w:rPr>
          <w:rStyle w:val="a5"/>
          <w:color w:val="000000" w:themeColor="text1"/>
          <w:sz w:val="28"/>
          <w:szCs w:val="28"/>
        </w:rPr>
        <w:t>выводы о целесообразности внедрения стохастико-игровых упражнений</w:t>
      </w:r>
      <w:r w:rsidRPr="00382DF1">
        <w:rPr>
          <w:color w:val="000000" w:themeColor="text1"/>
          <w:sz w:val="28"/>
          <w:szCs w:val="28"/>
        </w:rPr>
        <w:t xml:space="preserve"> в образовательный процесс. Полученные результаты подтвердили, что применение данного метода </w:t>
      </w:r>
      <w:r w:rsidRPr="00382DF1">
        <w:rPr>
          <w:rStyle w:val="a5"/>
          <w:color w:val="000000" w:themeColor="text1"/>
          <w:sz w:val="28"/>
          <w:szCs w:val="28"/>
        </w:rPr>
        <w:t>значительно повышает уровень профессиональной направленности студентов</w:t>
      </w:r>
      <w:r w:rsidRPr="00382DF1">
        <w:rPr>
          <w:color w:val="000000" w:themeColor="text1"/>
          <w:sz w:val="28"/>
          <w:szCs w:val="28"/>
        </w:rPr>
        <w:t>, делает обучение более увлекательным и эффективным, способствует лучшему усвоению материала и развитию аналитического мышления.</w:t>
      </w:r>
    </w:p>
    <w:p w:rsidR="00382DF1" w:rsidRPr="00382DF1" w:rsidRDefault="00382DF1" w:rsidP="00491170">
      <w:pPr>
        <w:pStyle w:val="a4"/>
        <w:spacing w:before="0" w:beforeAutospacing="0" w:after="0" w:afterAutospacing="0"/>
        <w:ind w:firstLine="851"/>
        <w:jc w:val="both"/>
        <w:rPr>
          <w:color w:val="000000" w:themeColor="text1"/>
          <w:sz w:val="28"/>
          <w:szCs w:val="28"/>
        </w:rPr>
      </w:pPr>
      <w:r w:rsidRPr="00382DF1">
        <w:rPr>
          <w:color w:val="000000" w:themeColor="text1"/>
          <w:sz w:val="28"/>
          <w:szCs w:val="28"/>
        </w:rPr>
        <w:t xml:space="preserve">Контрольный этап эксперимента завершился формулированием </w:t>
      </w:r>
      <w:r w:rsidRPr="00382DF1">
        <w:rPr>
          <w:rStyle w:val="a5"/>
          <w:color w:val="000000" w:themeColor="text1"/>
          <w:sz w:val="28"/>
          <w:szCs w:val="28"/>
        </w:rPr>
        <w:t>рекомендаций по внедрению стохастико-игровых упражнений в учебные программы</w:t>
      </w:r>
      <w:r w:rsidRPr="00382DF1">
        <w:rPr>
          <w:color w:val="000000" w:themeColor="text1"/>
          <w:sz w:val="28"/>
          <w:szCs w:val="28"/>
        </w:rPr>
        <w:t xml:space="preserve"> математических дисциплин, что стало основой для разработки предложений по совершенствованию методологии профессиональной подготовки студентов.</w:t>
      </w:r>
    </w:p>
    <w:p w:rsidR="00382DF1" w:rsidRPr="00382DF1" w:rsidRDefault="00382DF1" w:rsidP="00491170">
      <w:pPr>
        <w:spacing w:after="0" w:line="240" w:lineRule="auto"/>
        <w:ind w:firstLine="851"/>
        <w:jc w:val="both"/>
        <w:rPr>
          <w:rFonts w:ascii="Times New Roman" w:hAnsi="Times New Roman" w:cs="Times New Roman"/>
          <w:color w:val="000000" w:themeColor="text1"/>
          <w:sz w:val="28"/>
          <w:szCs w:val="28"/>
        </w:rPr>
      </w:pPr>
    </w:p>
    <w:p w:rsidR="00382DF1" w:rsidRPr="00491170" w:rsidRDefault="00382DF1" w:rsidP="00491170">
      <w:pPr>
        <w:pStyle w:val="a4"/>
        <w:spacing w:before="0" w:beforeAutospacing="0" w:after="0" w:afterAutospacing="0"/>
        <w:jc w:val="both"/>
        <w:rPr>
          <w:b/>
          <w:color w:val="000000" w:themeColor="text1"/>
          <w:sz w:val="28"/>
          <w:szCs w:val="28"/>
        </w:rPr>
      </w:pPr>
      <w:r w:rsidRPr="00491170">
        <w:rPr>
          <w:b/>
          <w:color w:val="000000" w:themeColor="text1"/>
          <w:sz w:val="28"/>
          <w:szCs w:val="28"/>
        </w:rPr>
        <w:t>3.2. Анализ результатов эксперимента: эффективность стохастико-игровых упражнений в развитии профессиональной направленности.</w:t>
      </w:r>
    </w:p>
    <w:p w:rsidR="00491170" w:rsidRDefault="00491170" w:rsidP="00491170">
      <w:pPr>
        <w:pStyle w:val="a4"/>
        <w:spacing w:before="0" w:beforeAutospacing="0" w:after="0" w:afterAutospacing="0"/>
        <w:jc w:val="both"/>
        <w:rPr>
          <w:color w:val="000000" w:themeColor="text1"/>
          <w:sz w:val="28"/>
          <w:szCs w:val="28"/>
        </w:rPr>
      </w:pPr>
    </w:p>
    <w:p w:rsidR="00382DF1" w:rsidRPr="00382DF1" w:rsidRDefault="00382DF1" w:rsidP="00491170">
      <w:pPr>
        <w:pStyle w:val="a4"/>
        <w:spacing w:before="0" w:beforeAutospacing="0" w:after="0" w:afterAutospacing="0"/>
        <w:jc w:val="both"/>
        <w:rPr>
          <w:color w:val="000000" w:themeColor="text1"/>
          <w:sz w:val="28"/>
          <w:szCs w:val="28"/>
        </w:rPr>
      </w:pPr>
      <w:r w:rsidRPr="00382DF1">
        <w:rPr>
          <w:color w:val="000000" w:themeColor="text1"/>
          <w:sz w:val="28"/>
          <w:szCs w:val="28"/>
        </w:rPr>
        <w:t>Анкетирование проводилось с целью выявления отношения педагогов, учителей, магистрантов и докторантов к использованию стохастико-игровых упражнений в образовательном процессе, а также для диагностики их представлений о методологии формирования профессиональной направленности учащихся и студентов.</w:t>
      </w:r>
    </w:p>
    <w:p w:rsidR="00382DF1" w:rsidRPr="00382DF1" w:rsidRDefault="00382DF1" w:rsidP="00491170">
      <w:pPr>
        <w:pStyle w:val="a4"/>
        <w:spacing w:before="0" w:beforeAutospacing="0" w:after="0" w:afterAutospacing="0"/>
        <w:jc w:val="both"/>
        <w:rPr>
          <w:color w:val="000000" w:themeColor="text1"/>
          <w:sz w:val="28"/>
          <w:szCs w:val="28"/>
        </w:rPr>
      </w:pPr>
      <w:r w:rsidRPr="00382DF1">
        <w:rPr>
          <w:color w:val="000000" w:themeColor="text1"/>
          <w:sz w:val="28"/>
          <w:szCs w:val="28"/>
        </w:rPr>
        <w:t xml:space="preserve">В анкетировании приняли участие </w:t>
      </w:r>
      <w:r w:rsidR="00EC50E9">
        <w:rPr>
          <w:rStyle w:val="a5"/>
          <w:color w:val="000000" w:themeColor="text1"/>
          <w:sz w:val="28"/>
          <w:szCs w:val="28"/>
        </w:rPr>
        <w:t>8</w:t>
      </w:r>
      <w:r w:rsidRPr="00382DF1">
        <w:rPr>
          <w:rStyle w:val="a5"/>
          <w:color w:val="000000" w:themeColor="text1"/>
          <w:sz w:val="28"/>
          <w:szCs w:val="28"/>
        </w:rPr>
        <w:t>0 человек</w:t>
      </w:r>
      <w:r w:rsidRPr="00382DF1">
        <w:rPr>
          <w:color w:val="000000" w:themeColor="text1"/>
          <w:sz w:val="28"/>
          <w:szCs w:val="28"/>
        </w:rPr>
        <w:t>, среди которых:</w:t>
      </w:r>
    </w:p>
    <w:p w:rsidR="00382DF1" w:rsidRPr="00382DF1" w:rsidRDefault="00382DF1" w:rsidP="00491170">
      <w:pPr>
        <w:numPr>
          <w:ilvl w:val="0"/>
          <w:numId w:val="29"/>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20 учителей</w:t>
      </w:r>
      <w:r w:rsidRPr="00382DF1">
        <w:rPr>
          <w:rFonts w:ascii="Times New Roman" w:hAnsi="Times New Roman" w:cs="Times New Roman"/>
          <w:color w:val="000000" w:themeColor="text1"/>
          <w:sz w:val="28"/>
          <w:szCs w:val="28"/>
        </w:rPr>
        <w:t>, работающих в школах и гимназиях, имеющих опыт преподавания математических и естественно-научных дисциплин;</w:t>
      </w:r>
    </w:p>
    <w:p w:rsidR="00382DF1" w:rsidRDefault="00382DF1" w:rsidP="00491170">
      <w:pPr>
        <w:numPr>
          <w:ilvl w:val="0"/>
          <w:numId w:val="29"/>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10 педагогов дополнительного образования</w:t>
      </w:r>
      <w:r w:rsidRPr="00382DF1">
        <w:rPr>
          <w:rFonts w:ascii="Times New Roman" w:hAnsi="Times New Roman" w:cs="Times New Roman"/>
          <w:color w:val="000000" w:themeColor="text1"/>
          <w:sz w:val="28"/>
          <w:szCs w:val="28"/>
        </w:rPr>
        <w:t>, занимающихся развитием математического и технического творчества школьников в учреждениях дополнительного образования;</w:t>
      </w:r>
    </w:p>
    <w:p w:rsidR="00EC50E9" w:rsidRPr="00EC50E9" w:rsidRDefault="00EC50E9" w:rsidP="00A14C56">
      <w:pPr>
        <w:numPr>
          <w:ilvl w:val="0"/>
          <w:numId w:val="29"/>
        </w:numPr>
        <w:spacing w:after="0" w:line="240" w:lineRule="auto"/>
        <w:jc w:val="both"/>
        <w:rPr>
          <w:rStyle w:val="a5"/>
          <w:rFonts w:ascii="Times New Roman" w:hAnsi="Times New Roman" w:cs="Times New Roman"/>
          <w:b w:val="0"/>
          <w:bCs w:val="0"/>
          <w:color w:val="000000" w:themeColor="text1"/>
          <w:sz w:val="28"/>
          <w:szCs w:val="28"/>
        </w:rPr>
      </w:pPr>
      <w:r>
        <w:rPr>
          <w:rStyle w:val="a5"/>
          <w:rFonts w:ascii="Times New Roman" w:hAnsi="Times New Roman" w:cs="Times New Roman"/>
          <w:color w:val="000000" w:themeColor="text1"/>
          <w:sz w:val="28"/>
          <w:szCs w:val="28"/>
        </w:rPr>
        <w:t>20 студентов,</w:t>
      </w:r>
      <w:r w:rsidRPr="00382DF1">
        <w:rPr>
          <w:rStyle w:val="a5"/>
          <w:rFonts w:ascii="Times New Roman" w:hAnsi="Times New Roman" w:cs="Times New Roman"/>
          <w:color w:val="000000" w:themeColor="text1"/>
          <w:sz w:val="28"/>
          <w:szCs w:val="28"/>
        </w:rPr>
        <w:t xml:space="preserve"> </w:t>
      </w:r>
      <w:r w:rsidRPr="00382DF1">
        <w:rPr>
          <w:rFonts w:ascii="Times New Roman" w:hAnsi="Times New Roman" w:cs="Times New Roman"/>
          <w:color w:val="000000" w:themeColor="text1"/>
          <w:sz w:val="28"/>
          <w:szCs w:val="28"/>
        </w:rPr>
        <w:t>обучающихся в педагогических вузах и проходящих педагогическую практику;</w:t>
      </w:r>
      <w:r>
        <w:rPr>
          <w:rStyle w:val="a5"/>
          <w:rFonts w:ascii="Times New Roman" w:hAnsi="Times New Roman" w:cs="Times New Roman"/>
          <w:color w:val="000000" w:themeColor="text1"/>
          <w:sz w:val="28"/>
          <w:szCs w:val="28"/>
        </w:rPr>
        <w:t xml:space="preserve"> </w:t>
      </w:r>
    </w:p>
    <w:p w:rsidR="00382DF1" w:rsidRPr="00382DF1" w:rsidRDefault="00382DF1" w:rsidP="00EC50E9">
      <w:pPr>
        <w:numPr>
          <w:ilvl w:val="0"/>
          <w:numId w:val="29"/>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16 магистрантов</w:t>
      </w:r>
      <w:r w:rsidRPr="00382DF1">
        <w:rPr>
          <w:rFonts w:ascii="Times New Roman" w:hAnsi="Times New Roman" w:cs="Times New Roman"/>
          <w:color w:val="000000" w:themeColor="text1"/>
          <w:sz w:val="28"/>
          <w:szCs w:val="28"/>
        </w:rPr>
        <w:t xml:space="preserve">, </w:t>
      </w:r>
      <w:r w:rsidR="00EC50E9" w:rsidRPr="00382DF1">
        <w:rPr>
          <w:rFonts w:ascii="Times New Roman" w:hAnsi="Times New Roman" w:cs="Times New Roman"/>
          <w:color w:val="000000" w:themeColor="text1"/>
          <w:sz w:val="28"/>
          <w:szCs w:val="28"/>
        </w:rPr>
        <w:t>обучающихся в педагогических вузах</w:t>
      </w:r>
      <w:r w:rsidR="00EC50E9">
        <w:rPr>
          <w:rFonts w:ascii="Times New Roman" w:hAnsi="Times New Roman" w:cs="Times New Roman"/>
          <w:color w:val="000000" w:themeColor="text1"/>
          <w:sz w:val="28"/>
          <w:szCs w:val="28"/>
        </w:rPr>
        <w:t xml:space="preserve"> и имеющих опыт работы в учебных заведениях;</w:t>
      </w:r>
    </w:p>
    <w:p w:rsidR="00743547" w:rsidRPr="00743547" w:rsidRDefault="00382DF1" w:rsidP="00743547">
      <w:pPr>
        <w:numPr>
          <w:ilvl w:val="0"/>
          <w:numId w:val="29"/>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lastRenderedPageBreak/>
        <w:t>14 докторантов</w:t>
      </w:r>
      <w:r w:rsidRPr="00382DF1">
        <w:rPr>
          <w:rFonts w:ascii="Times New Roman" w:hAnsi="Times New Roman" w:cs="Times New Roman"/>
          <w:color w:val="000000" w:themeColor="text1"/>
          <w:sz w:val="28"/>
          <w:szCs w:val="28"/>
        </w:rPr>
        <w:t>, специализирующихся на исследованиях в области педагогики, методологии профессионального обучения и образовательных технологий.</w:t>
      </w:r>
    </w:p>
    <w:p w:rsidR="00382DF1" w:rsidRPr="00382DF1" w:rsidRDefault="00382DF1" w:rsidP="00382DF1">
      <w:pPr>
        <w:pStyle w:val="a4"/>
        <w:spacing w:before="0" w:beforeAutospacing="0" w:after="0" w:afterAutospacing="0"/>
        <w:jc w:val="both"/>
        <w:rPr>
          <w:color w:val="000000" w:themeColor="text1"/>
          <w:sz w:val="28"/>
          <w:szCs w:val="28"/>
        </w:rPr>
      </w:pPr>
      <w:r w:rsidRPr="00382DF1">
        <w:rPr>
          <w:color w:val="000000" w:themeColor="text1"/>
          <w:sz w:val="28"/>
          <w:szCs w:val="28"/>
        </w:rPr>
        <w:t>Анкета включала вопросы, направленные на диагностику:</w:t>
      </w:r>
    </w:p>
    <w:p w:rsidR="00382DF1" w:rsidRPr="00382DF1" w:rsidRDefault="00382DF1" w:rsidP="00743547">
      <w:pPr>
        <w:numPr>
          <w:ilvl w:val="0"/>
          <w:numId w:val="3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Уровня осведомленности респондентов о стохастико-игровых методах.</w:t>
      </w:r>
    </w:p>
    <w:p w:rsidR="00382DF1" w:rsidRPr="00382DF1" w:rsidRDefault="00382DF1" w:rsidP="00743547">
      <w:pPr>
        <w:numPr>
          <w:ilvl w:val="0"/>
          <w:numId w:val="3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Оценки их эффективности для формирования профессиональной направленности.</w:t>
      </w:r>
    </w:p>
    <w:p w:rsidR="00382DF1" w:rsidRPr="00382DF1" w:rsidRDefault="00382DF1" w:rsidP="00743547">
      <w:pPr>
        <w:numPr>
          <w:ilvl w:val="0"/>
          <w:numId w:val="3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Готовности респондентов к внедрению данных методов в свою практику.</w:t>
      </w:r>
    </w:p>
    <w:p w:rsidR="00382DF1" w:rsidRPr="00382DF1" w:rsidRDefault="00382DF1" w:rsidP="00743547">
      <w:pPr>
        <w:numPr>
          <w:ilvl w:val="0"/>
          <w:numId w:val="3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Препятствий и барьеров, которые могут возникнуть при интеграции игровых упражнений в образовательный процесс.</w:t>
      </w:r>
    </w:p>
    <w:p w:rsidR="00382DF1" w:rsidRPr="00382DF1" w:rsidRDefault="00382DF1" w:rsidP="00743547">
      <w:pPr>
        <w:numPr>
          <w:ilvl w:val="0"/>
          <w:numId w:val="3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Оценки традиционных и инновационных подходов к формированию профессиональной направленности учащихся и студентов.</w:t>
      </w:r>
    </w:p>
    <w:p w:rsidR="00382DF1" w:rsidRPr="00382DF1" w:rsidRDefault="00382DF1" w:rsidP="00743547">
      <w:pPr>
        <w:spacing w:after="0" w:line="240" w:lineRule="auto"/>
        <w:ind w:left="720"/>
        <w:jc w:val="both"/>
        <w:rPr>
          <w:rFonts w:ascii="Times New Roman" w:hAnsi="Times New Roman" w:cs="Times New Roman"/>
          <w:color w:val="000000" w:themeColor="text1"/>
          <w:sz w:val="28"/>
          <w:szCs w:val="28"/>
        </w:rPr>
      </w:pPr>
    </w:p>
    <w:tbl>
      <w:tblPr>
        <w:tblStyle w:val="a3"/>
        <w:tblW w:w="9358" w:type="dxa"/>
        <w:tblInd w:w="250" w:type="dxa"/>
        <w:tblLook w:val="04A0" w:firstRow="1" w:lastRow="0" w:firstColumn="1" w:lastColumn="0" w:noHBand="0" w:noVBand="1"/>
      </w:tblPr>
      <w:tblGrid>
        <w:gridCol w:w="675"/>
        <w:gridCol w:w="2531"/>
        <w:gridCol w:w="2848"/>
        <w:gridCol w:w="1645"/>
        <w:gridCol w:w="1659"/>
      </w:tblGrid>
      <w:tr w:rsidR="00382DF1" w:rsidRPr="00382DF1" w:rsidTr="00382DF1">
        <w:tc>
          <w:tcPr>
            <w:tcW w:w="67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w:t>
            </w:r>
          </w:p>
        </w:tc>
        <w:tc>
          <w:tcPr>
            <w:tcW w:w="2531"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Вопрос</w:t>
            </w:r>
          </w:p>
        </w:tc>
        <w:tc>
          <w:tcPr>
            <w:tcW w:w="2848"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Ответ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Количество человек ответивших на вопрос</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Процентное содержание</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1</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Ваша должность</w:t>
            </w:r>
          </w:p>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Учитель</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Педагог дополнительного образования</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17%</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Магистрант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16</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27%</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Докторант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14</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23%</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2</w:t>
            </w:r>
          </w:p>
        </w:tc>
        <w:tc>
          <w:tcPr>
            <w:tcW w:w="2531"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Ваш педагогический стаж</w:t>
            </w: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Менее 1 года</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1–5 лет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12</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6–10 лет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22</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37%</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Более 10 лет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6</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10%</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3</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В каком типе образовательного учреждения вы работаете (или проходили практику)?</w:t>
            </w: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Школа</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38</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63%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Колледж</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6</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Университет</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6</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Учреждение дополнительного образования</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17%</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4</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Насколько, по вашему мнению, важно формировать профессиональную направленность у учащихся (студентов) уже в процессе обучения?</w:t>
            </w: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Очень важно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48</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Скорее важно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12</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Скорее не важно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 важно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5</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Используете ли вы </w:t>
            </w:r>
            <w:r w:rsidRPr="00382DF1">
              <w:rPr>
                <w:rFonts w:ascii="Times New Roman" w:hAnsi="Times New Roman" w:cs="Times New Roman"/>
                <w:color w:val="000000" w:themeColor="text1"/>
                <w:sz w:val="28"/>
                <w:szCs w:val="28"/>
              </w:rPr>
              <w:lastRenderedPageBreak/>
              <w:t>в своей практике профессионально направленные задачи?</w:t>
            </w: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lastRenderedPageBreak/>
              <w:t>Регулярно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17%</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Иногда</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27</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45%</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Редко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 использую</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6</w:t>
            </w:r>
          </w:p>
        </w:tc>
        <w:tc>
          <w:tcPr>
            <w:tcW w:w="2531"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Знакомы ли вы с концепцией стохастико-игровых упражнений?</w:t>
            </w: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Да, использую в работе</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Да, но не применяю</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Слышал(а), но плохо представляю</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35</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58%</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Нет, впервые узнал(а) из этой анкеты</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14</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24%</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7</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Какие, на ваш взгляд, преимущества могут дать стохастико-игровые упражнения в обучении? (можно выбрать несколько вариантов)</w:t>
            </w:r>
          </w:p>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Повышение мотивации учащихся</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Улучшение понимания теоретического материала</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26</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Развитие навыков принятия решений в условиях неопределенности</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29</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48%</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Формирование аналитического и критического мышления</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55</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92%</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Развитие командной работы и коммуникации</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45</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75%</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 вижу преимуществ</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8</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С какими трудностями, по вашему мнению, можно столкнуться при внедрении стохастико-игровых упражнений? (можно выбрать несколько вариантов)</w:t>
            </w:r>
          </w:p>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Недостаток времени в учебном плане</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Сложность подготовки таких заданий</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51</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85%</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Недостаток методических материалов</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53</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88%</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Низкая подготовленность учащихся к такому формату</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53</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88%</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Отсутствие опыта у преподавателей</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45</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75%</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 вижу трудностей</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9</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Какие методы, на ваш взгляд, наиболее эффективны для формирования профессиональной направленности учащихся? (можно выбрать несколько вариантов)</w:t>
            </w:r>
          </w:p>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Лекции и семинары с акцентом на профессиональные аспекты</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44</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73%</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Решение практических задач, связанных с будущей профессией</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58</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97%</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Проектная и исследовательская деятельность</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49</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82%</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Моделирование профессиональных ситуаций через игровые упражнения</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46</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77%</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Практика и стажировки</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33</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55%</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Другое (укажите):</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r>
      <w:tr w:rsidR="00382DF1" w:rsidRPr="00382DF1" w:rsidTr="00382DF1">
        <w:tc>
          <w:tcPr>
            <w:tcW w:w="675" w:type="dxa"/>
            <w:vMerge w:val="restart"/>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10</w:t>
            </w:r>
          </w:p>
        </w:tc>
        <w:tc>
          <w:tcPr>
            <w:tcW w:w="2531" w:type="dxa"/>
            <w:vMerge w:val="restart"/>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Готовы ли вы внедрять стохастико-игровые упражнения в свою практику, если получите методические рекомендации и поддержку?</w:t>
            </w:r>
          </w:p>
        </w:tc>
        <w:tc>
          <w:tcPr>
            <w:tcW w:w="2848" w:type="dxa"/>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Да, обязательно</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47</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88%</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Скорее да, но нужна дополнительная подготовка</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13</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22%</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Скорее нет, сомневаюсь в их эффективности</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r>
      <w:tr w:rsidR="00382DF1" w:rsidRPr="00382DF1" w:rsidTr="00382DF1">
        <w:tc>
          <w:tcPr>
            <w:tcW w:w="675"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531" w:type="dxa"/>
            <w:vMerge/>
          </w:tcPr>
          <w:p w:rsidR="00382DF1" w:rsidRPr="00382DF1" w:rsidRDefault="00382DF1" w:rsidP="00743547">
            <w:pPr>
              <w:pStyle w:val="a4"/>
              <w:spacing w:before="0" w:beforeAutospacing="0" w:after="0" w:afterAutospacing="0"/>
              <w:rPr>
                <w:color w:val="000000" w:themeColor="text1"/>
                <w:sz w:val="28"/>
                <w:szCs w:val="28"/>
              </w:rPr>
            </w:pPr>
          </w:p>
        </w:tc>
        <w:tc>
          <w:tcPr>
            <w:tcW w:w="2848" w:type="dxa"/>
          </w:tcPr>
          <w:p w:rsidR="00382DF1" w:rsidRPr="00382DF1" w:rsidRDefault="00382DF1" w:rsidP="00743547">
            <w:pPr>
              <w:pStyle w:val="a4"/>
              <w:spacing w:before="0" w:beforeAutospacing="0" w:after="0" w:afterAutospacing="0"/>
              <w:rPr>
                <w:color w:val="000000" w:themeColor="text1"/>
                <w:sz w:val="28"/>
                <w:szCs w:val="28"/>
              </w:rPr>
            </w:pPr>
            <w:r w:rsidRPr="00382DF1">
              <w:rPr>
                <w:color w:val="000000" w:themeColor="text1"/>
                <w:sz w:val="28"/>
                <w:szCs w:val="28"/>
              </w:rPr>
              <w:t>Нет, считаю этот метод нецелесообразным</w:t>
            </w:r>
          </w:p>
        </w:tc>
        <w:tc>
          <w:tcPr>
            <w:tcW w:w="1645"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c>
          <w:tcPr>
            <w:tcW w:w="1659" w:type="dxa"/>
          </w:tcPr>
          <w:p w:rsidR="00382DF1" w:rsidRPr="00382DF1" w:rsidRDefault="00382DF1" w:rsidP="00743547">
            <w:pPr>
              <w:pStyle w:val="a4"/>
              <w:spacing w:before="0" w:beforeAutospacing="0" w:after="0" w:afterAutospacing="0"/>
              <w:jc w:val="center"/>
              <w:rPr>
                <w:color w:val="000000" w:themeColor="text1"/>
                <w:sz w:val="28"/>
                <w:szCs w:val="28"/>
              </w:rPr>
            </w:pPr>
            <w:r w:rsidRPr="00382DF1">
              <w:rPr>
                <w:color w:val="000000" w:themeColor="text1"/>
                <w:sz w:val="28"/>
                <w:szCs w:val="28"/>
              </w:rPr>
              <w:t>0%</w:t>
            </w:r>
          </w:p>
        </w:tc>
      </w:tr>
    </w:tbl>
    <w:p w:rsidR="00382DF1" w:rsidRPr="00382DF1" w:rsidRDefault="00382DF1" w:rsidP="00743547">
      <w:pPr>
        <w:pStyle w:val="a4"/>
        <w:spacing w:before="0" w:beforeAutospacing="0" w:after="0" w:afterAutospacing="0"/>
        <w:jc w:val="both"/>
        <w:rPr>
          <w:color w:val="000000" w:themeColor="text1"/>
          <w:sz w:val="28"/>
          <w:szCs w:val="28"/>
        </w:rPr>
      </w:pPr>
    </w:p>
    <w:p w:rsidR="00382DF1" w:rsidRPr="00382DF1" w:rsidRDefault="00382DF1" w:rsidP="00743547">
      <w:pPr>
        <w:pStyle w:val="a4"/>
        <w:spacing w:before="0" w:beforeAutospacing="0" w:after="0" w:afterAutospacing="0"/>
        <w:jc w:val="both"/>
        <w:rPr>
          <w:color w:val="000000" w:themeColor="text1"/>
          <w:sz w:val="28"/>
          <w:szCs w:val="28"/>
        </w:rPr>
      </w:pPr>
      <w:r w:rsidRPr="00382DF1">
        <w:rPr>
          <w:color w:val="000000" w:themeColor="text1"/>
          <w:sz w:val="28"/>
          <w:szCs w:val="28"/>
        </w:rPr>
        <w:t>Результаты анкетирования позволили выявить общие тенденции и уровень восприятия стохастико-игровых упражнений среди педагогов, что в дальнейшем использовалось при разработке методических рекомендаций и оценке эффективности внедрения данной технологии в учебный процесс.</w:t>
      </w:r>
    </w:p>
    <w:p w:rsidR="00382DF1" w:rsidRPr="00382DF1" w:rsidRDefault="00382DF1" w:rsidP="00743547">
      <w:pPr>
        <w:spacing w:after="0" w:line="240" w:lineRule="auto"/>
        <w:jc w:val="both"/>
        <w:rPr>
          <w:rFonts w:ascii="Times New Roman" w:hAnsi="Times New Roman" w:cs="Times New Roman"/>
          <w:color w:val="000000" w:themeColor="text1"/>
          <w:sz w:val="28"/>
          <w:szCs w:val="28"/>
        </w:rPr>
      </w:pPr>
    </w:p>
    <w:p w:rsidR="00382DF1" w:rsidRPr="00382DF1" w:rsidRDefault="00382DF1" w:rsidP="00743547">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lastRenderedPageBreak/>
        <w:drawing>
          <wp:inline distT="0" distB="0" distL="0" distR="0" wp14:anchorId="3F4651E8" wp14:editId="07C10102">
            <wp:extent cx="6126480" cy="2301240"/>
            <wp:effectExtent l="0" t="0" r="762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2DF1" w:rsidRPr="00186925" w:rsidRDefault="00382DF1" w:rsidP="00743547">
      <w:pPr>
        <w:spacing w:after="0" w:line="240" w:lineRule="auto"/>
        <w:jc w:val="both"/>
        <w:rPr>
          <w:rFonts w:ascii="Times New Roman" w:hAnsi="Times New Roman" w:cs="Times New Roman"/>
          <w:color w:val="000000" w:themeColor="text1"/>
          <w:sz w:val="28"/>
          <w:szCs w:val="28"/>
          <w:lang w:val="kk-KZ"/>
        </w:rPr>
      </w:pPr>
      <w:r w:rsidRPr="00382DF1">
        <w:rPr>
          <w:rFonts w:ascii="Times New Roman" w:hAnsi="Times New Roman" w:cs="Times New Roman"/>
          <w:noProof/>
          <w:color w:val="000000" w:themeColor="text1"/>
          <w:sz w:val="28"/>
          <w:szCs w:val="28"/>
          <w:lang w:eastAsia="ru-RU"/>
        </w:rPr>
        <w:drawing>
          <wp:inline distT="0" distB="0" distL="0" distR="0" wp14:anchorId="12506765" wp14:editId="319B53FA">
            <wp:extent cx="6126480" cy="2141220"/>
            <wp:effectExtent l="0" t="0" r="762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2DF1" w:rsidRPr="00382DF1" w:rsidRDefault="00382DF1" w:rsidP="00743547">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drawing>
          <wp:inline distT="0" distB="0" distL="0" distR="0" wp14:anchorId="2EF15FD5" wp14:editId="7CF64930">
            <wp:extent cx="6126480" cy="2346960"/>
            <wp:effectExtent l="0" t="0" r="762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2DF1" w:rsidRPr="00382DF1" w:rsidRDefault="00382DF1" w:rsidP="00743547">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lastRenderedPageBreak/>
        <w:drawing>
          <wp:inline distT="0" distB="0" distL="0" distR="0" wp14:anchorId="0F62BC56" wp14:editId="59DFF97F">
            <wp:extent cx="6088380" cy="2796540"/>
            <wp:effectExtent l="0" t="0" r="7620" b="38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2DF1" w:rsidRPr="00382DF1" w:rsidRDefault="00382DF1" w:rsidP="00743547">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drawing>
          <wp:inline distT="0" distB="0" distL="0" distR="0" wp14:anchorId="00735734" wp14:editId="63E5261A">
            <wp:extent cx="6088380" cy="2887980"/>
            <wp:effectExtent l="0" t="0" r="762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2DF1" w:rsidRPr="00382DF1" w:rsidRDefault="00382DF1" w:rsidP="00743547">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drawing>
          <wp:inline distT="0" distB="0" distL="0" distR="0" wp14:anchorId="68F3A6D5" wp14:editId="66543A8E">
            <wp:extent cx="6126480" cy="2727960"/>
            <wp:effectExtent l="0" t="0" r="762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2DF1" w:rsidRPr="00382DF1" w:rsidRDefault="00382DF1" w:rsidP="00EE5C5B">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lastRenderedPageBreak/>
        <w:drawing>
          <wp:inline distT="0" distB="0" distL="0" distR="0" wp14:anchorId="4857391F" wp14:editId="55372471">
            <wp:extent cx="6126480" cy="2575560"/>
            <wp:effectExtent l="0" t="0" r="762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2DF1" w:rsidRPr="00382DF1" w:rsidRDefault="00382DF1" w:rsidP="00EE5C5B">
      <w:pPr>
        <w:spacing w:after="0" w:line="240" w:lineRule="auto"/>
        <w:jc w:val="both"/>
        <w:rPr>
          <w:rFonts w:ascii="Times New Roman" w:hAnsi="Times New Roman" w:cs="Times New Roman"/>
          <w:color w:val="000000" w:themeColor="text1"/>
          <w:sz w:val="28"/>
          <w:szCs w:val="28"/>
        </w:rPr>
      </w:pPr>
    </w:p>
    <w:p w:rsidR="00AE6D28" w:rsidRPr="00AE6D28" w:rsidRDefault="00AE6D28" w:rsidP="00EE5C5B">
      <w:p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В анкете для студентов рассматривались следующие вопросы:</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Уровень математической подготовки студентов.</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Основные трудности при изучении дисциплины.</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Предпочтительные форматы обучения.</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Уверенность в решении задач.</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Важность дисциплины для будущей профессии.</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Роль теории вероятностей и статистики в педагогической деятельности.</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Опыт работы с профессионально ориентированными задачами.</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Полезные типы профессионально направленных задач.</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Возможные изменения для повышения интереса к дисциплине.</w:t>
      </w:r>
    </w:p>
    <w:p w:rsidR="00AE6D28" w:rsidRPr="00AE6D28" w:rsidRDefault="00AE6D28" w:rsidP="00EE5C5B">
      <w:pPr>
        <w:numPr>
          <w:ilvl w:val="0"/>
          <w:numId w:val="97"/>
        </w:numPr>
        <w:spacing w:after="0" w:line="240" w:lineRule="auto"/>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Пожелания студентов по улучшению курса.</w:t>
      </w:r>
    </w:p>
    <w:p w:rsidR="00EC50E9" w:rsidRPr="00AE6D28" w:rsidRDefault="00EC50E9" w:rsidP="00EE5C5B">
      <w:pPr>
        <w:pStyle w:val="a4"/>
        <w:spacing w:before="0" w:beforeAutospacing="0" w:after="0" w:afterAutospacing="0"/>
        <w:jc w:val="both"/>
        <w:rPr>
          <w:color w:val="000000" w:themeColor="text1"/>
          <w:sz w:val="28"/>
          <w:szCs w:val="28"/>
        </w:rPr>
      </w:pPr>
    </w:p>
    <w:p w:rsidR="0094456B" w:rsidRPr="0094456B" w:rsidRDefault="0094456B" w:rsidP="00EE5C5B">
      <w:pPr>
        <w:pStyle w:val="3"/>
        <w:spacing w:before="0" w:line="240" w:lineRule="auto"/>
        <w:rPr>
          <w:rFonts w:ascii="Times New Roman" w:hAnsi="Times New Roman" w:cs="Times New Roman"/>
          <w:color w:val="000000" w:themeColor="text1"/>
          <w:sz w:val="28"/>
          <w:szCs w:val="28"/>
        </w:rPr>
      </w:pPr>
      <w:r w:rsidRPr="0094456B">
        <w:rPr>
          <w:rFonts w:ascii="Times New Roman" w:hAnsi="Times New Roman" w:cs="Times New Roman"/>
          <w:color w:val="000000" w:themeColor="text1"/>
          <w:sz w:val="28"/>
          <w:szCs w:val="28"/>
        </w:rPr>
        <w:t>Таблица с результатами анкетирования студентов</w:t>
      </w:r>
    </w:p>
    <w:tbl>
      <w:tblPr>
        <w:tblStyle w:val="a3"/>
        <w:tblW w:w="0" w:type="auto"/>
        <w:tblLook w:val="04A0" w:firstRow="1" w:lastRow="0" w:firstColumn="1" w:lastColumn="0" w:noHBand="0" w:noVBand="1"/>
      </w:tblPr>
      <w:tblGrid>
        <w:gridCol w:w="498"/>
        <w:gridCol w:w="4432"/>
        <w:gridCol w:w="4924"/>
      </w:tblGrid>
      <w:tr w:rsidR="0094456B" w:rsidRPr="0094456B" w:rsidTr="0094456B">
        <w:tc>
          <w:tcPr>
            <w:tcW w:w="0" w:type="auto"/>
            <w:hideMark/>
          </w:tcPr>
          <w:p w:rsidR="0094456B" w:rsidRPr="0094456B" w:rsidRDefault="0094456B" w:rsidP="00EE5C5B">
            <w:pPr>
              <w:jc w:val="center"/>
              <w:rPr>
                <w:rFonts w:ascii="Times New Roman" w:hAnsi="Times New Roman" w:cs="Times New Roman"/>
                <w:b/>
                <w:bCs/>
                <w:sz w:val="28"/>
                <w:szCs w:val="28"/>
              </w:rPr>
            </w:pPr>
            <w:r w:rsidRPr="0094456B">
              <w:rPr>
                <w:rFonts w:ascii="Times New Roman" w:hAnsi="Times New Roman" w:cs="Times New Roman"/>
                <w:b/>
                <w:bCs/>
                <w:sz w:val="28"/>
                <w:szCs w:val="28"/>
              </w:rPr>
              <w:t>№</w:t>
            </w:r>
          </w:p>
        </w:tc>
        <w:tc>
          <w:tcPr>
            <w:tcW w:w="0" w:type="auto"/>
            <w:hideMark/>
          </w:tcPr>
          <w:p w:rsidR="0094456B" w:rsidRPr="0094456B" w:rsidRDefault="0094456B" w:rsidP="00EE5C5B">
            <w:pPr>
              <w:jc w:val="center"/>
              <w:rPr>
                <w:rFonts w:ascii="Times New Roman" w:hAnsi="Times New Roman" w:cs="Times New Roman"/>
                <w:b/>
                <w:bCs/>
                <w:sz w:val="28"/>
                <w:szCs w:val="28"/>
              </w:rPr>
            </w:pPr>
            <w:r w:rsidRPr="0094456B">
              <w:rPr>
                <w:rFonts w:ascii="Times New Roman" w:hAnsi="Times New Roman" w:cs="Times New Roman"/>
                <w:b/>
                <w:bCs/>
                <w:sz w:val="28"/>
                <w:szCs w:val="28"/>
              </w:rPr>
              <w:t>Вопрос</w:t>
            </w:r>
          </w:p>
        </w:tc>
        <w:tc>
          <w:tcPr>
            <w:tcW w:w="0" w:type="auto"/>
            <w:hideMark/>
          </w:tcPr>
          <w:p w:rsidR="0094456B" w:rsidRPr="0094456B" w:rsidRDefault="0094456B" w:rsidP="00EE5C5B">
            <w:pPr>
              <w:jc w:val="center"/>
              <w:rPr>
                <w:rFonts w:ascii="Times New Roman" w:hAnsi="Times New Roman" w:cs="Times New Roman"/>
                <w:b/>
                <w:bCs/>
                <w:sz w:val="28"/>
                <w:szCs w:val="28"/>
              </w:rPr>
            </w:pPr>
            <w:r w:rsidRPr="0094456B">
              <w:rPr>
                <w:rFonts w:ascii="Times New Roman" w:hAnsi="Times New Roman" w:cs="Times New Roman"/>
                <w:b/>
                <w:bCs/>
                <w:sz w:val="28"/>
                <w:szCs w:val="28"/>
              </w:rPr>
              <w:t>Ответы студентов (%)</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1</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 вы оцениваете свою математическую подготовку?</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Высокая – 15%, Средняя – 50%, Низкая – 35%</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2</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Какие основные трудности у вас возникают при изучении теории вероятностей и статистики?</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Понимание теории – 40%, Применение формул – 30%, Анализ данных – 20%, Другое – 10%</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3</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Какие форматы обучения вам наиболее удобны?</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Лекции – 20%, Практические занятия – 50%, Онлайн-курсы – 15%, Самостоятельная работа – 15%</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4</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Насколько вы уверены в решении задач по дисциплине?</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Полностью уверены – 10%, Частично уверены – 45%, Испытываю затруднения – 45%</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5</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Какую роль, на ваш взгляд, теория вероятностей и статистика играют в вашей будущей профессии?</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Важную – 65%, Малозначительную – 25%, Совсем не нужна – 10%</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6</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 xml:space="preserve">Как часто вы сталкиваетесь с профессионально ориентированными задачами в </w:t>
            </w:r>
            <w:r w:rsidRPr="0094456B">
              <w:rPr>
                <w:rFonts w:ascii="Times New Roman" w:hAnsi="Times New Roman" w:cs="Times New Roman"/>
                <w:sz w:val="28"/>
                <w:szCs w:val="28"/>
              </w:rPr>
              <w:lastRenderedPageBreak/>
              <w:t>рамках дисциплины?</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lastRenderedPageBreak/>
              <w:t>Часто – 20%, Иногда – 35%, Редко – 30%, Никогда – 15%</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lastRenderedPageBreak/>
              <w:t>7</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Какие профессионально направленные задачи были бы для вас наиболее полезны?</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Анализ успеваемости студентов – 40%, Образовательная аналитика – 35%, Исследование педагогических методик – 25%</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8</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Какие изменения в курсе могли бы повысить ваш интерес к дисциплине?</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Больше практических примеров – 50%, Интерактивные занятия – 30%, Связь с профессией – 20%</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9</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Какие темы вызывают наибольшие затруднения?</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Условные вероятности – 30%, Распределения вероятностей – 40%, Проверка статистических гипотез – 30%</w:t>
            </w:r>
          </w:p>
        </w:tc>
      </w:tr>
      <w:tr w:rsidR="0094456B" w:rsidRPr="0094456B" w:rsidTr="0094456B">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10</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Какие ваши предложения по улучшению курса?</w:t>
            </w:r>
          </w:p>
        </w:tc>
        <w:tc>
          <w:tcPr>
            <w:tcW w:w="0" w:type="auto"/>
            <w:hideMark/>
          </w:tcPr>
          <w:p w:rsidR="0094456B" w:rsidRPr="0094456B" w:rsidRDefault="0094456B" w:rsidP="00EE5C5B">
            <w:pPr>
              <w:rPr>
                <w:rFonts w:ascii="Times New Roman" w:hAnsi="Times New Roman" w:cs="Times New Roman"/>
                <w:sz w:val="28"/>
                <w:szCs w:val="28"/>
              </w:rPr>
            </w:pPr>
            <w:r w:rsidRPr="0094456B">
              <w:rPr>
                <w:rFonts w:ascii="Times New Roman" w:hAnsi="Times New Roman" w:cs="Times New Roman"/>
                <w:sz w:val="28"/>
                <w:szCs w:val="28"/>
              </w:rPr>
              <w:t>Введение реальных кейсов – 45%, Упрощение объяснения теории – 35%, Дополнительные занятия – 20%</w:t>
            </w:r>
          </w:p>
        </w:tc>
      </w:tr>
    </w:tbl>
    <w:p w:rsidR="00EE5C5B" w:rsidRDefault="00EE5C5B" w:rsidP="00EE5C5B">
      <w:pPr>
        <w:spacing w:after="0" w:line="240" w:lineRule="auto"/>
        <w:rPr>
          <w:rFonts w:ascii="Times New Roman" w:eastAsia="Times New Roman" w:hAnsi="Times New Roman" w:cs="Times New Roman"/>
          <w:sz w:val="28"/>
          <w:szCs w:val="28"/>
          <w:lang w:eastAsia="ru-RU"/>
        </w:rPr>
      </w:pPr>
    </w:p>
    <w:p w:rsidR="00AE6D28" w:rsidRPr="00AE6D28" w:rsidRDefault="00AE6D28" w:rsidP="00EE5C5B">
      <w:p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Результаты анкеты позволили выявить следующие ключевые моменты:</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У многих студентов возникают трудности с пониманием теоретических основ теории вероятностей и математической статистики, особенно с абстрактными понятиями и формулами.</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Основными проблемами являются нехватка практики, сложность интерпретации результатов и недостаточное владение математическим аппаратом.</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Студенты предпочитают интерактивные методы обучения, включая практико-ориентированные задания и визуализацию данных.</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Большинство опрошенных признают важность дисциплины для педагогической деятельности, но отмечают нехватку примеров, связанных с их будущей профессией.</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Многие испытывают затруднения при решении профессионально направленных задач, но считают их полезными для понимания реального применения теории.</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Студенты предлагают включать больше кейсов из педагогики, работы с образовательными данными и анализа учебных достижений.</w:t>
      </w:r>
    </w:p>
    <w:p w:rsidR="00AE6D28" w:rsidRPr="00AE6D28" w:rsidRDefault="00AE6D28" w:rsidP="00EE5C5B">
      <w:pPr>
        <w:numPr>
          <w:ilvl w:val="0"/>
          <w:numId w:val="98"/>
        </w:numPr>
        <w:spacing w:after="0" w:line="240" w:lineRule="auto"/>
        <w:jc w:val="both"/>
        <w:rPr>
          <w:rFonts w:ascii="Times New Roman" w:eastAsia="Times New Roman" w:hAnsi="Times New Roman" w:cs="Times New Roman"/>
          <w:sz w:val="28"/>
          <w:szCs w:val="28"/>
          <w:lang w:eastAsia="ru-RU"/>
        </w:rPr>
      </w:pPr>
      <w:r w:rsidRPr="00AE6D28">
        <w:rPr>
          <w:rFonts w:ascii="Times New Roman" w:eastAsia="Times New Roman" w:hAnsi="Times New Roman" w:cs="Times New Roman"/>
          <w:sz w:val="28"/>
          <w:szCs w:val="28"/>
          <w:lang w:eastAsia="ru-RU"/>
        </w:rPr>
        <w:t>В целом выявлена необходимость адаптации курса с учетом профессиональных потребностей будущих педагогов, а также усиления прикладного компонента.</w:t>
      </w:r>
    </w:p>
    <w:p w:rsidR="00382DF1" w:rsidRPr="00382DF1" w:rsidRDefault="00382DF1" w:rsidP="00EE5C5B">
      <w:pPr>
        <w:pStyle w:val="a4"/>
        <w:spacing w:before="0" w:beforeAutospacing="0" w:after="0" w:afterAutospacing="0"/>
        <w:jc w:val="both"/>
        <w:rPr>
          <w:color w:val="000000" w:themeColor="text1"/>
          <w:sz w:val="28"/>
          <w:szCs w:val="28"/>
        </w:rPr>
      </w:pPr>
      <w:r w:rsidRPr="00382DF1">
        <w:rPr>
          <w:color w:val="000000" w:themeColor="text1"/>
          <w:sz w:val="28"/>
          <w:szCs w:val="28"/>
        </w:rPr>
        <w:t>Тестирование проводилось с целью диагностики уровня теоретических знаний педагогов, магистрантов и докторантов в области формирования профессиональной направленности учащихся, а также их понимания концепции стохастико-игровых упражнений и готовности к их применению в образовательном процессе.</w:t>
      </w:r>
    </w:p>
    <w:p w:rsidR="00382DF1" w:rsidRPr="00382DF1" w:rsidRDefault="00382DF1" w:rsidP="00EE5C5B">
      <w:pPr>
        <w:pStyle w:val="a4"/>
        <w:spacing w:before="0" w:beforeAutospacing="0" w:after="0" w:afterAutospacing="0"/>
        <w:jc w:val="both"/>
        <w:rPr>
          <w:color w:val="000000" w:themeColor="text1"/>
          <w:sz w:val="28"/>
          <w:szCs w:val="28"/>
        </w:rPr>
      </w:pPr>
      <w:r w:rsidRPr="00382DF1">
        <w:rPr>
          <w:color w:val="000000" w:themeColor="text1"/>
          <w:sz w:val="28"/>
          <w:szCs w:val="28"/>
        </w:rPr>
        <w:t xml:space="preserve">В тесте приняли участие </w:t>
      </w:r>
      <w:r w:rsidRPr="00382DF1">
        <w:rPr>
          <w:rStyle w:val="a5"/>
          <w:color w:val="000000" w:themeColor="text1"/>
          <w:sz w:val="28"/>
          <w:szCs w:val="28"/>
        </w:rPr>
        <w:t>60 человек</w:t>
      </w:r>
      <w:r w:rsidRPr="00382DF1">
        <w:rPr>
          <w:color w:val="000000" w:themeColor="text1"/>
          <w:sz w:val="28"/>
          <w:szCs w:val="28"/>
        </w:rPr>
        <w:t>, среди которых:</w:t>
      </w:r>
    </w:p>
    <w:p w:rsidR="00382DF1" w:rsidRPr="00382DF1" w:rsidRDefault="00382DF1" w:rsidP="00EE5C5B">
      <w:pPr>
        <w:numPr>
          <w:ilvl w:val="0"/>
          <w:numId w:val="33"/>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20 учителей</w:t>
      </w:r>
      <w:r w:rsidRPr="00382DF1">
        <w:rPr>
          <w:rFonts w:ascii="Times New Roman" w:hAnsi="Times New Roman" w:cs="Times New Roman"/>
          <w:color w:val="000000" w:themeColor="text1"/>
          <w:sz w:val="28"/>
          <w:szCs w:val="28"/>
        </w:rPr>
        <w:t>, работающих в школах и имеющих опыт преподавания;</w:t>
      </w:r>
    </w:p>
    <w:p w:rsidR="00382DF1" w:rsidRPr="00382DF1" w:rsidRDefault="00382DF1" w:rsidP="00743547">
      <w:pPr>
        <w:numPr>
          <w:ilvl w:val="0"/>
          <w:numId w:val="33"/>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10 педагогов дополнительного образования</w:t>
      </w:r>
      <w:r w:rsidRPr="00382DF1">
        <w:rPr>
          <w:rFonts w:ascii="Times New Roman" w:hAnsi="Times New Roman" w:cs="Times New Roman"/>
          <w:color w:val="000000" w:themeColor="text1"/>
          <w:sz w:val="28"/>
          <w:szCs w:val="28"/>
        </w:rPr>
        <w:t>, занимающихся внеурочной подготовкой учащихся;</w:t>
      </w:r>
    </w:p>
    <w:p w:rsidR="00382DF1" w:rsidRPr="00382DF1" w:rsidRDefault="00382DF1" w:rsidP="00743547">
      <w:pPr>
        <w:numPr>
          <w:ilvl w:val="0"/>
          <w:numId w:val="33"/>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lastRenderedPageBreak/>
        <w:t>16 магистрантов</w:t>
      </w:r>
      <w:r w:rsidRPr="00382DF1">
        <w:rPr>
          <w:rFonts w:ascii="Times New Roman" w:hAnsi="Times New Roman" w:cs="Times New Roman"/>
          <w:color w:val="000000" w:themeColor="text1"/>
          <w:sz w:val="28"/>
          <w:szCs w:val="28"/>
        </w:rPr>
        <w:t>, изучающих педагогические науки и проходящих практику в образовательных учреждениях;</w:t>
      </w:r>
    </w:p>
    <w:p w:rsidR="00382DF1" w:rsidRPr="00382DF1" w:rsidRDefault="00382DF1" w:rsidP="00743547">
      <w:pPr>
        <w:numPr>
          <w:ilvl w:val="0"/>
          <w:numId w:val="33"/>
        </w:numPr>
        <w:spacing w:after="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14 докторантов</w:t>
      </w:r>
      <w:r w:rsidRPr="00382DF1">
        <w:rPr>
          <w:rFonts w:ascii="Times New Roman" w:hAnsi="Times New Roman" w:cs="Times New Roman"/>
          <w:color w:val="000000" w:themeColor="text1"/>
          <w:sz w:val="28"/>
          <w:szCs w:val="28"/>
        </w:rPr>
        <w:t>, специализирующихся на научных исследованиях в области образования.</w:t>
      </w:r>
    </w:p>
    <w:p w:rsidR="00382DF1" w:rsidRPr="00382DF1" w:rsidRDefault="00382DF1" w:rsidP="00743547">
      <w:pPr>
        <w:pStyle w:val="a4"/>
        <w:spacing w:before="0" w:beforeAutospacing="0" w:after="0" w:afterAutospacing="0"/>
        <w:jc w:val="both"/>
        <w:rPr>
          <w:color w:val="000000" w:themeColor="text1"/>
          <w:sz w:val="28"/>
          <w:szCs w:val="28"/>
        </w:rPr>
      </w:pPr>
      <w:r w:rsidRPr="00382DF1">
        <w:rPr>
          <w:color w:val="000000" w:themeColor="text1"/>
          <w:sz w:val="28"/>
          <w:szCs w:val="28"/>
        </w:rPr>
        <w:t>Тест включал 17 вопросов, охватывающих:</w:t>
      </w:r>
    </w:p>
    <w:p w:rsidR="00382DF1" w:rsidRPr="00382DF1" w:rsidRDefault="00382DF1" w:rsidP="00743547">
      <w:pPr>
        <w:numPr>
          <w:ilvl w:val="0"/>
          <w:numId w:val="34"/>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Принципы формирования профессиональной направленности учащихся.</w:t>
      </w:r>
    </w:p>
    <w:p w:rsidR="00382DF1" w:rsidRPr="00382DF1" w:rsidRDefault="00382DF1" w:rsidP="00743547">
      <w:pPr>
        <w:numPr>
          <w:ilvl w:val="0"/>
          <w:numId w:val="34"/>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Основы стохастического моделирования и его применение в обучении.</w:t>
      </w:r>
    </w:p>
    <w:p w:rsidR="00382DF1" w:rsidRPr="00382DF1" w:rsidRDefault="00382DF1" w:rsidP="00743547">
      <w:pPr>
        <w:numPr>
          <w:ilvl w:val="0"/>
          <w:numId w:val="34"/>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Методологические аспекты организации образовательного процесса.</w:t>
      </w:r>
    </w:p>
    <w:p w:rsidR="00382DF1" w:rsidRPr="00382DF1" w:rsidRDefault="00382DF1" w:rsidP="00743547">
      <w:pPr>
        <w:numPr>
          <w:ilvl w:val="0"/>
          <w:numId w:val="34"/>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Готовность респондентов к использованию игровых упражнений в педагогической практике.</w:t>
      </w:r>
    </w:p>
    <w:p w:rsidR="00382DF1" w:rsidRPr="00382DF1" w:rsidRDefault="00382DF1" w:rsidP="00743547">
      <w:pPr>
        <w:pStyle w:val="3"/>
        <w:spacing w:before="0" w:line="240" w:lineRule="auto"/>
        <w:jc w:val="both"/>
        <w:rPr>
          <w:rFonts w:ascii="Times New Roman" w:hAnsi="Times New Roman" w:cs="Times New Roman"/>
          <w:color w:val="000000" w:themeColor="text1"/>
          <w:sz w:val="28"/>
          <w:szCs w:val="28"/>
        </w:rPr>
      </w:pPr>
      <w:r w:rsidRPr="00382DF1">
        <w:rPr>
          <w:rStyle w:val="a5"/>
          <w:rFonts w:ascii="Times New Roman" w:hAnsi="Times New Roman" w:cs="Times New Roman"/>
          <w:b w:val="0"/>
          <w:bCs w:val="0"/>
          <w:color w:val="000000" w:themeColor="text1"/>
          <w:sz w:val="28"/>
          <w:szCs w:val="28"/>
        </w:rPr>
        <w:t>Результаты тестирования</w:t>
      </w:r>
    </w:p>
    <w:tbl>
      <w:tblPr>
        <w:tblStyle w:val="a3"/>
        <w:tblW w:w="0" w:type="auto"/>
        <w:tblLook w:val="04A0" w:firstRow="1" w:lastRow="0" w:firstColumn="1" w:lastColumn="0" w:noHBand="0" w:noVBand="1"/>
      </w:tblPr>
      <w:tblGrid>
        <w:gridCol w:w="3369"/>
        <w:gridCol w:w="1984"/>
        <w:gridCol w:w="1701"/>
        <w:gridCol w:w="2517"/>
      </w:tblGrid>
      <w:tr w:rsidR="00382DF1" w:rsidRPr="00382DF1" w:rsidTr="00382DF1">
        <w:tc>
          <w:tcPr>
            <w:tcW w:w="3369" w:type="dxa"/>
            <w:hideMark/>
          </w:tcPr>
          <w:p w:rsidR="00382DF1" w:rsidRPr="00382DF1" w:rsidRDefault="00382DF1" w:rsidP="00743547">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Категория участников</w:t>
            </w:r>
          </w:p>
        </w:tc>
        <w:tc>
          <w:tcPr>
            <w:tcW w:w="1984" w:type="dxa"/>
            <w:hideMark/>
          </w:tcPr>
          <w:p w:rsidR="00382DF1" w:rsidRPr="00382DF1" w:rsidRDefault="00382DF1" w:rsidP="00743547">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Количество участников</w:t>
            </w:r>
          </w:p>
        </w:tc>
        <w:tc>
          <w:tcPr>
            <w:tcW w:w="1701" w:type="dxa"/>
            <w:hideMark/>
          </w:tcPr>
          <w:p w:rsidR="00382DF1" w:rsidRPr="00382DF1" w:rsidRDefault="00382DF1" w:rsidP="00743547">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Средний балл (из 17)</w:t>
            </w:r>
          </w:p>
        </w:tc>
        <w:tc>
          <w:tcPr>
            <w:tcW w:w="2517" w:type="dxa"/>
            <w:hideMark/>
          </w:tcPr>
          <w:p w:rsidR="00382DF1" w:rsidRPr="00382DF1" w:rsidRDefault="00382DF1" w:rsidP="00743547">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Процент правильных ответов</w:t>
            </w:r>
          </w:p>
        </w:tc>
      </w:tr>
      <w:tr w:rsidR="00382DF1" w:rsidRPr="00382DF1" w:rsidTr="00382DF1">
        <w:tc>
          <w:tcPr>
            <w:tcW w:w="3369"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Учителя</w:t>
            </w:r>
          </w:p>
        </w:tc>
        <w:tc>
          <w:tcPr>
            <w:tcW w:w="1984"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20</w:t>
            </w:r>
          </w:p>
        </w:tc>
        <w:tc>
          <w:tcPr>
            <w:tcW w:w="1701"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w:t>
            </w:r>
          </w:p>
        </w:tc>
        <w:tc>
          <w:tcPr>
            <w:tcW w:w="2517"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47%</w:t>
            </w:r>
          </w:p>
        </w:tc>
      </w:tr>
      <w:tr w:rsidR="00382DF1" w:rsidRPr="00382DF1" w:rsidTr="00382DF1">
        <w:tc>
          <w:tcPr>
            <w:tcW w:w="3369"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Педагоги доп. образования</w:t>
            </w:r>
          </w:p>
        </w:tc>
        <w:tc>
          <w:tcPr>
            <w:tcW w:w="1984"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10</w:t>
            </w:r>
          </w:p>
        </w:tc>
        <w:tc>
          <w:tcPr>
            <w:tcW w:w="1701"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7</w:t>
            </w:r>
          </w:p>
        </w:tc>
        <w:tc>
          <w:tcPr>
            <w:tcW w:w="2517"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41%</w:t>
            </w:r>
          </w:p>
        </w:tc>
      </w:tr>
      <w:tr w:rsidR="00382DF1" w:rsidRPr="00382DF1" w:rsidTr="00382DF1">
        <w:tc>
          <w:tcPr>
            <w:tcW w:w="3369"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Магистранты</w:t>
            </w:r>
          </w:p>
        </w:tc>
        <w:tc>
          <w:tcPr>
            <w:tcW w:w="1984"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16</w:t>
            </w:r>
          </w:p>
        </w:tc>
        <w:tc>
          <w:tcPr>
            <w:tcW w:w="1701"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w:t>
            </w:r>
          </w:p>
        </w:tc>
        <w:tc>
          <w:tcPr>
            <w:tcW w:w="2517"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47%</w:t>
            </w:r>
          </w:p>
        </w:tc>
      </w:tr>
      <w:tr w:rsidR="00382DF1" w:rsidRPr="00382DF1" w:rsidTr="00382DF1">
        <w:tc>
          <w:tcPr>
            <w:tcW w:w="3369"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Докторанты</w:t>
            </w:r>
          </w:p>
        </w:tc>
        <w:tc>
          <w:tcPr>
            <w:tcW w:w="1984"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14</w:t>
            </w:r>
          </w:p>
        </w:tc>
        <w:tc>
          <w:tcPr>
            <w:tcW w:w="1701"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10</w:t>
            </w:r>
          </w:p>
        </w:tc>
        <w:tc>
          <w:tcPr>
            <w:tcW w:w="2517" w:type="dxa"/>
            <w:hideMark/>
          </w:tcPr>
          <w:p w:rsidR="00382DF1" w:rsidRPr="00382DF1" w:rsidRDefault="00382DF1" w:rsidP="0074354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59%</w:t>
            </w:r>
          </w:p>
        </w:tc>
      </w:tr>
    </w:tbl>
    <w:p w:rsidR="00382DF1" w:rsidRPr="00382DF1" w:rsidRDefault="00382DF1" w:rsidP="00382DF1">
      <w:pPr>
        <w:pStyle w:val="3"/>
        <w:spacing w:before="0"/>
        <w:jc w:val="both"/>
        <w:rPr>
          <w:rStyle w:val="a5"/>
          <w:rFonts w:ascii="Times New Roman" w:hAnsi="Times New Roman" w:cs="Times New Roman"/>
          <w:b w:val="0"/>
          <w:bCs w:val="0"/>
          <w:color w:val="000000" w:themeColor="text1"/>
          <w:sz w:val="28"/>
          <w:szCs w:val="28"/>
        </w:rPr>
      </w:pPr>
      <w:r w:rsidRPr="00382DF1">
        <w:rPr>
          <w:rFonts w:ascii="Times New Roman" w:hAnsi="Times New Roman" w:cs="Times New Roman"/>
          <w:noProof/>
          <w:color w:val="000000" w:themeColor="text1"/>
          <w:sz w:val="28"/>
          <w:szCs w:val="28"/>
          <w:lang w:eastAsia="ru-RU"/>
        </w:rPr>
        <w:drawing>
          <wp:inline distT="0" distB="0" distL="0" distR="0" wp14:anchorId="3F7DD626" wp14:editId="598D3423">
            <wp:extent cx="6088380" cy="2476500"/>
            <wp:effectExtent l="0" t="0" r="762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2DF1" w:rsidRPr="00DA4877" w:rsidRDefault="00382DF1" w:rsidP="00DA4877">
      <w:pPr>
        <w:pStyle w:val="3"/>
        <w:spacing w:before="0" w:line="240" w:lineRule="auto"/>
        <w:jc w:val="both"/>
        <w:rPr>
          <w:rStyle w:val="a5"/>
          <w:rFonts w:ascii="Times New Roman" w:hAnsi="Times New Roman" w:cs="Times New Roman"/>
          <w:b w:val="0"/>
          <w:bCs w:val="0"/>
          <w:color w:val="000000" w:themeColor="text1"/>
          <w:sz w:val="28"/>
          <w:szCs w:val="28"/>
        </w:rPr>
      </w:pPr>
    </w:p>
    <w:p w:rsidR="00382DF1" w:rsidRPr="00DA4877" w:rsidRDefault="00382DF1" w:rsidP="00DA4877">
      <w:pPr>
        <w:pStyle w:val="3"/>
        <w:spacing w:before="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b w:val="0"/>
          <w:bCs w:val="0"/>
          <w:color w:val="000000" w:themeColor="text1"/>
          <w:sz w:val="28"/>
          <w:szCs w:val="28"/>
        </w:rPr>
        <w:t xml:space="preserve">Анализ результатов. </w:t>
      </w:r>
      <w:r w:rsidRPr="00DA4877">
        <w:rPr>
          <w:rFonts w:ascii="Times New Roman" w:hAnsi="Times New Roman" w:cs="Times New Roman"/>
          <w:color w:val="000000" w:themeColor="text1"/>
          <w:sz w:val="28"/>
          <w:szCs w:val="28"/>
        </w:rPr>
        <w:t xml:space="preserve">Результаты тестирования показали, что </w:t>
      </w:r>
      <w:r w:rsidRPr="00DA4877">
        <w:rPr>
          <w:rStyle w:val="a5"/>
          <w:rFonts w:ascii="Times New Roman" w:hAnsi="Times New Roman" w:cs="Times New Roman"/>
          <w:color w:val="000000" w:themeColor="text1"/>
          <w:sz w:val="28"/>
          <w:szCs w:val="28"/>
        </w:rPr>
        <w:t>наиболее высокий уровень знаний продемонстрировали докторанты (59% правильных ответов), а также магистранты и учителя школ (47%)</w:t>
      </w:r>
      <w:r w:rsidRPr="00DA4877">
        <w:rPr>
          <w:rFonts w:ascii="Times New Roman" w:hAnsi="Times New Roman" w:cs="Times New Roman"/>
          <w:color w:val="000000" w:themeColor="text1"/>
          <w:sz w:val="28"/>
          <w:szCs w:val="28"/>
        </w:rPr>
        <w:t xml:space="preserve">, что свидетельствует о высокой подготовленности этой категории респондентов. Педагоги дополнительного образования также показали хорошие результаты, однако у них наблюдается </w:t>
      </w:r>
      <w:r w:rsidRPr="00DA4877">
        <w:rPr>
          <w:rStyle w:val="a5"/>
          <w:rFonts w:ascii="Times New Roman" w:hAnsi="Times New Roman" w:cs="Times New Roman"/>
          <w:color w:val="000000" w:themeColor="text1"/>
          <w:sz w:val="28"/>
          <w:szCs w:val="28"/>
        </w:rPr>
        <w:t>некоторый дефицит знаний в области стохастико-игровых упражнений и их методологического применения</w:t>
      </w:r>
      <w:r w:rsidRPr="00DA4877">
        <w:rPr>
          <w:rFonts w:ascii="Times New Roman" w:hAnsi="Times New Roman" w:cs="Times New Roman"/>
          <w:color w:val="000000" w:themeColor="text1"/>
          <w:sz w:val="28"/>
          <w:szCs w:val="28"/>
        </w:rPr>
        <w:t>.</w:t>
      </w:r>
    </w:p>
    <w:p w:rsidR="00382DF1" w:rsidRPr="00DA4877" w:rsidRDefault="00382DF1" w:rsidP="00DA4877">
      <w:pPr>
        <w:pStyle w:val="a4"/>
        <w:spacing w:before="0" w:beforeAutospacing="0" w:after="0" w:afterAutospacing="0"/>
        <w:jc w:val="both"/>
        <w:rPr>
          <w:color w:val="000000" w:themeColor="text1"/>
          <w:sz w:val="28"/>
          <w:szCs w:val="28"/>
        </w:rPr>
      </w:pPr>
      <w:r w:rsidRPr="00DA4877">
        <w:rPr>
          <w:color w:val="000000" w:themeColor="text1"/>
          <w:sz w:val="28"/>
          <w:szCs w:val="28"/>
        </w:rPr>
        <w:t xml:space="preserve">Таким образом, результаты теста подтверждают необходимость </w:t>
      </w:r>
      <w:r w:rsidRPr="00DA4877">
        <w:rPr>
          <w:rStyle w:val="a5"/>
          <w:color w:val="000000" w:themeColor="text1"/>
          <w:sz w:val="28"/>
          <w:szCs w:val="28"/>
        </w:rPr>
        <w:t>разработки методических рекомендаций</w:t>
      </w:r>
      <w:r w:rsidRPr="00DA4877">
        <w:rPr>
          <w:color w:val="000000" w:themeColor="text1"/>
          <w:sz w:val="28"/>
          <w:szCs w:val="28"/>
        </w:rPr>
        <w:t xml:space="preserve"> по внедрению стохастико-игровых упражнений в образовательный процесс.</w:t>
      </w:r>
    </w:p>
    <w:p w:rsidR="00382DF1" w:rsidRPr="00DA4877" w:rsidRDefault="00382DF1" w:rsidP="00DA4877">
      <w:p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 xml:space="preserve">Начальная контрольная работа была проведена с целью оценки уровня сформированности профессиональной направленности и понимания </w:t>
      </w:r>
      <w:r w:rsidRPr="00DA4877">
        <w:rPr>
          <w:rFonts w:ascii="Times New Roman" w:hAnsi="Times New Roman" w:cs="Times New Roman"/>
          <w:color w:val="000000" w:themeColor="text1"/>
          <w:sz w:val="28"/>
          <w:szCs w:val="28"/>
        </w:rPr>
        <w:lastRenderedPageBreak/>
        <w:t>стохастико-игровых методов среди студентов, школьников и учащихся учреждений дополнительного образования.</w:t>
      </w:r>
    </w:p>
    <w:p w:rsidR="00382DF1" w:rsidRPr="00DA4877" w:rsidRDefault="00382DF1" w:rsidP="00DA4877">
      <w:p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 xml:space="preserve">В контрольной работе приняли участие </w:t>
      </w:r>
      <w:r w:rsidRPr="00DA4877">
        <w:rPr>
          <w:rFonts w:ascii="Times New Roman" w:hAnsi="Times New Roman" w:cs="Times New Roman"/>
          <w:b/>
          <w:bCs/>
          <w:color w:val="000000" w:themeColor="text1"/>
          <w:sz w:val="28"/>
          <w:szCs w:val="28"/>
        </w:rPr>
        <w:t>106 человек</w:t>
      </w:r>
      <w:r w:rsidRPr="00DA4877">
        <w:rPr>
          <w:rFonts w:ascii="Times New Roman" w:hAnsi="Times New Roman" w:cs="Times New Roman"/>
          <w:color w:val="000000" w:themeColor="text1"/>
          <w:sz w:val="28"/>
          <w:szCs w:val="28"/>
        </w:rPr>
        <w:t>, среди которых:</w:t>
      </w:r>
    </w:p>
    <w:p w:rsidR="00382DF1" w:rsidRPr="00DA4877" w:rsidRDefault="00382DF1" w:rsidP="00DA4877">
      <w:pPr>
        <w:numPr>
          <w:ilvl w:val="0"/>
          <w:numId w:val="35"/>
        </w:num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b/>
          <w:bCs/>
          <w:color w:val="000000" w:themeColor="text1"/>
          <w:sz w:val="28"/>
          <w:szCs w:val="28"/>
        </w:rPr>
        <w:t>45 студентов</w:t>
      </w:r>
      <w:r w:rsidRPr="00DA4877">
        <w:rPr>
          <w:rFonts w:ascii="Times New Roman" w:hAnsi="Times New Roman" w:cs="Times New Roman"/>
          <w:color w:val="000000" w:themeColor="text1"/>
          <w:sz w:val="28"/>
          <w:szCs w:val="28"/>
        </w:rPr>
        <w:t xml:space="preserve"> Жетысуского университета имени И. Жансугурова,</w:t>
      </w:r>
    </w:p>
    <w:p w:rsidR="00382DF1" w:rsidRPr="00DA4877" w:rsidRDefault="00382DF1" w:rsidP="00DA4877">
      <w:pPr>
        <w:numPr>
          <w:ilvl w:val="0"/>
          <w:numId w:val="35"/>
        </w:num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b/>
          <w:bCs/>
          <w:color w:val="000000" w:themeColor="text1"/>
          <w:sz w:val="28"/>
          <w:szCs w:val="28"/>
        </w:rPr>
        <w:t>15 студентов</w:t>
      </w:r>
      <w:r w:rsidRPr="00DA4877">
        <w:rPr>
          <w:rFonts w:ascii="Times New Roman" w:hAnsi="Times New Roman" w:cs="Times New Roman"/>
          <w:color w:val="000000" w:themeColor="text1"/>
          <w:sz w:val="28"/>
          <w:szCs w:val="28"/>
        </w:rPr>
        <w:t xml:space="preserve"> Казахского Национального женского педагогического университета,</w:t>
      </w:r>
    </w:p>
    <w:p w:rsidR="00382DF1" w:rsidRPr="00DA4877" w:rsidRDefault="00382DF1" w:rsidP="00DA4877">
      <w:pPr>
        <w:numPr>
          <w:ilvl w:val="0"/>
          <w:numId w:val="35"/>
        </w:num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b/>
          <w:bCs/>
          <w:color w:val="000000" w:themeColor="text1"/>
          <w:sz w:val="28"/>
          <w:szCs w:val="28"/>
        </w:rPr>
        <w:t>26 учеников</w:t>
      </w:r>
      <w:r w:rsidRPr="00DA4877">
        <w:rPr>
          <w:rFonts w:ascii="Times New Roman" w:hAnsi="Times New Roman" w:cs="Times New Roman"/>
          <w:color w:val="000000" w:themeColor="text1"/>
          <w:sz w:val="28"/>
          <w:szCs w:val="28"/>
        </w:rPr>
        <w:t xml:space="preserve"> средней школы,</w:t>
      </w:r>
    </w:p>
    <w:p w:rsidR="00382DF1" w:rsidRPr="00DA4877" w:rsidRDefault="00382DF1" w:rsidP="00DA4877">
      <w:pPr>
        <w:numPr>
          <w:ilvl w:val="0"/>
          <w:numId w:val="35"/>
        </w:num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b/>
          <w:bCs/>
          <w:color w:val="000000" w:themeColor="text1"/>
          <w:sz w:val="28"/>
          <w:szCs w:val="28"/>
        </w:rPr>
        <w:t>20 учащихся</w:t>
      </w:r>
      <w:r w:rsidRPr="00DA4877">
        <w:rPr>
          <w:rFonts w:ascii="Times New Roman" w:hAnsi="Times New Roman" w:cs="Times New Roman"/>
          <w:color w:val="000000" w:themeColor="text1"/>
          <w:sz w:val="28"/>
          <w:szCs w:val="28"/>
        </w:rPr>
        <w:t xml:space="preserve"> кружков математического и технического направления.</w:t>
      </w:r>
    </w:p>
    <w:p w:rsidR="00382DF1" w:rsidRPr="00DA4877" w:rsidRDefault="00382DF1" w:rsidP="00DA4877">
      <w:p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 xml:space="preserve">Контрольная работа включала </w:t>
      </w:r>
      <w:r w:rsidRPr="00DA4877">
        <w:rPr>
          <w:rFonts w:ascii="Times New Roman" w:hAnsi="Times New Roman" w:cs="Times New Roman"/>
          <w:b/>
          <w:bCs/>
          <w:color w:val="000000" w:themeColor="text1"/>
          <w:sz w:val="28"/>
          <w:szCs w:val="28"/>
        </w:rPr>
        <w:t>кейсовые задания, ситуационные задачи и элементы моделирования профессиональных ситуаций</w:t>
      </w:r>
      <w:r w:rsidRPr="00DA4877">
        <w:rPr>
          <w:rFonts w:ascii="Times New Roman" w:hAnsi="Times New Roman" w:cs="Times New Roman"/>
          <w:color w:val="000000" w:themeColor="text1"/>
          <w:sz w:val="28"/>
          <w:szCs w:val="28"/>
        </w:rPr>
        <w:t>, что позволило не только проверить теоретические знания, но и оценить способность участников применять вероятностные методы в практических задачах.</w:t>
      </w:r>
    </w:p>
    <w:p w:rsidR="00382DF1" w:rsidRPr="00DA4877" w:rsidRDefault="00382DF1" w:rsidP="00DA4877">
      <w:pPr>
        <w:spacing w:after="0" w:line="240" w:lineRule="auto"/>
        <w:jc w:val="both"/>
        <w:outlineLvl w:val="2"/>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Результаты контрольной работы</w:t>
      </w:r>
    </w:p>
    <w:tbl>
      <w:tblPr>
        <w:tblStyle w:val="a3"/>
        <w:tblW w:w="0" w:type="auto"/>
        <w:tblLook w:val="04A0" w:firstRow="1" w:lastRow="0" w:firstColumn="1" w:lastColumn="0" w:noHBand="0" w:noVBand="1"/>
      </w:tblPr>
      <w:tblGrid>
        <w:gridCol w:w="5059"/>
        <w:gridCol w:w="1713"/>
        <w:gridCol w:w="1768"/>
        <w:gridCol w:w="1314"/>
      </w:tblGrid>
      <w:tr w:rsidR="00382DF1" w:rsidRPr="00DA4877" w:rsidTr="00382DF1">
        <w:tc>
          <w:tcPr>
            <w:tcW w:w="5070"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Категория участников</w:t>
            </w:r>
          </w:p>
        </w:tc>
        <w:tc>
          <w:tcPr>
            <w:tcW w:w="1417"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Количество участников</w:t>
            </w:r>
          </w:p>
        </w:tc>
        <w:tc>
          <w:tcPr>
            <w:tcW w:w="1770"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Средний балл (из 60)</w:t>
            </w:r>
          </w:p>
        </w:tc>
        <w:tc>
          <w:tcPr>
            <w:tcW w:w="0" w:type="auto"/>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 xml:space="preserve">Процент </w:t>
            </w:r>
          </w:p>
        </w:tc>
      </w:tr>
      <w:tr w:rsidR="00382DF1" w:rsidRPr="00DA4877" w:rsidTr="00382DF1">
        <w:tc>
          <w:tcPr>
            <w:tcW w:w="50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Студенты Жетысуского университета</w:t>
            </w:r>
          </w:p>
        </w:tc>
        <w:tc>
          <w:tcPr>
            <w:tcW w:w="1417"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45</w:t>
            </w:r>
          </w:p>
        </w:tc>
        <w:tc>
          <w:tcPr>
            <w:tcW w:w="17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30</w:t>
            </w:r>
          </w:p>
        </w:tc>
        <w:tc>
          <w:tcPr>
            <w:tcW w:w="0" w:type="auto"/>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50%</w:t>
            </w:r>
          </w:p>
        </w:tc>
      </w:tr>
      <w:tr w:rsidR="00382DF1" w:rsidRPr="00DA4877" w:rsidTr="00382DF1">
        <w:tc>
          <w:tcPr>
            <w:tcW w:w="50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Студенты Казахского Национального женского педагогического университета</w:t>
            </w:r>
          </w:p>
        </w:tc>
        <w:tc>
          <w:tcPr>
            <w:tcW w:w="1417"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15</w:t>
            </w:r>
          </w:p>
        </w:tc>
        <w:tc>
          <w:tcPr>
            <w:tcW w:w="17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32</w:t>
            </w:r>
          </w:p>
        </w:tc>
        <w:tc>
          <w:tcPr>
            <w:tcW w:w="0" w:type="auto"/>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53%</w:t>
            </w:r>
          </w:p>
        </w:tc>
      </w:tr>
      <w:tr w:rsidR="00382DF1" w:rsidRPr="00DA4877" w:rsidTr="00382DF1">
        <w:tc>
          <w:tcPr>
            <w:tcW w:w="50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Ученики школы</w:t>
            </w:r>
          </w:p>
        </w:tc>
        <w:tc>
          <w:tcPr>
            <w:tcW w:w="1417"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26</w:t>
            </w:r>
          </w:p>
        </w:tc>
        <w:tc>
          <w:tcPr>
            <w:tcW w:w="17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27</w:t>
            </w:r>
          </w:p>
        </w:tc>
        <w:tc>
          <w:tcPr>
            <w:tcW w:w="0" w:type="auto"/>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45%</w:t>
            </w:r>
          </w:p>
        </w:tc>
      </w:tr>
      <w:tr w:rsidR="00382DF1" w:rsidRPr="00DA4877" w:rsidTr="00382DF1">
        <w:tc>
          <w:tcPr>
            <w:tcW w:w="50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Учащиеся кружков</w:t>
            </w:r>
          </w:p>
        </w:tc>
        <w:tc>
          <w:tcPr>
            <w:tcW w:w="1417"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20</w:t>
            </w:r>
          </w:p>
        </w:tc>
        <w:tc>
          <w:tcPr>
            <w:tcW w:w="1770" w:type="dxa"/>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35</w:t>
            </w:r>
          </w:p>
        </w:tc>
        <w:tc>
          <w:tcPr>
            <w:tcW w:w="0" w:type="auto"/>
            <w:hideMark/>
          </w:tcPr>
          <w:p w:rsidR="00382DF1" w:rsidRPr="00DA4877" w:rsidRDefault="00382DF1" w:rsidP="00DA4877">
            <w:pPr>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58%</w:t>
            </w:r>
          </w:p>
        </w:tc>
      </w:tr>
    </w:tbl>
    <w:p w:rsidR="00382DF1" w:rsidRPr="00DA4877" w:rsidRDefault="00382DF1" w:rsidP="00DA4877">
      <w:pPr>
        <w:spacing w:after="0" w:line="240" w:lineRule="auto"/>
        <w:jc w:val="both"/>
        <w:outlineLvl w:val="2"/>
        <w:rPr>
          <w:rFonts w:ascii="Times New Roman" w:hAnsi="Times New Roman" w:cs="Times New Roman"/>
          <w:b/>
          <w:bCs/>
          <w:color w:val="000000" w:themeColor="text1"/>
          <w:sz w:val="28"/>
          <w:szCs w:val="28"/>
        </w:rPr>
      </w:pPr>
    </w:p>
    <w:p w:rsidR="00382DF1" w:rsidRPr="00DA4877" w:rsidRDefault="00382DF1" w:rsidP="00DA4877">
      <w:pPr>
        <w:spacing w:after="0" w:line="240" w:lineRule="auto"/>
        <w:jc w:val="both"/>
        <w:outlineLvl w:val="2"/>
        <w:rPr>
          <w:rFonts w:ascii="Times New Roman" w:hAnsi="Times New Roman" w:cs="Times New Roman"/>
          <w:b/>
          <w:bCs/>
          <w:color w:val="000000" w:themeColor="text1"/>
          <w:sz w:val="28"/>
          <w:szCs w:val="28"/>
        </w:rPr>
      </w:pPr>
      <w:r w:rsidRPr="00DA4877">
        <w:rPr>
          <w:rFonts w:ascii="Times New Roman" w:hAnsi="Times New Roman" w:cs="Times New Roman"/>
          <w:b/>
          <w:bCs/>
          <w:noProof/>
          <w:color w:val="000000" w:themeColor="text1"/>
          <w:sz w:val="28"/>
          <w:szCs w:val="28"/>
          <w:lang w:eastAsia="ru-RU"/>
        </w:rPr>
        <w:drawing>
          <wp:inline distT="0" distB="0" distL="0" distR="0" wp14:anchorId="191615BC" wp14:editId="7F4C79CD">
            <wp:extent cx="6073140" cy="2491740"/>
            <wp:effectExtent l="0" t="0" r="3810" b="38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2DF1" w:rsidRPr="00DA4877" w:rsidRDefault="00382DF1" w:rsidP="00DA4877">
      <w:pPr>
        <w:spacing w:after="0" w:line="240" w:lineRule="auto"/>
        <w:jc w:val="both"/>
        <w:outlineLvl w:val="2"/>
        <w:rPr>
          <w:rFonts w:ascii="Times New Roman" w:hAnsi="Times New Roman" w:cs="Times New Roman"/>
          <w:b/>
          <w:bCs/>
          <w:color w:val="000000" w:themeColor="text1"/>
          <w:sz w:val="28"/>
          <w:szCs w:val="28"/>
        </w:rPr>
      </w:pPr>
    </w:p>
    <w:p w:rsidR="00382DF1" w:rsidRPr="00DA4877" w:rsidRDefault="00382DF1" w:rsidP="00DA4877">
      <w:pPr>
        <w:spacing w:after="0" w:line="240" w:lineRule="auto"/>
        <w:ind w:firstLine="709"/>
        <w:jc w:val="both"/>
        <w:outlineLvl w:val="2"/>
        <w:rPr>
          <w:rFonts w:ascii="Times New Roman" w:hAnsi="Times New Roman" w:cs="Times New Roman"/>
          <w:color w:val="000000" w:themeColor="text1"/>
          <w:sz w:val="28"/>
          <w:szCs w:val="28"/>
        </w:rPr>
      </w:pPr>
      <w:r w:rsidRPr="00DA4877">
        <w:rPr>
          <w:rFonts w:ascii="Times New Roman" w:hAnsi="Times New Roman" w:cs="Times New Roman"/>
          <w:b/>
          <w:bCs/>
          <w:color w:val="000000" w:themeColor="text1"/>
          <w:sz w:val="28"/>
          <w:szCs w:val="28"/>
        </w:rPr>
        <w:t xml:space="preserve">Анализ результатов. </w:t>
      </w:r>
      <w:r w:rsidRPr="00DA4877">
        <w:rPr>
          <w:rFonts w:ascii="Times New Roman" w:hAnsi="Times New Roman" w:cs="Times New Roman"/>
          <w:color w:val="000000" w:themeColor="text1"/>
          <w:sz w:val="28"/>
          <w:szCs w:val="28"/>
        </w:rPr>
        <w:t xml:space="preserve">Наивысшие результаты показали </w:t>
      </w:r>
      <w:r w:rsidRPr="00DA4877">
        <w:rPr>
          <w:rFonts w:ascii="Times New Roman" w:hAnsi="Times New Roman" w:cs="Times New Roman"/>
          <w:b/>
          <w:bCs/>
          <w:color w:val="000000" w:themeColor="text1"/>
          <w:sz w:val="28"/>
          <w:szCs w:val="28"/>
        </w:rPr>
        <w:t>учащиеся кружков дополнительного образования (35 баллов в среднем, 58% успешности), а также студенты Казахского Национального женского педагогического университета (32 балла, 53% успешности)</w:t>
      </w:r>
      <w:r w:rsidRPr="00DA4877">
        <w:rPr>
          <w:rFonts w:ascii="Times New Roman" w:hAnsi="Times New Roman" w:cs="Times New Roman"/>
          <w:color w:val="000000" w:themeColor="text1"/>
          <w:sz w:val="28"/>
          <w:szCs w:val="28"/>
        </w:rPr>
        <w:t>. Это свидетельствует о высокой подготовленности данных категорий участников к анализу вероятностных моделей и решению стохастических задач.</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 xml:space="preserve">Студенты Жетысуского университета также продемонстрировали хороший уровень знаний (30 баллов, 50% успешности), в то время как </w:t>
      </w:r>
      <w:r w:rsidRPr="00DA4877">
        <w:rPr>
          <w:rFonts w:ascii="Times New Roman" w:hAnsi="Times New Roman" w:cs="Times New Roman"/>
          <w:b/>
          <w:bCs/>
          <w:color w:val="000000" w:themeColor="text1"/>
          <w:sz w:val="28"/>
          <w:szCs w:val="28"/>
        </w:rPr>
        <w:t xml:space="preserve">школьники показали несколько более низкие результаты (27 балла, 45% </w:t>
      </w:r>
      <w:r w:rsidRPr="00DA4877">
        <w:rPr>
          <w:rFonts w:ascii="Times New Roman" w:hAnsi="Times New Roman" w:cs="Times New Roman"/>
          <w:b/>
          <w:bCs/>
          <w:color w:val="000000" w:themeColor="text1"/>
          <w:sz w:val="28"/>
          <w:szCs w:val="28"/>
        </w:rPr>
        <w:lastRenderedPageBreak/>
        <w:t>успешности)</w:t>
      </w:r>
      <w:r w:rsidRPr="00DA4877">
        <w:rPr>
          <w:rFonts w:ascii="Times New Roman" w:hAnsi="Times New Roman" w:cs="Times New Roman"/>
          <w:color w:val="000000" w:themeColor="text1"/>
          <w:sz w:val="28"/>
          <w:szCs w:val="28"/>
        </w:rPr>
        <w:t>, что может объясняться их меньшим опытом в решении сложных математических и профессионально ориентированных задач.</w:t>
      </w:r>
    </w:p>
    <w:p w:rsidR="00382DF1" w:rsidRPr="00DA4877" w:rsidRDefault="00382DF1" w:rsidP="00DA4877">
      <w:pPr>
        <w:pStyle w:val="a4"/>
        <w:spacing w:before="0" w:beforeAutospacing="0" w:after="0" w:afterAutospacing="0"/>
        <w:ind w:firstLine="709"/>
        <w:jc w:val="both"/>
        <w:rPr>
          <w:color w:val="000000" w:themeColor="text1"/>
          <w:sz w:val="28"/>
          <w:szCs w:val="28"/>
        </w:rPr>
      </w:pPr>
      <w:r w:rsidRPr="00DA4877">
        <w:rPr>
          <w:color w:val="000000" w:themeColor="text1"/>
          <w:sz w:val="28"/>
          <w:szCs w:val="28"/>
        </w:rPr>
        <w:t>Таким образом, результаты контрольных работ подтверждают необходимость обучения учащихся для эффективного использования данного метода в практике.</w:t>
      </w:r>
    </w:p>
    <w:p w:rsidR="00382DF1" w:rsidRPr="00DA4877" w:rsidRDefault="00382DF1" w:rsidP="00DA4877">
      <w:pPr>
        <w:pStyle w:val="a4"/>
        <w:spacing w:before="0" w:beforeAutospacing="0" w:after="0" w:afterAutospacing="0"/>
        <w:ind w:firstLine="709"/>
        <w:jc w:val="both"/>
        <w:rPr>
          <w:color w:val="000000" w:themeColor="text1"/>
          <w:sz w:val="28"/>
          <w:szCs w:val="28"/>
        </w:rPr>
      </w:pPr>
      <w:r w:rsidRPr="00DA4877">
        <w:rPr>
          <w:color w:val="000000" w:themeColor="text1"/>
          <w:sz w:val="28"/>
          <w:szCs w:val="28"/>
        </w:rPr>
        <w:t xml:space="preserve">Эксперимент проводился </w:t>
      </w:r>
      <w:r w:rsidRPr="00DA4877">
        <w:rPr>
          <w:rStyle w:val="a5"/>
          <w:color w:val="000000" w:themeColor="text1"/>
          <w:sz w:val="28"/>
          <w:szCs w:val="28"/>
        </w:rPr>
        <w:t>в естественных условиях учебного процесса</w:t>
      </w:r>
      <w:r w:rsidRPr="00DA4877">
        <w:rPr>
          <w:color w:val="000000" w:themeColor="text1"/>
          <w:sz w:val="28"/>
          <w:szCs w:val="28"/>
        </w:rPr>
        <w:t>, что позволило объективно оценить влияние стохастико-игровых упражнений без внешнего вмешательства. Он охватывал разные уровни образования и категории учащихся.</w:t>
      </w:r>
    </w:p>
    <w:p w:rsidR="00382DF1" w:rsidRPr="00DA4877" w:rsidRDefault="00382DF1" w:rsidP="00DA4877">
      <w:pPr>
        <w:pStyle w:val="a4"/>
        <w:spacing w:before="0" w:beforeAutospacing="0" w:after="0" w:afterAutospacing="0"/>
        <w:ind w:firstLine="709"/>
        <w:jc w:val="both"/>
        <w:rPr>
          <w:color w:val="000000" w:themeColor="text1"/>
          <w:sz w:val="28"/>
          <w:szCs w:val="28"/>
        </w:rPr>
      </w:pPr>
      <w:r w:rsidRPr="00DA4877">
        <w:rPr>
          <w:rStyle w:val="a5"/>
          <w:color w:val="000000" w:themeColor="text1"/>
          <w:sz w:val="28"/>
          <w:szCs w:val="28"/>
        </w:rPr>
        <w:t xml:space="preserve">Студенты Жетысуского университета имени И. Жансугурова (3 и 4 курсы): </w:t>
      </w:r>
      <w:r w:rsidRPr="00DA4877">
        <w:rPr>
          <w:color w:val="000000" w:themeColor="text1"/>
          <w:sz w:val="28"/>
          <w:szCs w:val="28"/>
        </w:rPr>
        <w:t xml:space="preserve">общее количество участников составило </w:t>
      </w:r>
      <w:r w:rsidRPr="00DA4877">
        <w:rPr>
          <w:rStyle w:val="a5"/>
          <w:color w:val="000000" w:themeColor="text1"/>
          <w:sz w:val="28"/>
          <w:szCs w:val="28"/>
        </w:rPr>
        <w:t>45 человек</w:t>
      </w:r>
      <w:r w:rsidRPr="00DA4877">
        <w:rPr>
          <w:color w:val="000000" w:themeColor="text1"/>
          <w:sz w:val="28"/>
          <w:szCs w:val="28"/>
        </w:rPr>
        <w:t>, которые были разделены на две группы:</w:t>
      </w:r>
    </w:p>
    <w:p w:rsidR="00382DF1" w:rsidRPr="00DA4877" w:rsidRDefault="00382DF1" w:rsidP="00DA4877">
      <w:pPr>
        <w:numPr>
          <w:ilvl w:val="0"/>
          <w:numId w:val="36"/>
        </w:numPr>
        <w:spacing w:after="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t>Экспериментальная группа</w:t>
      </w:r>
      <w:r w:rsidRPr="00DA4877">
        <w:rPr>
          <w:rFonts w:ascii="Times New Roman" w:hAnsi="Times New Roman" w:cs="Times New Roman"/>
          <w:color w:val="000000" w:themeColor="text1"/>
          <w:sz w:val="28"/>
          <w:szCs w:val="28"/>
        </w:rPr>
        <w:t xml:space="preserve"> (23 студента) – обучалась с применением стохастико-игровых упражнений</w:t>
      </w:r>
    </w:p>
    <w:p w:rsidR="00382DF1" w:rsidRPr="00DA4877" w:rsidRDefault="00382DF1" w:rsidP="00DA4877">
      <w:pPr>
        <w:numPr>
          <w:ilvl w:val="0"/>
          <w:numId w:val="36"/>
        </w:numPr>
        <w:spacing w:after="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t>Контрольная группа</w:t>
      </w:r>
      <w:r w:rsidRPr="00DA4877">
        <w:rPr>
          <w:rFonts w:ascii="Times New Roman" w:hAnsi="Times New Roman" w:cs="Times New Roman"/>
          <w:color w:val="000000" w:themeColor="text1"/>
          <w:sz w:val="28"/>
          <w:szCs w:val="28"/>
        </w:rPr>
        <w:t xml:space="preserve"> (22 студента) – обучалась традиционными методами</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 xml:space="preserve">Обучение в </w:t>
      </w:r>
      <w:r w:rsidRPr="00DA4877">
        <w:rPr>
          <w:rStyle w:val="a5"/>
          <w:rFonts w:ascii="Times New Roman" w:hAnsi="Times New Roman" w:cs="Times New Roman"/>
          <w:color w:val="000000" w:themeColor="text1"/>
          <w:sz w:val="28"/>
          <w:szCs w:val="28"/>
        </w:rPr>
        <w:t>контрольной и экспериментальной группах</w:t>
      </w:r>
      <w:r w:rsidRPr="00DA4877">
        <w:rPr>
          <w:rFonts w:ascii="Times New Roman" w:hAnsi="Times New Roman" w:cs="Times New Roman"/>
          <w:color w:val="000000" w:themeColor="text1"/>
          <w:sz w:val="28"/>
          <w:szCs w:val="28"/>
        </w:rPr>
        <w:t xml:space="preserve"> велось по </w:t>
      </w:r>
      <w:r w:rsidRPr="00DA4877">
        <w:rPr>
          <w:rStyle w:val="a5"/>
          <w:rFonts w:ascii="Times New Roman" w:hAnsi="Times New Roman" w:cs="Times New Roman"/>
          <w:color w:val="000000" w:themeColor="text1"/>
          <w:sz w:val="28"/>
          <w:szCs w:val="28"/>
        </w:rPr>
        <w:t>одной рабочей учебной программе</w:t>
      </w:r>
      <w:r w:rsidRPr="00DA4877">
        <w:rPr>
          <w:rFonts w:ascii="Times New Roman" w:hAnsi="Times New Roman" w:cs="Times New Roman"/>
          <w:color w:val="000000" w:themeColor="text1"/>
          <w:sz w:val="28"/>
          <w:szCs w:val="28"/>
        </w:rPr>
        <w:t xml:space="preserve"> дисциплины </w:t>
      </w:r>
      <w:r w:rsidRPr="00DA4877">
        <w:rPr>
          <w:rStyle w:val="a5"/>
          <w:rFonts w:ascii="Times New Roman" w:hAnsi="Times New Roman" w:cs="Times New Roman"/>
          <w:color w:val="000000" w:themeColor="text1"/>
          <w:sz w:val="28"/>
          <w:szCs w:val="28"/>
        </w:rPr>
        <w:t>«Теория вероятностей и математическая статистика»</w:t>
      </w:r>
      <w:r w:rsidRPr="00DA4877">
        <w:rPr>
          <w:rFonts w:ascii="Times New Roman" w:hAnsi="Times New Roman" w:cs="Times New Roman"/>
          <w:color w:val="000000" w:themeColor="text1"/>
          <w:sz w:val="28"/>
          <w:szCs w:val="28"/>
        </w:rPr>
        <w:t xml:space="preserve"> в объеме </w:t>
      </w:r>
      <w:r w:rsidRPr="00DA4877">
        <w:rPr>
          <w:rStyle w:val="a5"/>
          <w:rFonts w:ascii="Times New Roman" w:hAnsi="Times New Roman" w:cs="Times New Roman"/>
          <w:color w:val="000000" w:themeColor="text1"/>
          <w:sz w:val="28"/>
          <w:szCs w:val="28"/>
        </w:rPr>
        <w:t>6 академических кредитов (180 часов)</w:t>
      </w:r>
      <w:r w:rsidRPr="00DA4877">
        <w:rPr>
          <w:rFonts w:ascii="Times New Roman" w:hAnsi="Times New Roman" w:cs="Times New Roman"/>
          <w:color w:val="000000" w:themeColor="text1"/>
          <w:sz w:val="28"/>
          <w:szCs w:val="28"/>
        </w:rPr>
        <w:t>. После обучения были проведены повторные контрольные работы.</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Для определения уровня сформированности знаний мы выделили следующие уровни:</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Первый уровень – выполнение заданий более 0 % менее 30%.</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Второй уровень – выполнение заданий более 30% менее 70%.</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Третий уровень – выполнение заданий более 70 % менее 90%.</w:t>
      </w:r>
    </w:p>
    <w:p w:rsidR="00382DF1" w:rsidRPr="00DA4877" w:rsidRDefault="00382DF1" w:rsidP="00DA4877">
      <w:pPr>
        <w:spacing w:after="0" w:line="240" w:lineRule="auto"/>
        <w:ind w:firstLine="709"/>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Четвертый уровень - выполнение заданий более 90 % менее 100%.</w:t>
      </w:r>
    </w:p>
    <w:p w:rsidR="00382DF1" w:rsidRPr="00DA4877" w:rsidRDefault="00382DF1" w:rsidP="00DA4877">
      <w:pPr>
        <w:spacing w:after="0" w:line="240" w:lineRule="auto"/>
        <w:ind w:firstLine="709"/>
        <w:jc w:val="both"/>
        <w:rPr>
          <w:rStyle w:val="a5"/>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t>Данные, полученные в ходе формирующего эксперимента.</w:t>
      </w:r>
    </w:p>
    <w:tbl>
      <w:tblPr>
        <w:tblStyle w:val="a3"/>
        <w:tblW w:w="0" w:type="auto"/>
        <w:tblLook w:val="04A0" w:firstRow="1" w:lastRow="0" w:firstColumn="1" w:lastColumn="0" w:noHBand="0" w:noVBand="1"/>
      </w:tblPr>
      <w:tblGrid>
        <w:gridCol w:w="1914"/>
        <w:gridCol w:w="1914"/>
        <w:gridCol w:w="1914"/>
        <w:gridCol w:w="1914"/>
        <w:gridCol w:w="1915"/>
      </w:tblGrid>
      <w:tr w:rsidR="00382DF1" w:rsidRPr="00DA4877" w:rsidTr="00382DF1">
        <w:tc>
          <w:tcPr>
            <w:tcW w:w="1914" w:type="dxa"/>
            <w:vMerge w:val="restart"/>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Уровень</w:t>
            </w:r>
          </w:p>
        </w:tc>
        <w:tc>
          <w:tcPr>
            <w:tcW w:w="3828" w:type="dxa"/>
            <w:gridSpan w:val="2"/>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Контрольная группа</w:t>
            </w:r>
          </w:p>
        </w:tc>
        <w:tc>
          <w:tcPr>
            <w:tcW w:w="3829" w:type="dxa"/>
            <w:gridSpan w:val="2"/>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Экспериментальная группа</w:t>
            </w:r>
          </w:p>
        </w:tc>
      </w:tr>
      <w:tr w:rsidR="00382DF1" w:rsidRPr="00DA4877" w:rsidTr="00382DF1">
        <w:tc>
          <w:tcPr>
            <w:tcW w:w="1914" w:type="dxa"/>
            <w:vMerge/>
          </w:tcPr>
          <w:p w:rsidR="00382DF1" w:rsidRPr="00DA4877" w:rsidRDefault="00382DF1" w:rsidP="00DA4877">
            <w:pPr>
              <w:jc w:val="both"/>
              <w:rPr>
                <w:rStyle w:val="a5"/>
                <w:rFonts w:ascii="Times New Roman" w:hAnsi="Times New Roman" w:cs="Times New Roman"/>
                <w:b w:val="0"/>
                <w:color w:val="000000" w:themeColor="text1"/>
                <w:sz w:val="28"/>
                <w:szCs w:val="28"/>
              </w:rPr>
            </w:pP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Начало эксперимента</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Конец эксперимента</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Начало эксперимента</w:t>
            </w:r>
          </w:p>
        </w:tc>
        <w:tc>
          <w:tcPr>
            <w:tcW w:w="1915"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Конец эксперимента</w:t>
            </w:r>
          </w:p>
        </w:tc>
      </w:tr>
      <w:tr w:rsidR="00382DF1" w:rsidRPr="00DA4877" w:rsidTr="00382DF1">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 xml:space="preserve">Первый </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7 (32%)</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3 (14%)</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8 (35%)</w:t>
            </w:r>
          </w:p>
        </w:tc>
        <w:tc>
          <w:tcPr>
            <w:tcW w:w="1915"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1 (4%)</w:t>
            </w:r>
          </w:p>
        </w:tc>
      </w:tr>
      <w:tr w:rsidR="00382DF1" w:rsidRPr="00DA4877" w:rsidTr="00382DF1">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 xml:space="preserve">Второй </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9 (41%)</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10 (45%)</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9 (39%)</w:t>
            </w:r>
          </w:p>
        </w:tc>
        <w:tc>
          <w:tcPr>
            <w:tcW w:w="1915"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3 (13%)</w:t>
            </w:r>
          </w:p>
        </w:tc>
      </w:tr>
      <w:tr w:rsidR="00382DF1" w:rsidRPr="00DA4877" w:rsidTr="00382DF1">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 xml:space="preserve">Третий </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5 (23%)</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6 (27%)</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4 (17%)</w:t>
            </w:r>
          </w:p>
        </w:tc>
        <w:tc>
          <w:tcPr>
            <w:tcW w:w="1915"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9 (40%)</w:t>
            </w:r>
          </w:p>
        </w:tc>
      </w:tr>
      <w:tr w:rsidR="00382DF1" w:rsidRPr="00DA4877" w:rsidTr="00382DF1">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 xml:space="preserve">Четвертый </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1 (4%)</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3 (14%)</w:t>
            </w:r>
          </w:p>
        </w:tc>
        <w:tc>
          <w:tcPr>
            <w:tcW w:w="1914"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2 (9%)</w:t>
            </w:r>
          </w:p>
        </w:tc>
        <w:tc>
          <w:tcPr>
            <w:tcW w:w="1915" w:type="dxa"/>
          </w:tcPr>
          <w:p w:rsidR="00382DF1" w:rsidRPr="00DA4877" w:rsidRDefault="00382DF1" w:rsidP="00DA4877">
            <w:pPr>
              <w:jc w:val="both"/>
              <w:rPr>
                <w:rStyle w:val="a5"/>
                <w:rFonts w:ascii="Times New Roman" w:hAnsi="Times New Roman" w:cs="Times New Roman"/>
                <w:b w:val="0"/>
                <w:color w:val="000000" w:themeColor="text1"/>
                <w:sz w:val="28"/>
                <w:szCs w:val="28"/>
              </w:rPr>
            </w:pPr>
            <w:r w:rsidRPr="00DA4877">
              <w:rPr>
                <w:rStyle w:val="a5"/>
                <w:rFonts w:ascii="Times New Roman" w:hAnsi="Times New Roman" w:cs="Times New Roman"/>
                <w:b w:val="0"/>
                <w:color w:val="000000" w:themeColor="text1"/>
                <w:sz w:val="28"/>
                <w:szCs w:val="28"/>
              </w:rPr>
              <w:t>10 (43%)</w:t>
            </w:r>
          </w:p>
        </w:tc>
      </w:tr>
    </w:tbl>
    <w:p w:rsidR="00382DF1" w:rsidRPr="00DA4877" w:rsidRDefault="00382DF1" w:rsidP="00DA4877">
      <w:pPr>
        <w:spacing w:after="0" w:line="240" w:lineRule="auto"/>
        <w:jc w:val="both"/>
        <w:rPr>
          <w:rStyle w:val="a5"/>
          <w:rFonts w:ascii="Times New Roman" w:hAnsi="Times New Roman" w:cs="Times New Roman"/>
          <w:color w:val="000000" w:themeColor="text1"/>
          <w:sz w:val="28"/>
          <w:szCs w:val="28"/>
        </w:rPr>
      </w:pPr>
      <w:r w:rsidRPr="00DA4877">
        <w:rPr>
          <w:rFonts w:ascii="Times New Roman" w:hAnsi="Times New Roman" w:cs="Times New Roman"/>
          <w:b/>
          <w:bCs/>
          <w:noProof/>
          <w:color w:val="000000" w:themeColor="text1"/>
          <w:sz w:val="28"/>
          <w:szCs w:val="28"/>
          <w:lang w:eastAsia="ru-RU"/>
        </w:rPr>
        <w:lastRenderedPageBreak/>
        <w:drawing>
          <wp:inline distT="0" distB="0" distL="0" distR="0" wp14:anchorId="33E9A9A1" wp14:editId="261D5E94">
            <wp:extent cx="6088380" cy="2468880"/>
            <wp:effectExtent l="0" t="0" r="762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2DF1" w:rsidRPr="00DA4877" w:rsidRDefault="00382DF1" w:rsidP="00DA4877">
      <w:pPr>
        <w:spacing w:after="0" w:line="240" w:lineRule="auto"/>
        <w:jc w:val="both"/>
        <w:rPr>
          <w:rStyle w:val="a5"/>
          <w:rFonts w:ascii="Times New Roman" w:hAnsi="Times New Roman" w:cs="Times New Roman"/>
          <w:color w:val="000000" w:themeColor="text1"/>
          <w:sz w:val="28"/>
          <w:szCs w:val="28"/>
        </w:rPr>
      </w:pPr>
      <w:r w:rsidRPr="00DA4877">
        <w:rPr>
          <w:rFonts w:ascii="Times New Roman" w:hAnsi="Times New Roman" w:cs="Times New Roman"/>
          <w:b/>
          <w:bCs/>
          <w:noProof/>
          <w:color w:val="000000" w:themeColor="text1"/>
          <w:sz w:val="28"/>
          <w:szCs w:val="28"/>
          <w:lang w:eastAsia="ru-RU"/>
        </w:rPr>
        <w:drawing>
          <wp:inline distT="0" distB="0" distL="0" distR="0" wp14:anchorId="4FC22C7B" wp14:editId="673146EB">
            <wp:extent cx="6088380" cy="2651760"/>
            <wp:effectExtent l="0" t="0" r="7620" b="152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2DF1" w:rsidRPr="00DA4877" w:rsidRDefault="00382DF1" w:rsidP="00DA4877">
      <w:pPr>
        <w:spacing w:after="0" w:line="240" w:lineRule="auto"/>
        <w:jc w:val="both"/>
        <w:rPr>
          <w:rFonts w:ascii="Times New Roman" w:hAnsi="Times New Roman" w:cs="Times New Roman"/>
          <w:color w:val="000000" w:themeColor="text1"/>
          <w:sz w:val="28"/>
          <w:szCs w:val="28"/>
        </w:rPr>
      </w:pPr>
      <w:r w:rsidRPr="00DA4877">
        <w:rPr>
          <w:rFonts w:ascii="Times New Roman" w:hAnsi="Times New Roman" w:cs="Times New Roman"/>
          <w:color w:val="000000" w:themeColor="text1"/>
          <w:sz w:val="28"/>
          <w:szCs w:val="28"/>
        </w:rPr>
        <w:t xml:space="preserve">В ходе анализа данных контрольной и экспериментальной групп был применен </w:t>
      </w:r>
      <w:r w:rsidRPr="00DA4877">
        <w:rPr>
          <w:rStyle w:val="a5"/>
          <w:rFonts w:ascii="Times New Roman" w:hAnsi="Times New Roman" w:cs="Times New Roman"/>
          <w:color w:val="000000" w:themeColor="text1"/>
          <w:sz w:val="28"/>
          <w:szCs w:val="28"/>
        </w:rPr>
        <w:t>критерий χ² (хи-квадрат) Пирсона</w:t>
      </w:r>
      <w:r w:rsidRPr="00DA4877">
        <w:rPr>
          <w:rFonts w:ascii="Times New Roman" w:hAnsi="Times New Roman" w:cs="Times New Roman"/>
          <w:color w:val="000000" w:themeColor="text1"/>
          <w:sz w:val="28"/>
          <w:szCs w:val="28"/>
        </w:rPr>
        <w:t xml:space="preserve"> для проверки статистической значимости различий в уровнях сформированности знаний после проведения формирующего эксперимента.</w:t>
      </w:r>
    </w:p>
    <w:p w:rsidR="00382DF1" w:rsidRPr="00DA4877" w:rsidRDefault="00382DF1" w:rsidP="00DA4877">
      <w:pPr>
        <w:pStyle w:val="a4"/>
        <w:spacing w:before="0" w:beforeAutospacing="0" w:after="0" w:afterAutospacing="0"/>
        <w:jc w:val="both"/>
        <w:rPr>
          <w:color w:val="000000" w:themeColor="text1"/>
          <w:sz w:val="28"/>
          <w:szCs w:val="28"/>
        </w:rPr>
      </w:pPr>
      <w:r w:rsidRPr="00DA4877">
        <w:rPr>
          <w:color w:val="000000" w:themeColor="text1"/>
          <w:sz w:val="28"/>
          <w:szCs w:val="28"/>
        </w:rPr>
        <w:t>Основная формула критерия χ²:</w:t>
      </w:r>
    </w:p>
    <w:p w:rsidR="00382DF1" w:rsidRPr="00DA4877" w:rsidRDefault="00382DF1" w:rsidP="00DA4877">
      <w:pPr>
        <w:pStyle w:val="a4"/>
        <w:spacing w:before="0" w:beforeAutospacing="0" w:after="0" w:afterAutospacing="0"/>
        <w:jc w:val="both"/>
        <w:rPr>
          <w:color w:val="000000" w:themeColor="text1"/>
          <w:sz w:val="28"/>
          <w:szCs w:val="28"/>
        </w:rPr>
      </w:pPr>
      <w:r w:rsidRPr="00DA4877">
        <w:rPr>
          <w:rStyle w:val="katex-mathml"/>
          <w:rFonts w:eastAsiaTheme="majorEastAsia"/>
          <w:noProof/>
          <w:color w:val="000000" w:themeColor="text1"/>
          <w:sz w:val="28"/>
          <w:szCs w:val="28"/>
        </w:rPr>
        <w:drawing>
          <wp:inline distT="0" distB="0" distL="0" distR="0" wp14:anchorId="687A9636" wp14:editId="41E18496">
            <wp:extent cx="2191056" cy="676369"/>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1056" cy="676369"/>
                    </a:xfrm>
                    <a:prstGeom prst="rect">
                      <a:avLst/>
                    </a:prstGeom>
                  </pic:spPr>
                </pic:pic>
              </a:graphicData>
            </a:graphic>
          </wp:inline>
        </w:drawing>
      </w:r>
      <w:r w:rsidRPr="00DA4877">
        <w:rPr>
          <w:color w:val="000000" w:themeColor="text1"/>
          <w:sz w:val="28"/>
          <w:szCs w:val="28"/>
        </w:rPr>
        <w:t>где:</w:t>
      </w:r>
    </w:p>
    <w:p w:rsidR="00382DF1" w:rsidRPr="00DA4877" w:rsidRDefault="00382DF1" w:rsidP="00DA4877">
      <w:pPr>
        <w:numPr>
          <w:ilvl w:val="0"/>
          <w:numId w:val="37"/>
        </w:numPr>
        <w:spacing w:after="0" w:line="240" w:lineRule="auto"/>
        <w:jc w:val="both"/>
        <w:rPr>
          <w:rFonts w:ascii="Times New Roman" w:hAnsi="Times New Roman" w:cs="Times New Roman"/>
          <w:color w:val="000000" w:themeColor="text1"/>
          <w:sz w:val="28"/>
          <w:szCs w:val="28"/>
        </w:rPr>
      </w:pPr>
      <w:r w:rsidRPr="00DA4877">
        <w:rPr>
          <w:rStyle w:val="katex-mathml"/>
          <w:rFonts w:ascii="Times New Roman" w:hAnsi="Times New Roman" w:cs="Times New Roman"/>
          <w:noProof/>
          <w:color w:val="000000" w:themeColor="text1"/>
          <w:sz w:val="28"/>
          <w:szCs w:val="28"/>
          <w:lang w:eastAsia="ru-RU"/>
        </w:rPr>
        <w:drawing>
          <wp:inline distT="0" distB="0" distL="0" distR="0" wp14:anchorId="03A848B6" wp14:editId="69FA15E7">
            <wp:extent cx="304843" cy="314369"/>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843" cy="314369"/>
                    </a:xfrm>
                    <a:prstGeom prst="rect">
                      <a:avLst/>
                    </a:prstGeom>
                  </pic:spPr>
                </pic:pic>
              </a:graphicData>
            </a:graphic>
          </wp:inline>
        </w:drawing>
      </w:r>
      <w:r w:rsidRPr="00DA4877">
        <w:rPr>
          <w:rFonts w:ascii="Times New Roman" w:hAnsi="Times New Roman" w:cs="Times New Roman"/>
          <w:color w:val="000000" w:themeColor="text1"/>
          <w:sz w:val="28"/>
          <w:szCs w:val="28"/>
        </w:rPr>
        <w:t xml:space="preserve"> – наблюдаемая частота (число фактически зарегистрированных случаев),</w:t>
      </w:r>
    </w:p>
    <w:p w:rsidR="00382DF1" w:rsidRPr="00DA4877" w:rsidRDefault="00382DF1" w:rsidP="00DA4877">
      <w:pPr>
        <w:numPr>
          <w:ilvl w:val="0"/>
          <w:numId w:val="37"/>
        </w:numPr>
        <w:spacing w:after="0" w:line="240" w:lineRule="auto"/>
        <w:jc w:val="both"/>
        <w:rPr>
          <w:rFonts w:ascii="Times New Roman" w:hAnsi="Times New Roman" w:cs="Times New Roman"/>
          <w:color w:val="000000" w:themeColor="text1"/>
          <w:sz w:val="28"/>
          <w:szCs w:val="28"/>
        </w:rPr>
      </w:pPr>
      <w:r w:rsidRPr="00DA4877">
        <w:rPr>
          <w:rStyle w:val="katex-mathml"/>
          <w:rFonts w:ascii="Times New Roman" w:hAnsi="Times New Roman" w:cs="Times New Roman"/>
          <w:noProof/>
          <w:color w:val="000000" w:themeColor="text1"/>
          <w:sz w:val="28"/>
          <w:szCs w:val="28"/>
          <w:lang w:eastAsia="ru-RU"/>
        </w:rPr>
        <w:drawing>
          <wp:inline distT="0" distB="0" distL="0" distR="0" wp14:anchorId="3A272A11" wp14:editId="0B859E47">
            <wp:extent cx="295316" cy="295316"/>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316" cy="295316"/>
                    </a:xfrm>
                    <a:prstGeom prst="rect">
                      <a:avLst/>
                    </a:prstGeom>
                  </pic:spPr>
                </pic:pic>
              </a:graphicData>
            </a:graphic>
          </wp:inline>
        </w:drawing>
      </w:r>
      <w:r w:rsidRPr="00DA4877">
        <w:rPr>
          <w:rStyle w:val="vlist-s"/>
          <w:rFonts w:ascii="Times New Roman" w:hAnsi="Times New Roman" w:cs="Times New Roman"/>
          <w:color w:val="000000" w:themeColor="text1"/>
          <w:sz w:val="28"/>
          <w:szCs w:val="28"/>
        </w:rPr>
        <w:t>​</w:t>
      </w:r>
      <w:r w:rsidRPr="00DA4877">
        <w:rPr>
          <w:rFonts w:ascii="Times New Roman" w:hAnsi="Times New Roman" w:cs="Times New Roman"/>
          <w:color w:val="000000" w:themeColor="text1"/>
          <w:sz w:val="28"/>
          <w:szCs w:val="28"/>
        </w:rPr>
        <w:t xml:space="preserve"> – ожидаемая частота (число случаев, ожидаемое по гипотезе),</w:t>
      </w:r>
    </w:p>
    <w:p w:rsidR="00382DF1" w:rsidRPr="00DA4877" w:rsidRDefault="00382DF1" w:rsidP="00DA4877">
      <w:pPr>
        <w:numPr>
          <w:ilvl w:val="0"/>
          <w:numId w:val="37"/>
        </w:numPr>
        <w:spacing w:after="0" w:line="240" w:lineRule="auto"/>
        <w:jc w:val="both"/>
        <w:rPr>
          <w:rFonts w:ascii="Times New Roman" w:hAnsi="Times New Roman" w:cs="Times New Roman"/>
          <w:color w:val="000000" w:themeColor="text1"/>
          <w:sz w:val="28"/>
          <w:szCs w:val="28"/>
        </w:rPr>
      </w:pPr>
      <w:r w:rsidRPr="00DA4877">
        <w:rPr>
          <w:rStyle w:val="katex-mathml"/>
          <w:rFonts w:ascii="Times New Roman" w:hAnsi="Times New Roman" w:cs="Times New Roman"/>
          <w:noProof/>
          <w:color w:val="000000" w:themeColor="text1"/>
          <w:sz w:val="28"/>
          <w:szCs w:val="28"/>
          <w:lang w:eastAsia="ru-RU"/>
        </w:rPr>
        <w:drawing>
          <wp:inline distT="0" distB="0" distL="0" distR="0" wp14:anchorId="2015C3F1" wp14:editId="7E0AA63A">
            <wp:extent cx="323895" cy="371527"/>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895" cy="371527"/>
                    </a:xfrm>
                    <a:prstGeom prst="rect">
                      <a:avLst/>
                    </a:prstGeom>
                  </pic:spPr>
                </pic:pic>
              </a:graphicData>
            </a:graphic>
          </wp:inline>
        </w:drawing>
      </w:r>
      <w:r w:rsidRPr="00DA4877">
        <w:rPr>
          <w:rFonts w:ascii="Times New Roman" w:hAnsi="Times New Roman" w:cs="Times New Roman"/>
          <w:color w:val="000000" w:themeColor="text1"/>
          <w:sz w:val="28"/>
          <w:szCs w:val="28"/>
        </w:rPr>
        <w:t>– сумма по всем категориям.</w:t>
      </w:r>
    </w:p>
    <w:p w:rsidR="00382DF1" w:rsidRPr="00DA4877" w:rsidRDefault="00382DF1" w:rsidP="00DA4877">
      <w:pPr>
        <w:pStyle w:val="a4"/>
        <w:spacing w:before="0" w:beforeAutospacing="0" w:after="0" w:afterAutospacing="0"/>
        <w:jc w:val="both"/>
        <w:rPr>
          <w:color w:val="000000" w:themeColor="text1"/>
          <w:sz w:val="28"/>
          <w:szCs w:val="28"/>
        </w:rPr>
      </w:pPr>
      <w:r w:rsidRPr="00DA4877">
        <w:rPr>
          <w:color w:val="000000" w:themeColor="text1"/>
          <w:sz w:val="28"/>
          <w:szCs w:val="28"/>
        </w:rPr>
        <w:t xml:space="preserve">Чем больше расхождение между </w:t>
      </w:r>
      <w:r w:rsidRPr="00DA4877">
        <w:rPr>
          <w:rStyle w:val="katex-mathml"/>
          <w:rFonts w:eastAsiaTheme="majorEastAsia"/>
          <w:noProof/>
          <w:color w:val="000000" w:themeColor="text1"/>
          <w:sz w:val="28"/>
          <w:szCs w:val="28"/>
        </w:rPr>
        <w:drawing>
          <wp:inline distT="0" distB="0" distL="0" distR="0" wp14:anchorId="7997E951" wp14:editId="53DEB825">
            <wp:extent cx="304843" cy="314369"/>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843" cy="314369"/>
                    </a:xfrm>
                    <a:prstGeom prst="rect">
                      <a:avLst/>
                    </a:prstGeom>
                  </pic:spPr>
                </pic:pic>
              </a:graphicData>
            </a:graphic>
          </wp:inline>
        </w:drawing>
      </w:r>
      <w:r w:rsidRPr="00DA4877">
        <w:rPr>
          <w:color w:val="000000" w:themeColor="text1"/>
          <w:sz w:val="28"/>
          <w:szCs w:val="28"/>
        </w:rPr>
        <w:t xml:space="preserve"> и </w:t>
      </w:r>
      <w:r w:rsidRPr="00DA4877">
        <w:rPr>
          <w:rStyle w:val="katex-mathml"/>
          <w:rFonts w:eastAsiaTheme="majorEastAsia"/>
          <w:noProof/>
          <w:color w:val="000000" w:themeColor="text1"/>
          <w:sz w:val="28"/>
          <w:szCs w:val="28"/>
        </w:rPr>
        <w:drawing>
          <wp:inline distT="0" distB="0" distL="0" distR="0" wp14:anchorId="224B36B0" wp14:editId="3A7DD036">
            <wp:extent cx="295316" cy="295316"/>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316" cy="295316"/>
                    </a:xfrm>
                    <a:prstGeom prst="rect">
                      <a:avLst/>
                    </a:prstGeom>
                  </pic:spPr>
                </pic:pic>
              </a:graphicData>
            </a:graphic>
          </wp:inline>
        </w:drawing>
      </w:r>
      <w:r w:rsidRPr="00DA4877">
        <w:rPr>
          <w:rStyle w:val="vlist-s"/>
          <w:color w:val="000000" w:themeColor="text1"/>
          <w:sz w:val="28"/>
          <w:szCs w:val="28"/>
        </w:rPr>
        <w:t>​</w:t>
      </w:r>
      <w:r w:rsidRPr="00DA4877">
        <w:rPr>
          <w:color w:val="000000" w:themeColor="text1"/>
          <w:sz w:val="28"/>
          <w:szCs w:val="28"/>
        </w:rPr>
        <w:t>, тем выше значение χ², что указывает на возможное отклонение от нулевой гипотезы.</w:t>
      </w:r>
    </w:p>
    <w:p w:rsidR="00382DF1" w:rsidRPr="00DA4877" w:rsidRDefault="00382DF1" w:rsidP="00DA4877">
      <w:pPr>
        <w:pStyle w:val="4"/>
        <w:spacing w:before="0" w:line="240" w:lineRule="auto"/>
        <w:jc w:val="both"/>
        <w:rPr>
          <w:rFonts w:ascii="Times New Roman" w:hAnsi="Times New Roman" w:cs="Times New Roman"/>
          <w:i w:val="0"/>
          <w:color w:val="000000" w:themeColor="text1"/>
          <w:sz w:val="28"/>
          <w:szCs w:val="28"/>
        </w:rPr>
      </w:pPr>
      <w:r w:rsidRPr="00DA4877">
        <w:rPr>
          <w:rStyle w:val="a5"/>
          <w:rFonts w:ascii="Times New Roman" w:hAnsi="Times New Roman" w:cs="Times New Roman"/>
          <w:i w:val="0"/>
          <w:color w:val="000000" w:themeColor="text1"/>
          <w:sz w:val="28"/>
          <w:szCs w:val="28"/>
        </w:rPr>
        <w:t>Рассчитанные значения:</w:t>
      </w:r>
    </w:p>
    <w:p w:rsidR="00382DF1" w:rsidRPr="00DA4877" w:rsidRDefault="00382DF1" w:rsidP="00DA4877">
      <w:pPr>
        <w:numPr>
          <w:ilvl w:val="0"/>
          <w:numId w:val="38"/>
        </w:numPr>
        <w:spacing w:after="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t>χ² = 14.82</w:t>
      </w:r>
      <w:r w:rsidRPr="00DA4877">
        <w:rPr>
          <w:rFonts w:ascii="Times New Roman" w:hAnsi="Times New Roman" w:cs="Times New Roman"/>
          <w:color w:val="000000" w:themeColor="text1"/>
          <w:sz w:val="28"/>
          <w:szCs w:val="28"/>
        </w:rPr>
        <w:t xml:space="preserve"> (значение статистики хи-квадрат)</w:t>
      </w:r>
    </w:p>
    <w:p w:rsidR="00382DF1" w:rsidRPr="00DA4877" w:rsidRDefault="00382DF1" w:rsidP="00DA4877">
      <w:pPr>
        <w:numPr>
          <w:ilvl w:val="0"/>
          <w:numId w:val="38"/>
        </w:numPr>
        <w:spacing w:after="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lastRenderedPageBreak/>
        <w:t>p-значение = 0.002</w:t>
      </w:r>
      <w:r w:rsidRPr="00DA4877">
        <w:rPr>
          <w:rFonts w:ascii="Times New Roman" w:hAnsi="Times New Roman" w:cs="Times New Roman"/>
          <w:color w:val="000000" w:themeColor="text1"/>
          <w:sz w:val="28"/>
          <w:szCs w:val="28"/>
        </w:rPr>
        <w:t xml:space="preserve"> (уровень значимости)</w:t>
      </w:r>
    </w:p>
    <w:p w:rsidR="00382DF1" w:rsidRPr="00DA4877" w:rsidRDefault="00382DF1" w:rsidP="00DA4877">
      <w:pPr>
        <w:numPr>
          <w:ilvl w:val="0"/>
          <w:numId w:val="38"/>
        </w:numPr>
        <w:spacing w:after="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t>Степени свободы = 3</w:t>
      </w:r>
    </w:p>
    <w:p w:rsidR="00382DF1" w:rsidRPr="00DA4877" w:rsidRDefault="00382DF1" w:rsidP="00DA4877">
      <w:pPr>
        <w:numPr>
          <w:ilvl w:val="0"/>
          <w:numId w:val="38"/>
        </w:numPr>
        <w:spacing w:after="0" w:line="240" w:lineRule="auto"/>
        <w:jc w:val="both"/>
        <w:rPr>
          <w:rFonts w:ascii="Times New Roman" w:hAnsi="Times New Roman" w:cs="Times New Roman"/>
          <w:color w:val="000000" w:themeColor="text1"/>
          <w:sz w:val="28"/>
          <w:szCs w:val="28"/>
        </w:rPr>
      </w:pPr>
      <w:r w:rsidRPr="00DA4877">
        <w:rPr>
          <w:rStyle w:val="a5"/>
          <w:rFonts w:ascii="Times New Roman" w:hAnsi="Times New Roman" w:cs="Times New Roman"/>
          <w:color w:val="000000" w:themeColor="text1"/>
          <w:sz w:val="28"/>
          <w:szCs w:val="28"/>
        </w:rPr>
        <w:t>Ожидаемые частоты (теоретическое распределение):</w:t>
      </w:r>
    </w:p>
    <w:tbl>
      <w:tblPr>
        <w:tblStyle w:val="a3"/>
        <w:tblW w:w="0" w:type="auto"/>
        <w:tblLayout w:type="fixed"/>
        <w:tblLook w:val="04A0" w:firstRow="1" w:lastRow="0" w:firstColumn="1" w:lastColumn="0" w:noHBand="0" w:noVBand="1"/>
      </w:tblPr>
      <w:tblGrid>
        <w:gridCol w:w="2660"/>
        <w:gridCol w:w="1559"/>
        <w:gridCol w:w="1559"/>
        <w:gridCol w:w="1985"/>
        <w:gridCol w:w="1808"/>
      </w:tblGrid>
      <w:tr w:rsidR="00382DF1" w:rsidRPr="00DA4877" w:rsidTr="00382DF1">
        <w:tc>
          <w:tcPr>
            <w:tcW w:w="2660"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Уровень</w:t>
            </w:r>
          </w:p>
        </w:tc>
        <w:tc>
          <w:tcPr>
            <w:tcW w:w="1559"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Контрольная группа (начало)</w:t>
            </w:r>
          </w:p>
        </w:tc>
        <w:tc>
          <w:tcPr>
            <w:tcW w:w="1559"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Контрольная группа (конец)</w:t>
            </w:r>
          </w:p>
        </w:tc>
        <w:tc>
          <w:tcPr>
            <w:tcW w:w="1985"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Экспериментальная группа (начало)</w:t>
            </w:r>
          </w:p>
        </w:tc>
        <w:tc>
          <w:tcPr>
            <w:tcW w:w="1808" w:type="dxa"/>
            <w:hideMark/>
          </w:tcPr>
          <w:p w:rsidR="00382DF1" w:rsidRPr="00DA4877" w:rsidRDefault="00382DF1" w:rsidP="00DA4877">
            <w:pPr>
              <w:jc w:val="both"/>
              <w:rPr>
                <w:rFonts w:ascii="Times New Roman" w:hAnsi="Times New Roman" w:cs="Times New Roman"/>
                <w:b/>
                <w:bCs/>
                <w:color w:val="000000" w:themeColor="text1"/>
                <w:sz w:val="28"/>
                <w:szCs w:val="28"/>
              </w:rPr>
            </w:pPr>
            <w:r w:rsidRPr="00DA4877">
              <w:rPr>
                <w:rFonts w:ascii="Times New Roman" w:hAnsi="Times New Roman" w:cs="Times New Roman"/>
                <w:b/>
                <w:bCs/>
                <w:color w:val="000000" w:themeColor="text1"/>
                <w:sz w:val="28"/>
                <w:szCs w:val="28"/>
              </w:rPr>
              <w:t>Экспериментальная группа (конец)</w:t>
            </w:r>
          </w:p>
        </w:tc>
      </w:tr>
      <w:tr w:rsidR="00382DF1" w:rsidRPr="00382DF1" w:rsidTr="00382DF1">
        <w:tc>
          <w:tcPr>
            <w:tcW w:w="2660"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Первый</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6.2</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4.1</w:t>
            </w:r>
          </w:p>
        </w:tc>
        <w:tc>
          <w:tcPr>
            <w:tcW w:w="1985"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7.5</w:t>
            </w:r>
          </w:p>
        </w:tc>
        <w:tc>
          <w:tcPr>
            <w:tcW w:w="1808"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1.2</w:t>
            </w:r>
          </w:p>
        </w:tc>
      </w:tr>
      <w:tr w:rsidR="00382DF1" w:rsidRPr="00382DF1" w:rsidTr="00382DF1">
        <w:tc>
          <w:tcPr>
            <w:tcW w:w="2660"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Второй</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8.5</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9.2</w:t>
            </w:r>
          </w:p>
        </w:tc>
        <w:tc>
          <w:tcPr>
            <w:tcW w:w="1985"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8.7</w:t>
            </w:r>
          </w:p>
        </w:tc>
        <w:tc>
          <w:tcPr>
            <w:tcW w:w="1808"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4.6</w:t>
            </w:r>
          </w:p>
        </w:tc>
      </w:tr>
      <w:tr w:rsidR="00382DF1" w:rsidRPr="00382DF1" w:rsidTr="00382DF1">
        <w:tc>
          <w:tcPr>
            <w:tcW w:w="2660"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Третий</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4.3</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5.8</w:t>
            </w:r>
          </w:p>
        </w:tc>
        <w:tc>
          <w:tcPr>
            <w:tcW w:w="1985"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4.8</w:t>
            </w:r>
          </w:p>
        </w:tc>
        <w:tc>
          <w:tcPr>
            <w:tcW w:w="1808"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7.3</w:t>
            </w:r>
          </w:p>
        </w:tc>
      </w:tr>
      <w:tr w:rsidR="00382DF1" w:rsidRPr="00382DF1" w:rsidTr="00382DF1">
        <w:tc>
          <w:tcPr>
            <w:tcW w:w="2660"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Четвертый</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2.0</w:t>
            </w:r>
          </w:p>
        </w:tc>
        <w:tc>
          <w:tcPr>
            <w:tcW w:w="1559"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3.9</w:t>
            </w:r>
          </w:p>
        </w:tc>
        <w:tc>
          <w:tcPr>
            <w:tcW w:w="1985"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3.0</w:t>
            </w:r>
          </w:p>
        </w:tc>
        <w:tc>
          <w:tcPr>
            <w:tcW w:w="1808" w:type="dxa"/>
            <w:hideMark/>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9.1</w:t>
            </w:r>
          </w:p>
        </w:tc>
      </w:tr>
    </w:tbl>
    <w:p w:rsidR="00382DF1" w:rsidRPr="00382DF1" w:rsidRDefault="00382DF1" w:rsidP="00382DF1">
      <w:pPr>
        <w:pStyle w:val="a4"/>
        <w:spacing w:before="0" w:beforeAutospacing="0" w:after="0" w:afterAutospacing="0"/>
        <w:jc w:val="both"/>
        <w:rPr>
          <w:color w:val="000000" w:themeColor="text1"/>
          <w:sz w:val="28"/>
          <w:szCs w:val="28"/>
        </w:rPr>
      </w:pPr>
      <w:r w:rsidRPr="00382DF1">
        <w:rPr>
          <w:color w:val="000000" w:themeColor="text1"/>
          <w:sz w:val="28"/>
          <w:szCs w:val="28"/>
        </w:rPr>
        <w:t xml:space="preserve">  </w:t>
      </w:r>
      <w:r w:rsidRPr="00382DF1">
        <w:rPr>
          <w:rStyle w:val="a5"/>
          <w:color w:val="000000" w:themeColor="text1"/>
          <w:sz w:val="28"/>
          <w:szCs w:val="28"/>
        </w:rPr>
        <w:t>Статистически значимые различия:</w:t>
      </w:r>
    </w:p>
    <w:p w:rsidR="00382DF1" w:rsidRPr="00382DF1" w:rsidRDefault="00382DF1" w:rsidP="00A14C56">
      <w:pPr>
        <w:numPr>
          <w:ilvl w:val="0"/>
          <w:numId w:val="39"/>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Так как </w:t>
      </w:r>
      <w:r w:rsidRPr="00382DF1">
        <w:rPr>
          <w:rStyle w:val="a5"/>
          <w:rFonts w:ascii="Times New Roman" w:hAnsi="Times New Roman" w:cs="Times New Roman"/>
          <w:color w:val="000000" w:themeColor="text1"/>
          <w:sz w:val="28"/>
          <w:szCs w:val="28"/>
        </w:rPr>
        <w:t>p-значение (0.002) &lt; 0.05</w:t>
      </w:r>
      <w:r w:rsidRPr="00382DF1">
        <w:rPr>
          <w:rFonts w:ascii="Times New Roman" w:hAnsi="Times New Roman" w:cs="Times New Roman"/>
          <w:color w:val="000000" w:themeColor="text1"/>
          <w:sz w:val="28"/>
          <w:szCs w:val="28"/>
        </w:rPr>
        <w:t xml:space="preserve">, различия между контрольной и экспериментальной группами </w:t>
      </w:r>
      <w:r w:rsidRPr="00382DF1">
        <w:rPr>
          <w:rStyle w:val="a5"/>
          <w:rFonts w:ascii="Times New Roman" w:hAnsi="Times New Roman" w:cs="Times New Roman"/>
          <w:color w:val="000000" w:themeColor="text1"/>
          <w:sz w:val="28"/>
          <w:szCs w:val="28"/>
        </w:rPr>
        <w:t>значимы</w:t>
      </w:r>
      <w:r w:rsidRPr="00382DF1">
        <w:rPr>
          <w:rFonts w:ascii="Times New Roman" w:hAnsi="Times New Roman" w:cs="Times New Roman"/>
          <w:color w:val="000000" w:themeColor="text1"/>
          <w:sz w:val="28"/>
          <w:szCs w:val="28"/>
        </w:rPr>
        <w:t>. Это означает, что метод стохастико-игровых упражнений действительно оказал влияние на уровень знаний студентов.</w:t>
      </w:r>
    </w:p>
    <w:p w:rsidR="00382DF1" w:rsidRPr="00382DF1" w:rsidRDefault="00382DF1" w:rsidP="00382DF1">
      <w:pPr>
        <w:pStyle w:val="a4"/>
        <w:spacing w:before="0" w:beforeAutospacing="0" w:after="0" w:afterAutospacing="0"/>
        <w:jc w:val="both"/>
        <w:rPr>
          <w:color w:val="000000" w:themeColor="text1"/>
          <w:sz w:val="28"/>
          <w:szCs w:val="28"/>
        </w:rPr>
      </w:pPr>
      <w:r w:rsidRPr="00382DF1">
        <w:rPr>
          <w:color w:val="000000" w:themeColor="text1"/>
          <w:sz w:val="28"/>
          <w:szCs w:val="28"/>
        </w:rPr>
        <w:t xml:space="preserve">  </w:t>
      </w:r>
      <w:r w:rsidRPr="00382DF1">
        <w:rPr>
          <w:rStyle w:val="a5"/>
          <w:color w:val="000000" w:themeColor="text1"/>
          <w:sz w:val="28"/>
          <w:szCs w:val="28"/>
        </w:rPr>
        <w:t>Положительная динамика в экспериментальной группе:</w:t>
      </w:r>
    </w:p>
    <w:p w:rsidR="00382DF1" w:rsidRPr="00382DF1" w:rsidRDefault="00382DF1" w:rsidP="00A14C56">
      <w:pPr>
        <w:numPr>
          <w:ilvl w:val="0"/>
          <w:numId w:val="4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Доля студентов </w:t>
      </w:r>
      <w:r w:rsidRPr="00382DF1">
        <w:rPr>
          <w:rStyle w:val="a5"/>
          <w:rFonts w:ascii="Times New Roman" w:hAnsi="Times New Roman" w:cs="Times New Roman"/>
          <w:color w:val="000000" w:themeColor="text1"/>
          <w:sz w:val="28"/>
          <w:szCs w:val="28"/>
        </w:rPr>
        <w:t>четвертого уровня (90-100% выполнения заданий) в экспериментальной группе выросла с 9% до 43%</w:t>
      </w:r>
      <w:r w:rsidRPr="00382DF1">
        <w:rPr>
          <w:rFonts w:ascii="Times New Roman" w:hAnsi="Times New Roman" w:cs="Times New Roman"/>
          <w:color w:val="000000" w:themeColor="text1"/>
          <w:sz w:val="28"/>
          <w:szCs w:val="28"/>
        </w:rPr>
        <w:t>, что подтверждает высокую эффективность методики.</w:t>
      </w:r>
    </w:p>
    <w:p w:rsidR="00382DF1" w:rsidRPr="00382DF1" w:rsidRDefault="00382DF1" w:rsidP="00A14C56">
      <w:pPr>
        <w:numPr>
          <w:ilvl w:val="0"/>
          <w:numId w:val="40"/>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Доля студентов </w:t>
      </w:r>
      <w:r w:rsidRPr="00382DF1">
        <w:rPr>
          <w:rStyle w:val="a5"/>
          <w:rFonts w:ascii="Times New Roman" w:hAnsi="Times New Roman" w:cs="Times New Roman"/>
          <w:color w:val="000000" w:themeColor="text1"/>
          <w:sz w:val="28"/>
          <w:szCs w:val="28"/>
        </w:rPr>
        <w:t>первого уровня (0-30%) снизилась с 35% до 4%</w:t>
      </w:r>
      <w:r w:rsidRPr="00382DF1">
        <w:rPr>
          <w:rFonts w:ascii="Times New Roman" w:hAnsi="Times New Roman" w:cs="Times New Roman"/>
          <w:color w:val="000000" w:themeColor="text1"/>
          <w:sz w:val="28"/>
          <w:szCs w:val="28"/>
        </w:rPr>
        <w:t>, что говорит о том, что студенты стали лучше справляться с заданиями.</w:t>
      </w:r>
    </w:p>
    <w:p w:rsidR="00382DF1" w:rsidRPr="00382DF1" w:rsidRDefault="00382DF1" w:rsidP="00382DF1">
      <w:pPr>
        <w:pStyle w:val="a4"/>
        <w:spacing w:before="0" w:beforeAutospacing="0" w:after="0" w:afterAutospacing="0"/>
        <w:jc w:val="both"/>
        <w:rPr>
          <w:color w:val="000000" w:themeColor="text1"/>
          <w:sz w:val="28"/>
          <w:szCs w:val="28"/>
        </w:rPr>
      </w:pPr>
      <w:r w:rsidRPr="00382DF1">
        <w:rPr>
          <w:color w:val="000000" w:themeColor="text1"/>
          <w:sz w:val="28"/>
          <w:szCs w:val="28"/>
        </w:rPr>
        <w:t xml:space="preserve">  </w:t>
      </w:r>
      <w:r w:rsidRPr="00382DF1">
        <w:rPr>
          <w:rStyle w:val="a5"/>
          <w:color w:val="000000" w:themeColor="text1"/>
          <w:sz w:val="28"/>
          <w:szCs w:val="28"/>
        </w:rPr>
        <w:t>Отсутствие значительных изменений в контрольной группе:</w:t>
      </w:r>
    </w:p>
    <w:p w:rsidR="00382DF1" w:rsidRPr="00382DF1" w:rsidRDefault="00382DF1" w:rsidP="00A14C56">
      <w:pPr>
        <w:numPr>
          <w:ilvl w:val="0"/>
          <w:numId w:val="41"/>
        </w:num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В контрольной группе изменения были </w:t>
      </w:r>
      <w:r w:rsidRPr="00382DF1">
        <w:rPr>
          <w:rStyle w:val="a5"/>
          <w:rFonts w:ascii="Times New Roman" w:hAnsi="Times New Roman" w:cs="Times New Roman"/>
          <w:color w:val="000000" w:themeColor="text1"/>
          <w:sz w:val="28"/>
          <w:szCs w:val="28"/>
        </w:rPr>
        <w:t>менее выраженными</w:t>
      </w:r>
      <w:r w:rsidRPr="00382DF1">
        <w:rPr>
          <w:rFonts w:ascii="Times New Roman" w:hAnsi="Times New Roman" w:cs="Times New Roman"/>
          <w:color w:val="000000" w:themeColor="text1"/>
          <w:sz w:val="28"/>
          <w:szCs w:val="28"/>
        </w:rPr>
        <w:t>. Хотя наблюдается небольшой рост в третьем и четвертом уровнях, значительная часть студентов осталась на втором уровне (45%).</w:t>
      </w:r>
    </w:p>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Результаты были перепроверены с помощью онлайн – инструмента </w:t>
      </w:r>
      <w:r w:rsidRPr="00382DF1">
        <w:rPr>
          <w:rStyle w:val="a5"/>
          <w:rFonts w:ascii="Times New Roman" w:hAnsi="Times New Roman" w:cs="Times New Roman"/>
          <w:color w:val="000000" w:themeColor="text1"/>
          <w:sz w:val="28"/>
          <w:szCs w:val="28"/>
        </w:rPr>
        <w:t>GraphPad QuickCalcs</w:t>
      </w:r>
      <w:r w:rsidRPr="00382DF1">
        <w:rPr>
          <w:rFonts w:ascii="Times New Roman" w:hAnsi="Times New Roman" w:cs="Times New Roman"/>
          <w:color w:val="000000" w:themeColor="text1"/>
          <w:sz w:val="28"/>
          <w:szCs w:val="28"/>
        </w:rPr>
        <w:t xml:space="preserve"> → </w:t>
      </w:r>
      <w:hyperlink r:id="rId34" w:history="1">
        <w:r w:rsidRPr="00382DF1">
          <w:rPr>
            <w:rStyle w:val="a6"/>
            <w:rFonts w:ascii="Times New Roman" w:hAnsi="Times New Roman" w:cs="Times New Roman"/>
            <w:color w:val="000000" w:themeColor="text1"/>
            <w:sz w:val="28"/>
            <w:szCs w:val="28"/>
          </w:rPr>
          <w:t>https://www.graphpad.com/quickcalcs/chisquared1/</w:t>
        </w:r>
      </w:hyperlink>
      <w:r w:rsidRPr="00382DF1">
        <w:rPr>
          <w:rFonts w:ascii="Times New Roman" w:hAnsi="Times New Roman" w:cs="Times New Roman"/>
          <w:color w:val="000000" w:themeColor="text1"/>
          <w:sz w:val="28"/>
          <w:szCs w:val="28"/>
        </w:rPr>
        <w:t>, который подтвердил рассчеты.</w:t>
      </w:r>
    </w:p>
    <w:p w:rsidR="00382DF1" w:rsidRPr="00382DF1" w:rsidRDefault="00382DF1" w:rsidP="00382DF1">
      <w:pPr>
        <w:jc w:val="both"/>
        <w:rPr>
          <w:rFonts w:ascii="Times New Roman" w:hAnsi="Times New Roman" w:cs="Times New Roman"/>
          <w:color w:val="000000" w:themeColor="text1"/>
          <w:sz w:val="28"/>
          <w:szCs w:val="28"/>
        </w:rPr>
      </w:pPr>
    </w:p>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lastRenderedPageBreak/>
        <w:drawing>
          <wp:inline distT="0" distB="0" distL="0" distR="0" wp14:anchorId="07A96C08" wp14:editId="09A21C2B">
            <wp:extent cx="5940425" cy="337185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71850"/>
                    </a:xfrm>
                    <a:prstGeom prst="rect">
                      <a:avLst/>
                    </a:prstGeom>
                  </pic:spPr>
                </pic:pic>
              </a:graphicData>
            </a:graphic>
          </wp:inline>
        </w:drawing>
      </w:r>
    </w:p>
    <w:p w:rsidR="00382DF1" w:rsidRPr="00382DF1" w:rsidRDefault="00382DF1" w:rsidP="00DA4877">
      <w:pPr>
        <w:spacing w:after="0" w:line="240" w:lineRule="auto"/>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drawing>
          <wp:inline distT="0" distB="0" distL="0" distR="0" wp14:anchorId="2B1F4602" wp14:editId="69CD90E4">
            <wp:extent cx="5940425" cy="3369945"/>
            <wp:effectExtent l="0" t="0" r="317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69945"/>
                    </a:xfrm>
                    <a:prstGeom prst="rect">
                      <a:avLst/>
                    </a:prstGeom>
                  </pic:spPr>
                </pic:pic>
              </a:graphicData>
            </a:graphic>
          </wp:inline>
        </w:drawing>
      </w:r>
    </w:p>
    <w:p w:rsidR="00382DF1" w:rsidRPr="00382DF1" w:rsidRDefault="00382DF1" w:rsidP="00DA4877">
      <w:pPr>
        <w:spacing w:after="0" w:line="240" w:lineRule="auto"/>
        <w:jc w:val="both"/>
        <w:rPr>
          <w:rStyle w:val="a5"/>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Результаты анализа показывают, что </w:t>
      </w:r>
      <w:r w:rsidRPr="00382DF1">
        <w:rPr>
          <w:rStyle w:val="a5"/>
          <w:rFonts w:ascii="Times New Roman" w:hAnsi="Times New Roman" w:cs="Times New Roman"/>
          <w:color w:val="000000" w:themeColor="text1"/>
          <w:sz w:val="28"/>
          <w:szCs w:val="28"/>
        </w:rPr>
        <w:t>внедрение стохастико-игровых упражнений привело к значительному улучшению успеваемости в экспериментальной группе</w:t>
      </w:r>
      <w:r w:rsidRPr="00382DF1">
        <w:rPr>
          <w:rFonts w:ascii="Times New Roman" w:hAnsi="Times New Roman" w:cs="Times New Roman"/>
          <w:color w:val="000000" w:themeColor="text1"/>
          <w:sz w:val="28"/>
          <w:szCs w:val="28"/>
        </w:rPr>
        <w:t>, тогда как в контрольной группе динамика изменений оказалась менее выраженной. Это подтверждает гипотезу о положительном влиянии метода на формирование профессиональной направленности студентов и уровень их знаний.</w:t>
      </w:r>
    </w:p>
    <w:p w:rsidR="00382DF1" w:rsidRPr="00382DF1" w:rsidRDefault="00382DF1" w:rsidP="00DA4877">
      <w:pPr>
        <w:spacing w:after="0" w:line="240" w:lineRule="auto"/>
        <w:jc w:val="both"/>
        <w:rPr>
          <w:rFonts w:ascii="Times New Roman" w:hAnsi="Times New Roman" w:cs="Times New Roman"/>
          <w:sz w:val="28"/>
          <w:szCs w:val="28"/>
        </w:rPr>
      </w:pPr>
      <w:r w:rsidRPr="00382DF1">
        <w:rPr>
          <w:rStyle w:val="a5"/>
          <w:rFonts w:ascii="Times New Roman" w:hAnsi="Times New Roman" w:cs="Times New Roman"/>
          <w:color w:val="000000" w:themeColor="text1"/>
          <w:sz w:val="28"/>
          <w:szCs w:val="28"/>
        </w:rPr>
        <w:t>Студенты Казахского Национального женского педагогического университета (3 курс), ученики средней школы-гимназии №12</w:t>
      </w:r>
      <w:r w:rsidRPr="00382DF1">
        <w:rPr>
          <w:rFonts w:ascii="Times New Roman" w:hAnsi="Times New Roman" w:cs="Times New Roman"/>
          <w:color w:val="000000" w:themeColor="text1"/>
          <w:sz w:val="28"/>
          <w:szCs w:val="28"/>
        </w:rPr>
        <w:t>, у</w:t>
      </w:r>
      <w:r w:rsidRPr="00382DF1">
        <w:rPr>
          <w:rStyle w:val="a5"/>
          <w:rFonts w:ascii="Times New Roman" w:hAnsi="Times New Roman" w:cs="Times New Roman"/>
          <w:color w:val="000000" w:themeColor="text1"/>
          <w:sz w:val="28"/>
          <w:szCs w:val="28"/>
        </w:rPr>
        <w:t xml:space="preserve">чащиеся кружков занимательной математики на Станции юных техников: </w:t>
      </w:r>
      <w:r w:rsidRPr="00382DF1">
        <w:rPr>
          <w:rFonts w:ascii="Times New Roman" w:hAnsi="Times New Roman" w:cs="Times New Roman"/>
          <w:color w:val="000000" w:themeColor="text1"/>
          <w:sz w:val="28"/>
          <w:szCs w:val="28"/>
        </w:rPr>
        <w:t xml:space="preserve">где исследование проводилось во время занятий при изучении тем по теории вероятностей и математической статистике. Общее количество участников </w:t>
      </w:r>
      <w:r w:rsidRPr="00382DF1">
        <w:rPr>
          <w:rFonts w:ascii="Times New Roman" w:hAnsi="Times New Roman" w:cs="Times New Roman"/>
          <w:color w:val="000000" w:themeColor="text1"/>
          <w:sz w:val="28"/>
          <w:szCs w:val="28"/>
        </w:rPr>
        <w:lastRenderedPageBreak/>
        <w:t xml:space="preserve">составило </w:t>
      </w:r>
      <w:r w:rsidRPr="00382DF1">
        <w:rPr>
          <w:rStyle w:val="a5"/>
          <w:rFonts w:ascii="Times New Roman" w:hAnsi="Times New Roman" w:cs="Times New Roman"/>
          <w:color w:val="000000" w:themeColor="text1"/>
          <w:sz w:val="28"/>
          <w:szCs w:val="28"/>
        </w:rPr>
        <w:t xml:space="preserve">61 человек. </w:t>
      </w:r>
      <w:r w:rsidRPr="00382DF1">
        <w:rPr>
          <w:rFonts w:ascii="Times New Roman" w:hAnsi="Times New Roman" w:cs="Times New Roman"/>
          <w:sz w:val="28"/>
          <w:szCs w:val="28"/>
        </w:rPr>
        <w:t xml:space="preserve">Методика реализовывалась в формате </w:t>
      </w:r>
      <w:r w:rsidRPr="00382DF1">
        <w:rPr>
          <w:rStyle w:val="a5"/>
          <w:rFonts w:ascii="Times New Roman" w:hAnsi="Times New Roman" w:cs="Times New Roman"/>
          <w:sz w:val="28"/>
          <w:szCs w:val="28"/>
        </w:rPr>
        <w:t>разработанных сборников задач и комплексов стохастико-игровых упражнений</w:t>
      </w:r>
      <w:r w:rsidRPr="00382DF1">
        <w:rPr>
          <w:rFonts w:ascii="Times New Roman" w:hAnsi="Times New Roman" w:cs="Times New Roman"/>
          <w:sz w:val="28"/>
          <w:szCs w:val="28"/>
        </w:rPr>
        <w:t>, включающих моделирование вероятностных ситуаций и анализ случайных событий.</w:t>
      </w:r>
    </w:p>
    <w:p w:rsidR="00382DF1" w:rsidRPr="00382DF1" w:rsidRDefault="00382DF1" w:rsidP="00DA4877">
      <w:pPr>
        <w:pStyle w:val="a4"/>
        <w:spacing w:before="0" w:beforeAutospacing="0" w:after="0" w:afterAutospacing="0"/>
        <w:rPr>
          <w:sz w:val="28"/>
          <w:szCs w:val="28"/>
        </w:rPr>
      </w:pPr>
      <w:r w:rsidRPr="00382DF1">
        <w:rPr>
          <w:sz w:val="28"/>
          <w:szCs w:val="28"/>
        </w:rPr>
        <w:t>Исследование проводилось среди трех групп участников:</w:t>
      </w:r>
    </w:p>
    <w:p w:rsidR="00382DF1" w:rsidRPr="00382DF1" w:rsidRDefault="00382DF1" w:rsidP="00DA4877">
      <w:pPr>
        <w:numPr>
          <w:ilvl w:val="0"/>
          <w:numId w:val="42"/>
        </w:numPr>
        <w:spacing w:after="0" w:line="240" w:lineRule="auto"/>
        <w:rPr>
          <w:rFonts w:ascii="Times New Roman" w:hAnsi="Times New Roman" w:cs="Times New Roman"/>
          <w:sz w:val="28"/>
          <w:szCs w:val="28"/>
        </w:rPr>
      </w:pPr>
      <w:r w:rsidRPr="00382DF1">
        <w:rPr>
          <w:rStyle w:val="a5"/>
          <w:rFonts w:ascii="Times New Roman" w:hAnsi="Times New Roman" w:cs="Times New Roman"/>
          <w:sz w:val="28"/>
          <w:szCs w:val="28"/>
        </w:rPr>
        <w:t>Студенты Казахского Национального женского педагогического университета (КазНацЖПУ)</w:t>
      </w:r>
      <w:r w:rsidRPr="00382DF1">
        <w:rPr>
          <w:rFonts w:ascii="Times New Roman" w:hAnsi="Times New Roman" w:cs="Times New Roman"/>
          <w:sz w:val="28"/>
          <w:szCs w:val="28"/>
        </w:rPr>
        <w:t xml:space="preserve"> (3 курс) – 15 человек.</w:t>
      </w:r>
    </w:p>
    <w:p w:rsidR="00382DF1" w:rsidRPr="00382DF1" w:rsidRDefault="00382DF1" w:rsidP="00DA4877">
      <w:pPr>
        <w:numPr>
          <w:ilvl w:val="0"/>
          <w:numId w:val="42"/>
        </w:numPr>
        <w:spacing w:after="0" w:line="240" w:lineRule="auto"/>
        <w:rPr>
          <w:rFonts w:ascii="Times New Roman" w:hAnsi="Times New Roman" w:cs="Times New Roman"/>
          <w:sz w:val="28"/>
          <w:szCs w:val="28"/>
        </w:rPr>
      </w:pPr>
      <w:r w:rsidRPr="00382DF1">
        <w:rPr>
          <w:rStyle w:val="a5"/>
          <w:rFonts w:ascii="Times New Roman" w:hAnsi="Times New Roman" w:cs="Times New Roman"/>
          <w:sz w:val="28"/>
          <w:szCs w:val="28"/>
        </w:rPr>
        <w:t>Ученики средней школы-гимназии №12</w:t>
      </w:r>
      <w:r w:rsidRPr="00382DF1">
        <w:rPr>
          <w:rFonts w:ascii="Times New Roman" w:hAnsi="Times New Roman" w:cs="Times New Roman"/>
          <w:sz w:val="28"/>
          <w:szCs w:val="28"/>
        </w:rPr>
        <w:t xml:space="preserve"> – 26 человек.</w:t>
      </w:r>
    </w:p>
    <w:p w:rsidR="00382DF1" w:rsidRPr="00382DF1" w:rsidRDefault="00382DF1" w:rsidP="00DA4877">
      <w:pPr>
        <w:numPr>
          <w:ilvl w:val="0"/>
          <w:numId w:val="42"/>
        </w:numPr>
        <w:spacing w:after="0" w:line="240" w:lineRule="auto"/>
        <w:rPr>
          <w:rFonts w:ascii="Times New Roman" w:hAnsi="Times New Roman" w:cs="Times New Roman"/>
          <w:sz w:val="28"/>
          <w:szCs w:val="28"/>
        </w:rPr>
      </w:pPr>
      <w:r w:rsidRPr="00382DF1">
        <w:rPr>
          <w:rStyle w:val="a5"/>
          <w:rFonts w:ascii="Times New Roman" w:hAnsi="Times New Roman" w:cs="Times New Roman"/>
          <w:sz w:val="28"/>
          <w:szCs w:val="28"/>
        </w:rPr>
        <w:t>Учащиеся кружков занимательной математики на Станции юных техников</w:t>
      </w:r>
      <w:r w:rsidRPr="00382DF1">
        <w:rPr>
          <w:rFonts w:ascii="Times New Roman" w:hAnsi="Times New Roman" w:cs="Times New Roman"/>
          <w:sz w:val="28"/>
          <w:szCs w:val="28"/>
        </w:rPr>
        <w:t xml:space="preserve"> – 20 человек.</w:t>
      </w:r>
    </w:p>
    <w:p w:rsidR="00382DF1" w:rsidRPr="00382DF1" w:rsidRDefault="00382DF1" w:rsidP="00DA4877">
      <w:pPr>
        <w:pStyle w:val="a4"/>
        <w:spacing w:before="0" w:beforeAutospacing="0" w:after="0" w:afterAutospacing="0"/>
        <w:rPr>
          <w:sz w:val="28"/>
          <w:szCs w:val="28"/>
        </w:rPr>
      </w:pPr>
      <w:r w:rsidRPr="00382DF1">
        <w:rPr>
          <w:sz w:val="28"/>
          <w:szCs w:val="28"/>
        </w:rPr>
        <w:t>Эксперимент включал выполнение задач и игровых упражнений по теории вероятностей и математической статистике. Результаты измерялись в виде баллов (максимум 60) до и после эксперимента.</w:t>
      </w:r>
    </w:p>
    <w:p w:rsidR="00382DF1" w:rsidRPr="00382DF1" w:rsidRDefault="00382DF1" w:rsidP="00DA4877">
      <w:pPr>
        <w:spacing w:after="0" w:line="240" w:lineRule="auto"/>
        <w:jc w:val="both"/>
        <w:rPr>
          <w:rStyle w:val="a5"/>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Данные, полученные в ходе формирующего эксперимента.</w:t>
      </w:r>
    </w:p>
    <w:tbl>
      <w:tblPr>
        <w:tblStyle w:val="a3"/>
        <w:tblW w:w="0" w:type="auto"/>
        <w:tblLook w:val="04A0" w:firstRow="1" w:lastRow="0" w:firstColumn="1" w:lastColumn="0" w:noHBand="0" w:noVBand="1"/>
      </w:tblPr>
      <w:tblGrid>
        <w:gridCol w:w="506"/>
        <w:gridCol w:w="1766"/>
        <w:gridCol w:w="1713"/>
        <w:gridCol w:w="1543"/>
        <w:gridCol w:w="1359"/>
        <w:gridCol w:w="1343"/>
        <w:gridCol w:w="1341"/>
      </w:tblGrid>
      <w:tr w:rsidR="00382DF1" w:rsidRPr="00382DF1" w:rsidTr="00382DF1">
        <w:tc>
          <w:tcPr>
            <w:tcW w:w="506" w:type="dxa"/>
            <w:vMerge w:val="restart"/>
          </w:tcPr>
          <w:p w:rsidR="00382DF1" w:rsidRPr="00382DF1" w:rsidRDefault="00382DF1" w:rsidP="00DA4877">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w:t>
            </w:r>
          </w:p>
        </w:tc>
        <w:tc>
          <w:tcPr>
            <w:tcW w:w="1766" w:type="dxa"/>
            <w:vMerge w:val="restart"/>
          </w:tcPr>
          <w:p w:rsidR="00382DF1" w:rsidRPr="00382DF1" w:rsidRDefault="00382DF1" w:rsidP="00DA4877">
            <w:pPr>
              <w:jc w:val="both"/>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Категория участников</w:t>
            </w:r>
          </w:p>
        </w:tc>
        <w:tc>
          <w:tcPr>
            <w:tcW w:w="1713" w:type="dxa"/>
            <w:vMerge w:val="restart"/>
          </w:tcPr>
          <w:p w:rsidR="00382DF1" w:rsidRPr="00382DF1" w:rsidRDefault="00382DF1" w:rsidP="00DA4877">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Количество участников</w:t>
            </w:r>
          </w:p>
        </w:tc>
        <w:tc>
          <w:tcPr>
            <w:tcW w:w="2902" w:type="dxa"/>
            <w:gridSpan w:val="2"/>
          </w:tcPr>
          <w:p w:rsidR="00382DF1" w:rsidRPr="00382DF1" w:rsidRDefault="00382DF1" w:rsidP="00DA4877">
            <w:pPr>
              <w:jc w:val="both"/>
              <w:rPr>
                <w:rStyle w:val="a5"/>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Начало эксперимента</w:t>
            </w:r>
          </w:p>
        </w:tc>
        <w:tc>
          <w:tcPr>
            <w:tcW w:w="2684" w:type="dxa"/>
            <w:gridSpan w:val="2"/>
          </w:tcPr>
          <w:p w:rsidR="00382DF1" w:rsidRPr="00382DF1" w:rsidRDefault="00382DF1" w:rsidP="00DA4877">
            <w:pPr>
              <w:jc w:val="both"/>
              <w:rPr>
                <w:rStyle w:val="a5"/>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Конец эксперимента</w:t>
            </w:r>
          </w:p>
        </w:tc>
      </w:tr>
      <w:tr w:rsidR="00382DF1" w:rsidRPr="00382DF1" w:rsidTr="00382DF1">
        <w:tc>
          <w:tcPr>
            <w:tcW w:w="506" w:type="dxa"/>
            <w:vMerge/>
          </w:tcPr>
          <w:p w:rsidR="00382DF1" w:rsidRPr="00382DF1" w:rsidRDefault="00382DF1" w:rsidP="00382DF1">
            <w:pPr>
              <w:jc w:val="both"/>
              <w:rPr>
                <w:rFonts w:ascii="Times New Roman" w:hAnsi="Times New Roman" w:cs="Times New Roman"/>
                <w:color w:val="000000" w:themeColor="text1"/>
                <w:sz w:val="28"/>
                <w:szCs w:val="28"/>
              </w:rPr>
            </w:pPr>
          </w:p>
        </w:tc>
        <w:tc>
          <w:tcPr>
            <w:tcW w:w="1766" w:type="dxa"/>
            <w:vMerge/>
          </w:tcPr>
          <w:p w:rsidR="00382DF1" w:rsidRPr="00382DF1" w:rsidRDefault="00382DF1" w:rsidP="00382DF1">
            <w:pPr>
              <w:jc w:val="both"/>
              <w:rPr>
                <w:rFonts w:ascii="Times New Roman" w:hAnsi="Times New Roman" w:cs="Times New Roman"/>
                <w:color w:val="000000" w:themeColor="text1"/>
                <w:sz w:val="28"/>
                <w:szCs w:val="28"/>
              </w:rPr>
            </w:pPr>
          </w:p>
        </w:tc>
        <w:tc>
          <w:tcPr>
            <w:tcW w:w="1713" w:type="dxa"/>
            <w:vMerge/>
          </w:tcPr>
          <w:p w:rsidR="00382DF1" w:rsidRPr="00382DF1" w:rsidRDefault="00382DF1" w:rsidP="00382DF1">
            <w:pPr>
              <w:jc w:val="both"/>
              <w:rPr>
                <w:rFonts w:ascii="Times New Roman" w:hAnsi="Times New Roman" w:cs="Times New Roman"/>
                <w:color w:val="000000" w:themeColor="text1"/>
                <w:sz w:val="28"/>
                <w:szCs w:val="28"/>
              </w:rPr>
            </w:pPr>
          </w:p>
        </w:tc>
        <w:tc>
          <w:tcPr>
            <w:tcW w:w="1543" w:type="dxa"/>
          </w:tcPr>
          <w:p w:rsidR="00382DF1" w:rsidRPr="00382DF1" w:rsidRDefault="00382DF1" w:rsidP="00382DF1">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Средний балл (из 60)</w:t>
            </w:r>
          </w:p>
        </w:tc>
        <w:tc>
          <w:tcPr>
            <w:tcW w:w="1359" w:type="dxa"/>
          </w:tcPr>
          <w:p w:rsidR="00382DF1" w:rsidRPr="00382DF1" w:rsidRDefault="00382DF1" w:rsidP="00382DF1">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 xml:space="preserve">Процент </w:t>
            </w:r>
          </w:p>
        </w:tc>
        <w:tc>
          <w:tcPr>
            <w:tcW w:w="1343" w:type="dxa"/>
          </w:tcPr>
          <w:p w:rsidR="00382DF1" w:rsidRPr="00382DF1" w:rsidRDefault="00382DF1" w:rsidP="00382DF1">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Средний балл (из 60)</w:t>
            </w:r>
          </w:p>
        </w:tc>
        <w:tc>
          <w:tcPr>
            <w:tcW w:w="1341" w:type="dxa"/>
          </w:tcPr>
          <w:p w:rsidR="00382DF1" w:rsidRPr="00382DF1" w:rsidRDefault="00382DF1" w:rsidP="00382DF1">
            <w:pPr>
              <w:jc w:val="both"/>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 xml:space="preserve">Процент </w:t>
            </w:r>
          </w:p>
        </w:tc>
      </w:tr>
      <w:tr w:rsidR="00382DF1" w:rsidRPr="00382DF1" w:rsidTr="00382DF1">
        <w:tc>
          <w:tcPr>
            <w:tcW w:w="506"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w:t>
            </w:r>
          </w:p>
        </w:tc>
        <w:tc>
          <w:tcPr>
            <w:tcW w:w="1766"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Студенты КазНацЖПУ</w:t>
            </w:r>
          </w:p>
        </w:tc>
        <w:tc>
          <w:tcPr>
            <w:tcW w:w="171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15</w:t>
            </w:r>
          </w:p>
        </w:tc>
        <w:tc>
          <w:tcPr>
            <w:tcW w:w="154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32</w:t>
            </w:r>
          </w:p>
        </w:tc>
        <w:tc>
          <w:tcPr>
            <w:tcW w:w="1359"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53%</w:t>
            </w:r>
          </w:p>
        </w:tc>
        <w:tc>
          <w:tcPr>
            <w:tcW w:w="134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52</w:t>
            </w:r>
          </w:p>
        </w:tc>
        <w:tc>
          <w:tcPr>
            <w:tcW w:w="1341"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87%</w:t>
            </w:r>
          </w:p>
        </w:tc>
      </w:tr>
      <w:tr w:rsidR="00382DF1" w:rsidRPr="00382DF1" w:rsidTr="00382DF1">
        <w:tc>
          <w:tcPr>
            <w:tcW w:w="506"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w:t>
            </w:r>
          </w:p>
        </w:tc>
        <w:tc>
          <w:tcPr>
            <w:tcW w:w="1766"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Ученики школы №12</w:t>
            </w:r>
          </w:p>
        </w:tc>
        <w:tc>
          <w:tcPr>
            <w:tcW w:w="171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26</w:t>
            </w:r>
          </w:p>
        </w:tc>
        <w:tc>
          <w:tcPr>
            <w:tcW w:w="154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27</w:t>
            </w:r>
          </w:p>
        </w:tc>
        <w:tc>
          <w:tcPr>
            <w:tcW w:w="1359"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45%</w:t>
            </w:r>
          </w:p>
        </w:tc>
        <w:tc>
          <w:tcPr>
            <w:tcW w:w="134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49</w:t>
            </w:r>
          </w:p>
        </w:tc>
        <w:tc>
          <w:tcPr>
            <w:tcW w:w="1341"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82%</w:t>
            </w:r>
          </w:p>
        </w:tc>
      </w:tr>
      <w:tr w:rsidR="00382DF1" w:rsidRPr="00382DF1" w:rsidTr="00382DF1">
        <w:tc>
          <w:tcPr>
            <w:tcW w:w="506"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w:t>
            </w:r>
          </w:p>
        </w:tc>
        <w:tc>
          <w:tcPr>
            <w:tcW w:w="1766"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Учащиеся кружков «Станции юных техников»</w:t>
            </w:r>
          </w:p>
        </w:tc>
        <w:tc>
          <w:tcPr>
            <w:tcW w:w="171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20</w:t>
            </w:r>
          </w:p>
        </w:tc>
        <w:tc>
          <w:tcPr>
            <w:tcW w:w="154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35</w:t>
            </w:r>
          </w:p>
        </w:tc>
        <w:tc>
          <w:tcPr>
            <w:tcW w:w="1359"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58%</w:t>
            </w:r>
          </w:p>
        </w:tc>
        <w:tc>
          <w:tcPr>
            <w:tcW w:w="1343"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53</w:t>
            </w:r>
          </w:p>
        </w:tc>
        <w:tc>
          <w:tcPr>
            <w:tcW w:w="1341" w:type="dxa"/>
          </w:tcPr>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88%</w:t>
            </w:r>
          </w:p>
        </w:tc>
      </w:tr>
    </w:tbl>
    <w:p w:rsidR="00382DF1" w:rsidRPr="00382DF1" w:rsidRDefault="00382DF1" w:rsidP="00382DF1">
      <w:pPr>
        <w:jc w:val="both"/>
        <w:rPr>
          <w:rFonts w:ascii="Times New Roman" w:hAnsi="Times New Roman" w:cs="Times New Roman"/>
          <w:color w:val="000000" w:themeColor="text1"/>
          <w:sz w:val="28"/>
          <w:szCs w:val="28"/>
        </w:rPr>
      </w:pPr>
    </w:p>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noProof/>
          <w:color w:val="000000" w:themeColor="text1"/>
          <w:sz w:val="28"/>
          <w:szCs w:val="28"/>
          <w:lang w:eastAsia="ru-RU"/>
        </w:rPr>
        <w:drawing>
          <wp:inline distT="0" distB="0" distL="0" distR="0" wp14:anchorId="0E3C76B0" wp14:editId="40A1FB14">
            <wp:extent cx="6019800" cy="2575560"/>
            <wp:effectExtent l="0" t="0" r="0" b="152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2DF1" w:rsidRPr="00382DF1" w:rsidRDefault="00382DF1" w:rsidP="00382DF1">
      <w:pPr>
        <w:jc w:val="both"/>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Результаты контрольной работы</w:t>
      </w:r>
    </w:p>
    <w:tbl>
      <w:tblPr>
        <w:tblStyle w:val="a3"/>
        <w:tblW w:w="9606" w:type="dxa"/>
        <w:tblLook w:val="04A0" w:firstRow="1" w:lastRow="0" w:firstColumn="1" w:lastColumn="0" w:noHBand="0" w:noVBand="1"/>
      </w:tblPr>
      <w:tblGrid>
        <w:gridCol w:w="3794"/>
        <w:gridCol w:w="2977"/>
        <w:gridCol w:w="2835"/>
      </w:tblGrid>
      <w:tr w:rsidR="00382DF1" w:rsidRPr="00382DF1" w:rsidTr="00382DF1">
        <w:tc>
          <w:tcPr>
            <w:tcW w:w="3794" w:type="dxa"/>
            <w:vMerge w:val="restart"/>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lastRenderedPageBreak/>
              <w:t>Участники</w:t>
            </w:r>
          </w:p>
        </w:tc>
        <w:tc>
          <w:tcPr>
            <w:tcW w:w="5812" w:type="dxa"/>
            <w:gridSpan w:val="2"/>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Fonts w:ascii="Times New Roman" w:hAnsi="Times New Roman" w:cs="Times New Roman"/>
                <w:color w:val="000000" w:themeColor="text1"/>
                <w:sz w:val="28"/>
                <w:szCs w:val="28"/>
              </w:rPr>
              <w:t>Студенты КазНацЖПУ</w:t>
            </w:r>
          </w:p>
        </w:tc>
      </w:tr>
      <w:tr w:rsidR="00382DF1" w:rsidRPr="00382DF1" w:rsidTr="00382DF1">
        <w:tc>
          <w:tcPr>
            <w:tcW w:w="3794" w:type="dxa"/>
            <w:vMerge/>
          </w:tcPr>
          <w:p w:rsidR="00382DF1" w:rsidRPr="00382DF1" w:rsidRDefault="00382DF1" w:rsidP="00382DF1">
            <w:pPr>
              <w:jc w:val="both"/>
              <w:rPr>
                <w:rStyle w:val="a5"/>
                <w:rFonts w:ascii="Times New Roman" w:hAnsi="Times New Roman" w:cs="Times New Roman"/>
                <w:b w:val="0"/>
                <w:color w:val="000000" w:themeColor="text1"/>
                <w:sz w:val="28"/>
                <w:szCs w:val="28"/>
              </w:rPr>
            </w:pP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Начало эксперимента</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Конец эксперимента</w:t>
            </w:r>
          </w:p>
        </w:tc>
      </w:tr>
      <w:tr w:rsidR="00382DF1" w:rsidRPr="00382DF1" w:rsidTr="00382DF1">
        <w:tc>
          <w:tcPr>
            <w:tcW w:w="3794"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Студент 1</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2</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30</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36</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56</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27</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6</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34</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7</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34</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8</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20</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46</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9</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10</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37</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11</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12</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13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53</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14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27</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Студент 15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37</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59</w:t>
            </w:r>
          </w:p>
        </w:tc>
      </w:tr>
    </w:tbl>
    <w:p w:rsidR="00382DF1" w:rsidRPr="00382DF1" w:rsidRDefault="00382DF1" w:rsidP="00382DF1">
      <w:pPr>
        <w:jc w:val="both"/>
        <w:rPr>
          <w:rFonts w:ascii="Times New Roman" w:hAnsi="Times New Roman" w:cs="Times New Roman"/>
          <w:color w:val="000000" w:themeColor="text1"/>
          <w:sz w:val="28"/>
          <w:szCs w:val="28"/>
        </w:rPr>
      </w:pPr>
    </w:p>
    <w:tbl>
      <w:tblPr>
        <w:tblStyle w:val="a3"/>
        <w:tblW w:w="9606" w:type="dxa"/>
        <w:tblLook w:val="04A0" w:firstRow="1" w:lastRow="0" w:firstColumn="1" w:lastColumn="0" w:noHBand="0" w:noVBand="1"/>
      </w:tblPr>
      <w:tblGrid>
        <w:gridCol w:w="3794"/>
        <w:gridCol w:w="2977"/>
        <w:gridCol w:w="2835"/>
      </w:tblGrid>
      <w:tr w:rsidR="00382DF1" w:rsidRPr="00382DF1" w:rsidTr="00382DF1">
        <w:tc>
          <w:tcPr>
            <w:tcW w:w="3794" w:type="dxa"/>
            <w:vMerge w:val="restart"/>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Участники</w:t>
            </w:r>
          </w:p>
        </w:tc>
        <w:tc>
          <w:tcPr>
            <w:tcW w:w="5812" w:type="dxa"/>
            <w:gridSpan w:val="2"/>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Fonts w:ascii="Times New Roman" w:hAnsi="Times New Roman" w:cs="Times New Roman"/>
                <w:color w:val="000000" w:themeColor="text1"/>
                <w:sz w:val="28"/>
                <w:szCs w:val="28"/>
              </w:rPr>
              <w:t>Ученики школы №12</w:t>
            </w:r>
          </w:p>
        </w:tc>
      </w:tr>
      <w:tr w:rsidR="00382DF1" w:rsidRPr="00382DF1" w:rsidTr="00382DF1">
        <w:tc>
          <w:tcPr>
            <w:tcW w:w="3794" w:type="dxa"/>
            <w:vMerge/>
          </w:tcPr>
          <w:p w:rsidR="00382DF1" w:rsidRPr="00382DF1" w:rsidRDefault="00382DF1" w:rsidP="00382DF1">
            <w:pPr>
              <w:jc w:val="both"/>
              <w:rPr>
                <w:rStyle w:val="a5"/>
                <w:rFonts w:ascii="Times New Roman" w:hAnsi="Times New Roman" w:cs="Times New Roman"/>
                <w:b w:val="0"/>
                <w:color w:val="000000" w:themeColor="text1"/>
                <w:sz w:val="28"/>
                <w:szCs w:val="28"/>
              </w:rPr>
            </w:pP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Начало эксперимента</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Конец эксперимента</w:t>
            </w:r>
          </w:p>
        </w:tc>
      </w:tr>
      <w:tr w:rsidR="00382DF1" w:rsidRPr="00382DF1" w:rsidTr="00382DF1">
        <w:tc>
          <w:tcPr>
            <w:tcW w:w="3794"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 xml:space="preserve">Ученик 1 </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 xml:space="preserve">Ученик 2 </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12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52</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49</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6</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24</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7</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8</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9</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44</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10</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36</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49</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11</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50</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12</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21</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12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12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16</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20</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50</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17</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30</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18</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19</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24</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20</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50</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21</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22</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29</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23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46</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lastRenderedPageBreak/>
              <w:t>Ученик 24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28</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56</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25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Ученик 26</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38</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56</w:t>
            </w:r>
          </w:p>
        </w:tc>
      </w:tr>
    </w:tbl>
    <w:p w:rsidR="00382DF1" w:rsidRPr="00382DF1" w:rsidRDefault="00382DF1" w:rsidP="00382DF1">
      <w:pPr>
        <w:jc w:val="both"/>
        <w:rPr>
          <w:rFonts w:ascii="Times New Roman" w:hAnsi="Times New Roman" w:cs="Times New Roman"/>
          <w:color w:val="000000" w:themeColor="text1"/>
          <w:sz w:val="28"/>
          <w:szCs w:val="28"/>
        </w:rPr>
      </w:pPr>
    </w:p>
    <w:tbl>
      <w:tblPr>
        <w:tblStyle w:val="a3"/>
        <w:tblW w:w="9606" w:type="dxa"/>
        <w:tblLook w:val="04A0" w:firstRow="1" w:lastRow="0" w:firstColumn="1" w:lastColumn="0" w:noHBand="0" w:noVBand="1"/>
      </w:tblPr>
      <w:tblGrid>
        <w:gridCol w:w="3794"/>
        <w:gridCol w:w="2977"/>
        <w:gridCol w:w="2835"/>
      </w:tblGrid>
      <w:tr w:rsidR="00382DF1" w:rsidRPr="00382DF1" w:rsidTr="00382DF1">
        <w:tc>
          <w:tcPr>
            <w:tcW w:w="3794" w:type="dxa"/>
            <w:vMerge w:val="restart"/>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Участники</w:t>
            </w:r>
          </w:p>
        </w:tc>
        <w:tc>
          <w:tcPr>
            <w:tcW w:w="5812" w:type="dxa"/>
            <w:gridSpan w:val="2"/>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Fonts w:ascii="Times New Roman" w:hAnsi="Times New Roman" w:cs="Times New Roman"/>
                <w:color w:val="000000" w:themeColor="text1"/>
                <w:sz w:val="28"/>
                <w:szCs w:val="28"/>
              </w:rPr>
              <w:t>Учащиеся кружков «Станции юных техников»</w:t>
            </w:r>
          </w:p>
        </w:tc>
      </w:tr>
      <w:tr w:rsidR="00382DF1" w:rsidRPr="00382DF1" w:rsidTr="00382DF1">
        <w:tc>
          <w:tcPr>
            <w:tcW w:w="3794" w:type="dxa"/>
            <w:vMerge/>
          </w:tcPr>
          <w:p w:rsidR="00382DF1" w:rsidRPr="00382DF1" w:rsidRDefault="00382DF1" w:rsidP="00382DF1">
            <w:pPr>
              <w:jc w:val="both"/>
              <w:rPr>
                <w:rStyle w:val="a5"/>
                <w:rFonts w:ascii="Times New Roman" w:hAnsi="Times New Roman" w:cs="Times New Roman"/>
                <w:b w:val="0"/>
                <w:color w:val="000000" w:themeColor="text1"/>
                <w:sz w:val="28"/>
                <w:szCs w:val="28"/>
              </w:rPr>
            </w:pP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Начало эксперимента</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Конец эксперимента</w:t>
            </w:r>
          </w:p>
        </w:tc>
      </w:tr>
      <w:tr w:rsidR="00382DF1" w:rsidRPr="00382DF1" w:rsidTr="00382DF1">
        <w:tc>
          <w:tcPr>
            <w:tcW w:w="3794"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 xml:space="preserve">Кружковец 1 </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2</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40</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50</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30</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49</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37</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56</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6</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57</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7</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38</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8</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39</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9</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39</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51</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10</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53</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11</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34</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12</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35</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55</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13</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37</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14</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36</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49</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15</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32</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16</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28</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48</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17</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33</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18</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39</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50</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19</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29</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54</w:t>
            </w:r>
          </w:p>
        </w:tc>
      </w:tr>
      <w:tr w:rsidR="00382DF1" w:rsidRPr="00382DF1" w:rsidTr="00382DF1">
        <w:tc>
          <w:tcPr>
            <w:tcW w:w="3794" w:type="dxa"/>
          </w:tcPr>
          <w:p w:rsidR="00382DF1" w:rsidRPr="00382DF1" w:rsidRDefault="00382DF1" w:rsidP="00382DF1">
            <w:pPr>
              <w:rPr>
                <w:rFonts w:ascii="Times New Roman" w:hAnsi="Times New Roman" w:cs="Times New Roman"/>
                <w:sz w:val="28"/>
                <w:szCs w:val="28"/>
              </w:rPr>
            </w:pPr>
            <w:r w:rsidRPr="00382DF1">
              <w:rPr>
                <w:rStyle w:val="a5"/>
                <w:rFonts w:ascii="Times New Roman" w:hAnsi="Times New Roman" w:cs="Times New Roman"/>
                <w:b w:val="0"/>
                <w:color w:val="000000" w:themeColor="text1"/>
                <w:sz w:val="28"/>
                <w:szCs w:val="28"/>
              </w:rPr>
              <w:t>Кружковец 20</w:t>
            </w:r>
          </w:p>
        </w:tc>
        <w:tc>
          <w:tcPr>
            <w:tcW w:w="2977"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38</w:t>
            </w:r>
          </w:p>
        </w:tc>
        <w:tc>
          <w:tcPr>
            <w:tcW w:w="2835" w:type="dxa"/>
          </w:tcPr>
          <w:p w:rsidR="00382DF1" w:rsidRPr="00382DF1" w:rsidRDefault="00382DF1" w:rsidP="00382DF1">
            <w:pPr>
              <w:jc w:val="both"/>
              <w:rPr>
                <w:rStyle w:val="a5"/>
                <w:rFonts w:ascii="Times New Roman" w:hAnsi="Times New Roman" w:cs="Times New Roman"/>
                <w:b w:val="0"/>
                <w:color w:val="000000" w:themeColor="text1"/>
                <w:sz w:val="28"/>
                <w:szCs w:val="28"/>
              </w:rPr>
            </w:pPr>
            <w:r w:rsidRPr="00382DF1">
              <w:rPr>
                <w:rStyle w:val="a5"/>
                <w:rFonts w:ascii="Times New Roman" w:hAnsi="Times New Roman" w:cs="Times New Roman"/>
                <w:b w:val="0"/>
                <w:color w:val="000000" w:themeColor="text1"/>
                <w:sz w:val="28"/>
                <w:szCs w:val="28"/>
              </w:rPr>
              <w:t>53</w:t>
            </w:r>
          </w:p>
        </w:tc>
      </w:tr>
    </w:tbl>
    <w:p w:rsidR="00382DF1" w:rsidRPr="00382DF1" w:rsidRDefault="00382DF1" w:rsidP="00382DF1">
      <w:pPr>
        <w:jc w:val="both"/>
        <w:rPr>
          <w:rFonts w:ascii="Times New Roman" w:hAnsi="Times New Roman" w:cs="Times New Roman"/>
          <w:color w:val="000000" w:themeColor="text1"/>
          <w:sz w:val="28"/>
          <w:szCs w:val="28"/>
        </w:rPr>
      </w:pPr>
    </w:p>
    <w:p w:rsidR="00382DF1" w:rsidRPr="00382DF1" w:rsidRDefault="00382DF1" w:rsidP="00382DF1">
      <w:pPr>
        <w:pStyle w:val="3"/>
        <w:spacing w:before="0"/>
        <w:rPr>
          <w:rFonts w:ascii="Times New Roman" w:hAnsi="Times New Roman" w:cs="Times New Roman"/>
          <w:color w:val="000000" w:themeColor="text1"/>
          <w:sz w:val="28"/>
          <w:szCs w:val="28"/>
        </w:rPr>
      </w:pPr>
      <w:r w:rsidRPr="00382DF1">
        <w:rPr>
          <w:rStyle w:val="a5"/>
          <w:rFonts w:ascii="Times New Roman" w:hAnsi="Times New Roman" w:cs="Times New Roman"/>
          <w:b w:val="0"/>
          <w:bCs w:val="0"/>
          <w:color w:val="000000" w:themeColor="text1"/>
          <w:sz w:val="28"/>
          <w:szCs w:val="28"/>
        </w:rPr>
        <w:t>Результаты статистического анализа</w:t>
      </w:r>
    </w:p>
    <w:p w:rsidR="00382DF1" w:rsidRPr="00382DF1" w:rsidRDefault="00382DF1" w:rsidP="00382DF1">
      <w:pPr>
        <w:pStyle w:val="a4"/>
        <w:spacing w:before="0" w:beforeAutospacing="0" w:after="0" w:afterAutospacing="0"/>
        <w:rPr>
          <w:color w:val="000000" w:themeColor="text1"/>
          <w:sz w:val="28"/>
          <w:szCs w:val="28"/>
        </w:rPr>
      </w:pPr>
      <w:r w:rsidRPr="00382DF1">
        <w:rPr>
          <w:color w:val="000000" w:themeColor="text1"/>
          <w:sz w:val="28"/>
          <w:szCs w:val="28"/>
        </w:rPr>
        <w:t xml:space="preserve">Для оценки значимости различий между результатами до и после эксперимента был проведен </w:t>
      </w:r>
      <w:r w:rsidRPr="00382DF1">
        <w:rPr>
          <w:rStyle w:val="a5"/>
          <w:color w:val="000000" w:themeColor="text1"/>
          <w:sz w:val="28"/>
          <w:szCs w:val="28"/>
        </w:rPr>
        <w:t>парный t-тест Стьюдента</w:t>
      </w:r>
      <w:r w:rsidRPr="00382DF1">
        <w:rPr>
          <w:color w:val="000000" w:themeColor="text1"/>
          <w:sz w:val="28"/>
          <w:szCs w:val="28"/>
        </w:rPr>
        <w:t>. Этот тест используется для сравнения средних значений двух связанных выборок (до и после обучения).</w:t>
      </w:r>
    </w:p>
    <w:p w:rsidR="00382DF1" w:rsidRPr="00382DF1" w:rsidRDefault="00382DF1" w:rsidP="00382DF1">
      <w:pPr>
        <w:pStyle w:val="4"/>
        <w:spacing w:before="0"/>
        <w:rPr>
          <w:rFonts w:ascii="Times New Roman" w:hAnsi="Times New Roman" w:cs="Times New Roman"/>
          <w:i w:val="0"/>
          <w:color w:val="000000" w:themeColor="text1"/>
          <w:sz w:val="28"/>
          <w:szCs w:val="28"/>
        </w:rPr>
      </w:pPr>
      <w:r w:rsidRPr="00382DF1">
        <w:rPr>
          <w:rStyle w:val="a5"/>
          <w:rFonts w:ascii="Times New Roman" w:hAnsi="Times New Roman" w:cs="Times New Roman"/>
          <w:i w:val="0"/>
          <w:color w:val="000000" w:themeColor="text1"/>
          <w:sz w:val="28"/>
          <w:szCs w:val="28"/>
        </w:rPr>
        <w:t>Средние показатели групп</w:t>
      </w:r>
    </w:p>
    <w:tbl>
      <w:tblPr>
        <w:tblStyle w:val="a3"/>
        <w:tblW w:w="0" w:type="auto"/>
        <w:tblLook w:val="04A0" w:firstRow="1" w:lastRow="0" w:firstColumn="1" w:lastColumn="0" w:noHBand="0" w:noVBand="1"/>
      </w:tblPr>
      <w:tblGrid>
        <w:gridCol w:w="2359"/>
        <w:gridCol w:w="2876"/>
        <w:gridCol w:w="3025"/>
        <w:gridCol w:w="1594"/>
      </w:tblGrid>
      <w:tr w:rsidR="00382DF1" w:rsidRPr="00382DF1" w:rsidTr="00382DF1">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Группа</w:t>
            </w:r>
          </w:p>
        </w:tc>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Средний балл (до эксперимента)</w:t>
            </w:r>
          </w:p>
        </w:tc>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Средний балл (после эксперимента)</w:t>
            </w:r>
          </w:p>
        </w:tc>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Изменение</w:t>
            </w:r>
          </w:p>
        </w:tc>
      </w:tr>
      <w:tr w:rsidR="00382DF1" w:rsidRPr="00382DF1" w:rsidTr="00382DF1">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Студенты КазНацЖПУ</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32.07</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51.87</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+19.8</w:t>
            </w:r>
          </w:p>
        </w:tc>
      </w:tr>
      <w:tr w:rsidR="00382DF1" w:rsidRPr="00382DF1" w:rsidTr="00382DF1">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Ученики школы №12</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27.08</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48.65</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+21.57</w:t>
            </w:r>
          </w:p>
        </w:tc>
      </w:tr>
      <w:tr w:rsidR="00382DF1" w:rsidRPr="00382DF1" w:rsidTr="00382DF1">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Учащиеся кружков</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34.55</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53.1</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Style w:val="a5"/>
                <w:rFonts w:ascii="Times New Roman" w:hAnsi="Times New Roman" w:cs="Times New Roman"/>
                <w:color w:val="000000" w:themeColor="text1"/>
                <w:sz w:val="28"/>
                <w:szCs w:val="28"/>
              </w:rPr>
              <w:t>+18.55</w:t>
            </w:r>
          </w:p>
        </w:tc>
      </w:tr>
    </w:tbl>
    <w:p w:rsidR="00382DF1" w:rsidRPr="00382DF1" w:rsidRDefault="00382DF1" w:rsidP="00382DF1">
      <w:pPr>
        <w:pStyle w:val="a4"/>
        <w:spacing w:before="0" w:beforeAutospacing="0" w:after="0" w:afterAutospacing="0"/>
        <w:rPr>
          <w:color w:val="000000" w:themeColor="text1"/>
          <w:sz w:val="28"/>
          <w:szCs w:val="28"/>
        </w:rPr>
      </w:pPr>
      <w:r w:rsidRPr="00382DF1">
        <w:rPr>
          <w:color w:val="000000" w:themeColor="text1"/>
          <w:sz w:val="28"/>
          <w:szCs w:val="28"/>
        </w:rPr>
        <w:lastRenderedPageBreak/>
        <w:t>Во всех группах наблюдается значительный рост среднего балла после эксперимента.</w:t>
      </w:r>
    </w:p>
    <w:p w:rsidR="00382DF1" w:rsidRPr="00382DF1" w:rsidRDefault="00382DF1" w:rsidP="00382DF1">
      <w:pPr>
        <w:outlineLvl w:val="3"/>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Результаты t-теста</w:t>
      </w:r>
    </w:p>
    <w:tbl>
      <w:tblPr>
        <w:tblStyle w:val="a3"/>
        <w:tblW w:w="0" w:type="auto"/>
        <w:tblLook w:val="04A0" w:firstRow="1" w:lastRow="0" w:firstColumn="1" w:lastColumn="0" w:noHBand="0" w:noVBand="1"/>
      </w:tblPr>
      <w:tblGrid>
        <w:gridCol w:w="3224"/>
        <w:gridCol w:w="1828"/>
        <w:gridCol w:w="1608"/>
        <w:gridCol w:w="3188"/>
      </w:tblGrid>
      <w:tr w:rsidR="00382DF1" w:rsidRPr="00382DF1" w:rsidTr="00382DF1">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Группа</w:t>
            </w:r>
          </w:p>
        </w:tc>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t-статистика</w:t>
            </w:r>
          </w:p>
        </w:tc>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p-значение</w:t>
            </w:r>
          </w:p>
        </w:tc>
        <w:tc>
          <w:tcPr>
            <w:tcW w:w="0" w:type="auto"/>
            <w:hideMark/>
          </w:tcPr>
          <w:p w:rsidR="00382DF1" w:rsidRPr="00382DF1" w:rsidRDefault="00382DF1" w:rsidP="00382DF1">
            <w:pPr>
              <w:jc w:val="center"/>
              <w:rPr>
                <w:rFonts w:ascii="Times New Roman" w:hAnsi="Times New Roman" w:cs="Times New Roman"/>
                <w:b/>
                <w:bCs/>
                <w:color w:val="000000" w:themeColor="text1"/>
                <w:sz w:val="28"/>
                <w:szCs w:val="28"/>
              </w:rPr>
            </w:pPr>
            <w:r w:rsidRPr="00382DF1">
              <w:rPr>
                <w:rFonts w:ascii="Times New Roman" w:hAnsi="Times New Roman" w:cs="Times New Roman"/>
                <w:b/>
                <w:bCs/>
                <w:color w:val="000000" w:themeColor="text1"/>
                <w:sz w:val="28"/>
                <w:szCs w:val="28"/>
              </w:rPr>
              <w:t>Значимость результата</w:t>
            </w:r>
          </w:p>
        </w:tc>
      </w:tr>
      <w:tr w:rsidR="00382DF1" w:rsidRPr="00382DF1" w:rsidTr="00382DF1">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Студенты КазНацЖПУ</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10.14</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&lt; 0.0001</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Значимый рост</w:t>
            </w:r>
          </w:p>
        </w:tc>
      </w:tr>
      <w:tr w:rsidR="00382DF1" w:rsidRPr="00382DF1" w:rsidTr="00382DF1">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Ученики школы №12</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15.79</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&lt; 0.0001</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Значимый рост</w:t>
            </w:r>
          </w:p>
        </w:tc>
      </w:tr>
      <w:tr w:rsidR="00382DF1" w:rsidRPr="00382DF1" w:rsidTr="00382DF1">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Учащиеся кружков</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13.21</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&lt; 0.0001</w:t>
            </w:r>
          </w:p>
        </w:tc>
        <w:tc>
          <w:tcPr>
            <w:tcW w:w="0" w:type="auto"/>
            <w:hideMark/>
          </w:tcPr>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Значимый рост</w:t>
            </w:r>
          </w:p>
        </w:tc>
      </w:tr>
    </w:tbl>
    <w:p w:rsidR="00382DF1" w:rsidRPr="00382DF1" w:rsidRDefault="00382DF1" w:rsidP="00382DF1">
      <w:pPr>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Интерпретация p-значения:</w:t>
      </w:r>
    </w:p>
    <w:p w:rsidR="00382DF1" w:rsidRPr="00382DF1" w:rsidRDefault="00382DF1" w:rsidP="00A14C56">
      <w:pPr>
        <w:numPr>
          <w:ilvl w:val="0"/>
          <w:numId w:val="43"/>
        </w:numPr>
        <w:spacing w:after="0" w:line="240" w:lineRule="auto"/>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p &lt; 0.05 говорит о том, что различия до и после эксперимента </w:t>
      </w:r>
      <w:r w:rsidRPr="00382DF1">
        <w:rPr>
          <w:rFonts w:ascii="Times New Roman" w:hAnsi="Times New Roman" w:cs="Times New Roman"/>
          <w:b/>
          <w:bCs/>
          <w:color w:val="000000" w:themeColor="text1"/>
          <w:sz w:val="28"/>
          <w:szCs w:val="28"/>
        </w:rPr>
        <w:t>статистически значимы</w:t>
      </w:r>
      <w:r w:rsidRPr="00382DF1">
        <w:rPr>
          <w:rFonts w:ascii="Times New Roman" w:hAnsi="Times New Roman" w:cs="Times New Roman"/>
          <w:color w:val="000000" w:themeColor="text1"/>
          <w:sz w:val="28"/>
          <w:szCs w:val="28"/>
        </w:rPr>
        <w:t>.</w:t>
      </w:r>
    </w:p>
    <w:p w:rsidR="00382DF1" w:rsidRPr="00382DF1" w:rsidRDefault="00382DF1" w:rsidP="00A14C56">
      <w:pPr>
        <w:numPr>
          <w:ilvl w:val="0"/>
          <w:numId w:val="43"/>
        </w:numPr>
        <w:spacing w:after="0" w:line="240" w:lineRule="auto"/>
        <w:rPr>
          <w:rFonts w:ascii="Times New Roman" w:hAnsi="Times New Roman" w:cs="Times New Roman"/>
          <w:color w:val="000000" w:themeColor="text1"/>
          <w:sz w:val="28"/>
          <w:szCs w:val="28"/>
        </w:rPr>
      </w:pPr>
      <w:r w:rsidRPr="00382DF1">
        <w:rPr>
          <w:rFonts w:ascii="Times New Roman" w:hAnsi="Times New Roman" w:cs="Times New Roman"/>
          <w:color w:val="000000" w:themeColor="text1"/>
          <w:sz w:val="28"/>
          <w:szCs w:val="28"/>
        </w:rPr>
        <w:t xml:space="preserve">Во всех группах p-значение оказалось </w:t>
      </w:r>
      <w:r w:rsidRPr="00382DF1">
        <w:rPr>
          <w:rFonts w:ascii="Times New Roman" w:hAnsi="Times New Roman" w:cs="Times New Roman"/>
          <w:b/>
          <w:bCs/>
          <w:color w:val="000000" w:themeColor="text1"/>
          <w:sz w:val="28"/>
          <w:szCs w:val="28"/>
        </w:rPr>
        <w:t>намного меньше 0.05</w:t>
      </w:r>
      <w:r w:rsidRPr="00382DF1">
        <w:rPr>
          <w:rFonts w:ascii="Times New Roman" w:hAnsi="Times New Roman" w:cs="Times New Roman"/>
          <w:color w:val="000000" w:themeColor="text1"/>
          <w:sz w:val="28"/>
          <w:szCs w:val="28"/>
        </w:rPr>
        <w:t>, что подтверждает эффективность методики.</w:t>
      </w:r>
    </w:p>
    <w:p w:rsidR="00382DF1" w:rsidRPr="00382DF1" w:rsidRDefault="00382DF1" w:rsidP="00A14C56">
      <w:pPr>
        <w:numPr>
          <w:ilvl w:val="0"/>
          <w:numId w:val="44"/>
        </w:numPr>
        <w:spacing w:after="0" w:line="240" w:lineRule="auto"/>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Все три группы продемонстрировали значительное улучшение результатов после применения методики</w:t>
      </w:r>
      <w:r w:rsidRPr="00382DF1">
        <w:rPr>
          <w:rFonts w:ascii="Times New Roman" w:hAnsi="Times New Roman" w:cs="Times New Roman"/>
          <w:color w:val="000000" w:themeColor="text1"/>
          <w:sz w:val="28"/>
          <w:szCs w:val="28"/>
        </w:rPr>
        <w:t xml:space="preserve">. Средний балл увеличился на </w:t>
      </w:r>
      <w:r w:rsidRPr="00382DF1">
        <w:rPr>
          <w:rFonts w:ascii="Times New Roman" w:hAnsi="Times New Roman" w:cs="Times New Roman"/>
          <w:b/>
          <w:bCs/>
          <w:color w:val="000000" w:themeColor="text1"/>
          <w:sz w:val="28"/>
          <w:szCs w:val="28"/>
        </w:rPr>
        <w:t>18-22 балла</w:t>
      </w:r>
      <w:r w:rsidRPr="00382DF1">
        <w:rPr>
          <w:rFonts w:ascii="Times New Roman" w:hAnsi="Times New Roman" w:cs="Times New Roman"/>
          <w:color w:val="000000" w:themeColor="text1"/>
          <w:sz w:val="28"/>
          <w:szCs w:val="28"/>
        </w:rPr>
        <w:t>.</w:t>
      </w:r>
    </w:p>
    <w:p w:rsidR="00382DF1" w:rsidRPr="00382DF1" w:rsidRDefault="00382DF1" w:rsidP="00A14C56">
      <w:pPr>
        <w:numPr>
          <w:ilvl w:val="0"/>
          <w:numId w:val="44"/>
        </w:numPr>
        <w:spacing w:after="0" w:line="240" w:lineRule="auto"/>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Парный t-тест подтвердил, что улучшения являются статистически значимыми</w:t>
      </w:r>
      <w:r w:rsidRPr="00382DF1">
        <w:rPr>
          <w:rFonts w:ascii="Times New Roman" w:hAnsi="Times New Roman" w:cs="Times New Roman"/>
          <w:color w:val="000000" w:themeColor="text1"/>
          <w:sz w:val="28"/>
          <w:szCs w:val="28"/>
        </w:rPr>
        <w:t>, так как p-значения во всех случаях значительно меньше 0.05.</w:t>
      </w:r>
    </w:p>
    <w:p w:rsidR="00382DF1" w:rsidRPr="00382DF1" w:rsidRDefault="00382DF1" w:rsidP="00A14C56">
      <w:pPr>
        <w:numPr>
          <w:ilvl w:val="0"/>
          <w:numId w:val="44"/>
        </w:numPr>
        <w:spacing w:after="0" w:line="240" w:lineRule="auto"/>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Наибольший прирост показали ученики школы №12</w:t>
      </w:r>
      <w:r w:rsidRPr="00382DF1">
        <w:rPr>
          <w:rFonts w:ascii="Times New Roman" w:hAnsi="Times New Roman" w:cs="Times New Roman"/>
          <w:color w:val="000000" w:themeColor="text1"/>
          <w:sz w:val="28"/>
          <w:szCs w:val="28"/>
        </w:rPr>
        <w:t xml:space="preserve">, увеличив средний балл на </w:t>
      </w:r>
      <w:r w:rsidRPr="00382DF1">
        <w:rPr>
          <w:rFonts w:ascii="Times New Roman" w:hAnsi="Times New Roman" w:cs="Times New Roman"/>
          <w:b/>
          <w:bCs/>
          <w:color w:val="000000" w:themeColor="text1"/>
          <w:sz w:val="28"/>
          <w:szCs w:val="28"/>
        </w:rPr>
        <w:t>21.57</w:t>
      </w:r>
      <w:r w:rsidRPr="00382DF1">
        <w:rPr>
          <w:rFonts w:ascii="Times New Roman" w:hAnsi="Times New Roman" w:cs="Times New Roman"/>
          <w:color w:val="000000" w:themeColor="text1"/>
          <w:sz w:val="28"/>
          <w:szCs w:val="28"/>
        </w:rPr>
        <w:t>.</w:t>
      </w:r>
    </w:p>
    <w:p w:rsidR="00382DF1" w:rsidRPr="00382DF1" w:rsidRDefault="00382DF1" w:rsidP="00A14C56">
      <w:pPr>
        <w:numPr>
          <w:ilvl w:val="0"/>
          <w:numId w:val="44"/>
        </w:numPr>
        <w:spacing w:after="0" w:line="240" w:lineRule="auto"/>
        <w:rPr>
          <w:rFonts w:ascii="Times New Roman" w:hAnsi="Times New Roman" w:cs="Times New Roman"/>
          <w:color w:val="000000" w:themeColor="text1"/>
          <w:sz w:val="28"/>
          <w:szCs w:val="28"/>
        </w:rPr>
      </w:pPr>
      <w:r w:rsidRPr="00382DF1">
        <w:rPr>
          <w:rFonts w:ascii="Times New Roman" w:hAnsi="Times New Roman" w:cs="Times New Roman"/>
          <w:b/>
          <w:bCs/>
          <w:color w:val="000000" w:themeColor="text1"/>
          <w:sz w:val="28"/>
          <w:szCs w:val="28"/>
        </w:rPr>
        <w:t>Разработанные упражнения по теории вероятностей и математической статистике доказали свою эффективность</w:t>
      </w:r>
      <w:r w:rsidRPr="00382DF1">
        <w:rPr>
          <w:rFonts w:ascii="Times New Roman" w:hAnsi="Times New Roman" w:cs="Times New Roman"/>
          <w:color w:val="000000" w:themeColor="text1"/>
          <w:sz w:val="28"/>
          <w:szCs w:val="28"/>
        </w:rPr>
        <w:t>, так как результаты улучшились у всех категорий участников.</w:t>
      </w:r>
    </w:p>
    <w:p w:rsidR="00DA4877" w:rsidRDefault="00DA4877" w:rsidP="000E1A15">
      <w:pPr>
        <w:spacing w:after="0" w:line="240" w:lineRule="auto"/>
        <w:ind w:firstLine="567"/>
        <w:jc w:val="both"/>
        <w:rPr>
          <w:rFonts w:ascii="Times New Roman" w:hAnsi="Times New Roman" w:cs="Times New Roman"/>
          <w:sz w:val="28"/>
          <w:szCs w:val="28"/>
        </w:rPr>
      </w:pPr>
    </w:p>
    <w:p w:rsidR="00481756" w:rsidRPr="00DA4877" w:rsidRDefault="007B3C72" w:rsidP="000E1A15">
      <w:pPr>
        <w:spacing w:after="0" w:line="240" w:lineRule="auto"/>
        <w:ind w:firstLine="567"/>
        <w:jc w:val="both"/>
        <w:rPr>
          <w:rFonts w:ascii="Times New Roman" w:hAnsi="Times New Roman" w:cs="Times New Roman"/>
          <w:b/>
          <w:sz w:val="28"/>
          <w:szCs w:val="28"/>
        </w:rPr>
      </w:pPr>
      <w:r w:rsidRPr="00DA4877">
        <w:rPr>
          <w:rFonts w:ascii="Times New Roman" w:hAnsi="Times New Roman" w:cs="Times New Roman"/>
          <w:b/>
          <w:sz w:val="28"/>
          <w:szCs w:val="28"/>
        </w:rPr>
        <w:t>Выводы по третьему разделу</w:t>
      </w:r>
      <w:r w:rsidR="000E1A15" w:rsidRPr="00DA4877">
        <w:rPr>
          <w:rFonts w:ascii="Times New Roman" w:hAnsi="Times New Roman" w:cs="Times New Roman"/>
          <w:b/>
          <w:sz w:val="28"/>
          <w:szCs w:val="28"/>
        </w:rPr>
        <w:t>.</w:t>
      </w:r>
    </w:p>
    <w:p w:rsidR="000E1A15" w:rsidRPr="000E1A15" w:rsidRDefault="000E1A15" w:rsidP="000E1A15">
      <w:pPr>
        <w:pStyle w:val="a4"/>
        <w:spacing w:before="0" w:beforeAutospacing="0" w:after="0" w:afterAutospacing="0"/>
        <w:ind w:firstLine="567"/>
        <w:jc w:val="both"/>
        <w:rPr>
          <w:sz w:val="28"/>
          <w:szCs w:val="28"/>
        </w:rPr>
      </w:pPr>
      <w:r w:rsidRPr="000E1A15">
        <w:rPr>
          <w:sz w:val="28"/>
          <w:szCs w:val="28"/>
        </w:rPr>
        <w:t>Выводы по третьей главе заключаются в том, что проведенный педагогический эксперимент подтвердил эффективность разработанной методологии формирования профессиональной направленности студентов через систему стохастико-игровых упражнений. В результате исследования выявлено, что использование стохастико-игровых упражнений способствует повышению мотивации обучающихся, активизации их познавательной деятельности и развитию ключевых профессиональных компетенций. Сравнительный анализ контрольной и экспериментальной групп показал, что студенты, обучавшиеся с применением данной методологии, демонстрируют более высокий уровень осознанного профессионального выбора, заинтересованности в изучаемой дисциплине и сформированности аналитического мышления.</w:t>
      </w:r>
    </w:p>
    <w:p w:rsidR="000E1A15" w:rsidRPr="000E1A15" w:rsidRDefault="000E1A15" w:rsidP="000E1A15">
      <w:pPr>
        <w:pStyle w:val="a4"/>
        <w:spacing w:before="0" w:beforeAutospacing="0" w:after="0" w:afterAutospacing="0"/>
        <w:ind w:firstLine="567"/>
        <w:jc w:val="both"/>
        <w:rPr>
          <w:sz w:val="28"/>
          <w:szCs w:val="28"/>
        </w:rPr>
      </w:pPr>
      <w:r w:rsidRPr="000E1A15">
        <w:rPr>
          <w:sz w:val="28"/>
          <w:szCs w:val="28"/>
        </w:rPr>
        <w:t xml:space="preserve">Подтверждена гипотеза о том, что внедрение стохастико-игровых упражнений положительно влияет на развитие профессиональной направленности студентов, поскольку данные упражнения позволяют моделировать профессиональные ситуации, требующие применения стохастических методов и стратегического анализа. Анализ статистических данных и качественных характеристик образовательного процесса выявил </w:t>
      </w:r>
      <w:r w:rsidRPr="000E1A15">
        <w:rPr>
          <w:sz w:val="28"/>
          <w:szCs w:val="28"/>
        </w:rPr>
        <w:lastRenderedPageBreak/>
        <w:t>значимое улучшение показателей успешности студентов в освоении дисциплины, а также в уровне их готовности к профессиональной деятельности.</w:t>
      </w:r>
    </w:p>
    <w:p w:rsidR="000E1A15" w:rsidRPr="000E1A15" w:rsidRDefault="000E1A15" w:rsidP="000E1A15">
      <w:pPr>
        <w:pStyle w:val="a4"/>
        <w:spacing w:before="0" w:beforeAutospacing="0" w:after="0" w:afterAutospacing="0"/>
        <w:ind w:firstLine="567"/>
        <w:jc w:val="both"/>
        <w:rPr>
          <w:sz w:val="28"/>
          <w:szCs w:val="28"/>
        </w:rPr>
      </w:pPr>
      <w:r w:rsidRPr="000E1A15">
        <w:rPr>
          <w:sz w:val="28"/>
          <w:szCs w:val="28"/>
        </w:rPr>
        <w:t>Разработанные методические рекомендации были успешно апробированы в образовательных учреждениях, что подтверждается актами внедрения. Полученные результаты свидетельствуют о необходимости и целесообразности широкого применения предложенной методологии в системе высшего образования. Таким образом, экспериментальная проверка доказала, что использование стохастико-игровых упражнений является эффективным инструментом для формирования профессиональной направленности студентов и повышения качества их подготовки к будущей профессиональной деятельности.</w:t>
      </w:r>
    </w:p>
    <w:p w:rsidR="00481756" w:rsidRPr="000E1A15" w:rsidRDefault="00481756" w:rsidP="000E1A15">
      <w:pPr>
        <w:spacing w:after="0" w:line="240" w:lineRule="auto"/>
        <w:ind w:firstLine="567"/>
        <w:jc w:val="both"/>
        <w:rPr>
          <w:rFonts w:ascii="Times New Roman" w:hAnsi="Times New Roman" w:cs="Times New Roman"/>
          <w:sz w:val="28"/>
          <w:szCs w:val="28"/>
        </w:rPr>
      </w:pPr>
    </w:p>
    <w:p w:rsidR="00481756" w:rsidRPr="00382DF1" w:rsidRDefault="00481756" w:rsidP="00D07862">
      <w:pPr>
        <w:spacing w:after="0" w:line="240" w:lineRule="auto"/>
        <w:ind w:firstLine="851"/>
        <w:jc w:val="both"/>
        <w:rPr>
          <w:rFonts w:ascii="Times New Roman" w:hAnsi="Times New Roman" w:cs="Times New Roman"/>
          <w:sz w:val="28"/>
          <w:szCs w:val="28"/>
        </w:rPr>
      </w:pPr>
    </w:p>
    <w:p w:rsidR="00481756" w:rsidRDefault="00481756" w:rsidP="00D07862">
      <w:pPr>
        <w:spacing w:after="0" w:line="240" w:lineRule="auto"/>
        <w:ind w:firstLine="851"/>
        <w:jc w:val="both"/>
        <w:rPr>
          <w:rFonts w:ascii="Times New Roman" w:hAnsi="Times New Roman" w:cs="Times New Roman"/>
          <w:sz w:val="28"/>
          <w:szCs w:val="28"/>
        </w:rPr>
      </w:pPr>
    </w:p>
    <w:p w:rsidR="00D86E49" w:rsidRDefault="00D86E49" w:rsidP="003F1A52">
      <w:pPr>
        <w:spacing w:after="0" w:line="240" w:lineRule="auto"/>
        <w:ind w:firstLine="567"/>
        <w:jc w:val="center"/>
        <w:rPr>
          <w:rFonts w:ascii="Times New Roman" w:hAnsi="Times New Roman" w:cs="Times New Roman"/>
          <w:b/>
          <w:sz w:val="28"/>
          <w:szCs w:val="28"/>
        </w:rPr>
      </w:pPr>
      <w:r w:rsidRPr="00321886">
        <w:rPr>
          <w:rFonts w:ascii="Times New Roman" w:hAnsi="Times New Roman" w:cs="Times New Roman"/>
          <w:b/>
          <w:sz w:val="28"/>
          <w:szCs w:val="28"/>
        </w:rPr>
        <w:t>ЗАКЛЮЧЕНИЕ</w:t>
      </w:r>
    </w:p>
    <w:p w:rsidR="003F1A52" w:rsidRPr="00321886" w:rsidRDefault="003F1A52" w:rsidP="003F1A52">
      <w:pPr>
        <w:spacing w:after="0" w:line="240" w:lineRule="auto"/>
        <w:ind w:firstLine="567"/>
        <w:jc w:val="center"/>
        <w:rPr>
          <w:rFonts w:ascii="Times New Roman" w:hAnsi="Times New Roman" w:cs="Times New Roman"/>
          <w:b/>
          <w:sz w:val="28"/>
          <w:szCs w:val="28"/>
        </w:rPr>
      </w:pPr>
    </w:p>
    <w:p w:rsidR="00D86E49" w:rsidRP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Заключение диссертационного исследования подводит итоги проделанной научной работы, обобщает достигнутые результаты и раскрывает решение поставленных задач. В ходе исследования была выявлена проблема недостаточной профессиональной направленности студентов в образовательном процессе, что негативно сказывается на их мотивации, осознанности профессионального выбора и готовности к будущей деятельности. Для устранения данной проблемы разработана и обоснована методология, основанная на использовании стохастико-игровых упражнений, позволяющих интегрировать элементы вероятностного анализа и игровой стратегии в образовательный процесс, тем самым способствуя развитию аналитического мышления, способности принимать решения в условиях неопределенности и формированию устойчивого интереса к профессиональной деятельности.</w:t>
      </w:r>
    </w:p>
    <w:p w:rsidR="00D86E49" w:rsidRP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 xml:space="preserve">Первая задача исследования заключалась в выявлении теоретических подходов к формированию профессиональной направленности студентов, а также в анализе существующих проблем преподавания стохастики и теории игр. В ходе анализа научной литературы были рассмотрены различные концепции профессиональной направленности, выделены ее основные компоненты и факторы формирования. Было установлено, что профессиональная направленность представляет собой сложное личностное образование, включающее мотивационные, когнитивные, эмоционально-волевые, практические и интегративные аспекты. Исследование показало, что традиционные методы преподавания математических дисциплин, таких как теория вероятностей и стохастика, зачастую оторваны от профессиональной деятельности студентов, что снижает их заинтересованность и мотивацию. В этой связи возникла необходимость поиска новых педагогических подходов, обеспечивающих интеграцию математических методов с реальными </w:t>
      </w:r>
      <w:r w:rsidRPr="00D86E49">
        <w:rPr>
          <w:rFonts w:ascii="Times New Roman" w:eastAsia="Times New Roman" w:hAnsi="Times New Roman" w:cs="Times New Roman"/>
          <w:sz w:val="28"/>
          <w:szCs w:val="28"/>
          <w:lang w:eastAsia="ru-RU"/>
        </w:rPr>
        <w:lastRenderedPageBreak/>
        <w:t>профессиональными задачами, что и послужило основой для дальнейшего исследования.</w:t>
      </w:r>
    </w:p>
    <w:p w:rsidR="00D86E49" w:rsidRP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Вторая задача исследования состояла в обосновании методологии формирования профессиональной направленности студентов через систему упражнений, учитывающих специфику их будущей профессиональной деятельности. На основе выявленных теоретических закономерностей была разработана концептуальная модель, включающая стохастико-игровые упражнения как ключевой инструмент формирования профессиональной направленности. В рамках методологии предложено использовать упражнения, моделирующие реальные профессиональные ситуации, требующие от студентов применения вероятностных методов, стратегического анализа и элементов теории игр. Разработанный подход направлен на повышение мотивации студентов за счет вовлечения их в активный процесс принятия решений, связанный с будущей профессиональной сферой. Методология учитывает современные образовательные тенденции, включая цифровизацию, интерактивные методы обучения и проблемно-ориентированные технологии, что делает ее актуальной и эффективной для применения в высшем образовании.</w:t>
      </w:r>
    </w:p>
    <w:p w:rsidR="00D86E49" w:rsidRP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Третья задача исследования предполагала подготовку методических рекомендаций для преподавателей по разработке и использованию стохастико-игровых упражнений в образовательном процессе. На основании анализа педагогических стратегий были сформулированы рекомендации по созданию и интеграции упражнений в учебные программы. Разработаны критерии отбора задач, основанные на их практической значимости, уровню сложности и соответствию профессиональной направленности студентов. Определены оптимальные методики подачи материала, способствующие вовлечению студентов, развитию их самостоятельности и способности применять теоретические знания в практических ситуациях. Подготовлены рекомендации по адаптации методики для различных уровней подготовки студентов и дисциплин, что обеспечивает гибкость ее применения в образовательном процессе.</w:t>
      </w:r>
    </w:p>
    <w:p w:rsidR="00D86E49" w:rsidRP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 xml:space="preserve">Четвертая задача исследования заключалась в проведении педагогического эксперимента по внедрению разработанной системы упражнений и оценке ее влияния на формирование профессиональной направленности студентов. Эксперимент был организован в учебных заведениях и включал сравнение контрольной и экспериментальной групп. В ходе исследования проведен анализ уровня профессиональной направленности студентов до и после применения методики, что позволило выявить значительные изменения в уровне мотивации, академической успеваемости и осознанности профессионального выбора. Экспериментальные данные подтвердили, что студенты, обучавшиеся с использованием стохастико-игровых упражнений, демонстрировали более высокие результаты, проявляя большую вовлеченность в учебный процесс, способность к аналитическому мышлению и уверенность в выборе профессии. Данные статистической обработки показали значимое повышение </w:t>
      </w:r>
      <w:r w:rsidRPr="00D86E49">
        <w:rPr>
          <w:rFonts w:ascii="Times New Roman" w:eastAsia="Times New Roman" w:hAnsi="Times New Roman" w:cs="Times New Roman"/>
          <w:sz w:val="28"/>
          <w:szCs w:val="28"/>
          <w:lang w:eastAsia="ru-RU"/>
        </w:rPr>
        <w:lastRenderedPageBreak/>
        <w:t>эффективности усвоения материала и развития профессиональных компетенций в экспериментальной группе.</w:t>
      </w:r>
    </w:p>
    <w:p w:rsidR="00D86E49" w:rsidRP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На основании выполненного исследования сделан вывод о том, что разработанная методология, основанная на использовании стохастико-игровых упражнений, является эффективным инструментом формирования профессиональной направленности студентов. Полученные результаты подтверждают гипотезу о том, что интеграция стохастических и игровых методов в образовательный процесс способствует развитию у студентов способности к принятию решений, аналитическому мышлению, стратегическому планированию и повышает их профессиональную мотивацию. Разработанная система упражнений может быть успешно применена в высших учебных заведениях, что подтверждается актами внедрения в образовательные учреждения.</w:t>
      </w:r>
    </w:p>
    <w:p w:rsidR="00D86E49" w:rsidRPr="00321886"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Практическая значимость проведенного исследования заключается в том, что разработанные методические рекомендации могут быть использованы для модернизации образовательного процесса в вузах. Разработанная система стохастико-игровых упражнений может быть адаптирована к различным дисциплинам, что делает ее универсальным инструментом для формирования профессиональной направленности студентов. Предложенная методология способствует повышению качества подготовки специалистов, обеспечивая их готовность к решению профессиональных задач, требующих аналитического подхода, умения работать с неопределенностью и принимать обоснованные решения.</w:t>
      </w:r>
    </w:p>
    <w:p w:rsidR="00321886" w:rsidRPr="00321886" w:rsidRDefault="00321886" w:rsidP="00321886">
      <w:pPr>
        <w:spacing w:after="0" w:line="240" w:lineRule="auto"/>
        <w:ind w:firstLine="567"/>
        <w:jc w:val="both"/>
        <w:rPr>
          <w:rFonts w:ascii="Times New Roman" w:eastAsia="Times New Roman" w:hAnsi="Times New Roman" w:cs="Times New Roman"/>
          <w:sz w:val="28"/>
          <w:szCs w:val="28"/>
          <w:lang w:eastAsia="ru-RU"/>
        </w:rPr>
      </w:pPr>
      <w:r w:rsidRPr="00321886">
        <w:rPr>
          <w:rFonts w:ascii="Times New Roman" w:eastAsia="Times New Roman" w:hAnsi="Times New Roman" w:cs="Times New Roman"/>
          <w:sz w:val="28"/>
          <w:szCs w:val="28"/>
          <w:lang w:eastAsia="ru-RU"/>
        </w:rPr>
        <w:t>Перспектива дальнейшего исследования заключается в углубленном изучении возможностей применения стохастико-игровых упражнений в различных областях профессиональной подготовки, расширении их методологической базы и адаптации к различным образовательным условиям. Одним из направлений будущих исследований может стать разработка цифровых и интерактивных образовательных платформ, интегрирующих стохастико-игровые методы в электронные обучающие системы. Использование современных технологий, таких как виртуальная и дополненная реальность, искусственный интеллект и адаптивные образовательные среды, позволит сделать обучение более персонализированным, интерактивным и эффективным.</w:t>
      </w:r>
    </w:p>
    <w:p w:rsidR="00321886" w:rsidRPr="00321886" w:rsidRDefault="00321886" w:rsidP="00321886">
      <w:pPr>
        <w:spacing w:after="0" w:line="240" w:lineRule="auto"/>
        <w:ind w:firstLine="567"/>
        <w:jc w:val="both"/>
        <w:rPr>
          <w:rFonts w:ascii="Times New Roman" w:eastAsia="Times New Roman" w:hAnsi="Times New Roman" w:cs="Times New Roman"/>
          <w:sz w:val="28"/>
          <w:szCs w:val="28"/>
          <w:lang w:eastAsia="ru-RU"/>
        </w:rPr>
      </w:pPr>
      <w:r w:rsidRPr="00321886">
        <w:rPr>
          <w:rFonts w:ascii="Times New Roman" w:eastAsia="Times New Roman" w:hAnsi="Times New Roman" w:cs="Times New Roman"/>
          <w:sz w:val="28"/>
          <w:szCs w:val="28"/>
          <w:lang w:eastAsia="ru-RU"/>
        </w:rPr>
        <w:t>Еще одним перспективным направлением является исследование влияния стохастико-игровых упражнений на развитие креативного мышления, стрессоустойчивости и способности принимать решения в условиях неопределенности. Поскольку профессиональная деятельность в современных условиях требует гибкости, стратегического анализа и умения адаптироваться к быстро меняющимся условиям, применение игровых и вероятностных моделей может способствовать формированию этих важных компетенций у будущих специалистов.</w:t>
      </w:r>
    </w:p>
    <w:p w:rsidR="00321886" w:rsidRPr="00321886" w:rsidRDefault="00321886" w:rsidP="00321886">
      <w:pPr>
        <w:spacing w:after="0" w:line="240" w:lineRule="auto"/>
        <w:ind w:firstLine="567"/>
        <w:jc w:val="both"/>
        <w:rPr>
          <w:rFonts w:ascii="Times New Roman" w:eastAsia="Times New Roman" w:hAnsi="Times New Roman" w:cs="Times New Roman"/>
          <w:sz w:val="28"/>
          <w:szCs w:val="28"/>
          <w:lang w:eastAsia="ru-RU"/>
        </w:rPr>
      </w:pPr>
      <w:r w:rsidRPr="00321886">
        <w:rPr>
          <w:rFonts w:ascii="Times New Roman" w:eastAsia="Times New Roman" w:hAnsi="Times New Roman" w:cs="Times New Roman"/>
          <w:sz w:val="28"/>
          <w:szCs w:val="28"/>
          <w:lang w:eastAsia="ru-RU"/>
        </w:rPr>
        <w:t xml:space="preserve">Также перспективным направлением является расширение методики на междисциплинарные образовательные программы, включая экономику, управление, медицину, технические науки и IT-сферу. Исследование </w:t>
      </w:r>
      <w:r w:rsidRPr="00321886">
        <w:rPr>
          <w:rFonts w:ascii="Times New Roman" w:eastAsia="Times New Roman" w:hAnsi="Times New Roman" w:cs="Times New Roman"/>
          <w:sz w:val="28"/>
          <w:szCs w:val="28"/>
          <w:lang w:eastAsia="ru-RU"/>
        </w:rPr>
        <w:lastRenderedPageBreak/>
        <w:t>эффективности стохастико-игровых упражнений в этих областях позволит определить универсальные принципы их применения и адаптации под специфические требования разных профессиональных направлений.</w:t>
      </w:r>
    </w:p>
    <w:p w:rsidR="00321886" w:rsidRPr="00321886" w:rsidRDefault="00321886" w:rsidP="00321886">
      <w:pPr>
        <w:spacing w:after="0" w:line="240" w:lineRule="auto"/>
        <w:ind w:firstLine="567"/>
        <w:jc w:val="both"/>
        <w:rPr>
          <w:rFonts w:ascii="Times New Roman" w:eastAsia="Times New Roman" w:hAnsi="Times New Roman" w:cs="Times New Roman"/>
          <w:sz w:val="28"/>
          <w:szCs w:val="28"/>
          <w:lang w:eastAsia="ru-RU"/>
        </w:rPr>
      </w:pPr>
      <w:r w:rsidRPr="00321886">
        <w:rPr>
          <w:rFonts w:ascii="Times New Roman" w:eastAsia="Times New Roman" w:hAnsi="Times New Roman" w:cs="Times New Roman"/>
          <w:sz w:val="28"/>
          <w:szCs w:val="28"/>
          <w:lang w:eastAsia="ru-RU"/>
        </w:rPr>
        <w:t>Дальнейшее изучение психологических аспектов восприятия стохастико-игровых упражнений студентами различного уровня подготовки также представляет собой значимую перспективу. Анализ влияния индивидуальных когнитивных особенностей, стиля обучения, уровня мотивации и эмоциональной вовлеченности позволит оптимизировать методику и сделать ее еще более эффективной для разных категорий обучающихся.</w:t>
      </w:r>
    </w:p>
    <w:p w:rsidR="00D86E49" w:rsidRDefault="00D86E49" w:rsidP="00321886">
      <w:pPr>
        <w:spacing w:after="0" w:line="240" w:lineRule="auto"/>
        <w:ind w:firstLine="567"/>
        <w:jc w:val="both"/>
        <w:rPr>
          <w:rFonts w:ascii="Times New Roman" w:eastAsia="Times New Roman" w:hAnsi="Times New Roman" w:cs="Times New Roman"/>
          <w:sz w:val="28"/>
          <w:szCs w:val="28"/>
          <w:lang w:eastAsia="ru-RU"/>
        </w:rPr>
      </w:pPr>
      <w:r w:rsidRPr="00D86E49">
        <w:rPr>
          <w:rFonts w:ascii="Times New Roman" w:eastAsia="Times New Roman" w:hAnsi="Times New Roman" w:cs="Times New Roman"/>
          <w:sz w:val="28"/>
          <w:szCs w:val="28"/>
          <w:lang w:eastAsia="ru-RU"/>
        </w:rPr>
        <w:t>Таким образом, проведенное исследование позволило выявить актуальные проблемы формирования профессиональной направленности студентов, обосновать необходимость использования стохастико-игровых упражнений, разработать эффективную методологию их применения, а также экспериментально подтвердить их значимость и результативность. Полученные выводы свидетельствуют о том, что предложенная методика является перспективным инструментом в области педагогического образования и может способствовать модернизации учебного процесса, делая его более интерактивным, практикоориентированным и соответствующим современным требованиям подготовки специалистов.</w:t>
      </w:r>
    </w:p>
    <w:p w:rsidR="009E49BF" w:rsidRDefault="009E49BF" w:rsidP="00321886">
      <w:pPr>
        <w:spacing w:after="0" w:line="240" w:lineRule="auto"/>
        <w:ind w:firstLine="567"/>
        <w:jc w:val="both"/>
        <w:rPr>
          <w:rFonts w:ascii="Times New Roman" w:eastAsia="Times New Roman" w:hAnsi="Times New Roman" w:cs="Times New Roman"/>
          <w:sz w:val="28"/>
          <w:szCs w:val="28"/>
          <w:lang w:eastAsia="ru-RU"/>
        </w:rPr>
      </w:pPr>
    </w:p>
    <w:p w:rsidR="005C296E" w:rsidRPr="00321886" w:rsidRDefault="005C296E" w:rsidP="001A6058">
      <w:pPr>
        <w:spacing w:after="0" w:line="240" w:lineRule="auto"/>
        <w:jc w:val="center"/>
        <w:rPr>
          <w:rFonts w:ascii="Times New Roman" w:hAnsi="Times New Roman" w:cs="Times New Roman"/>
          <w:b/>
          <w:sz w:val="28"/>
          <w:szCs w:val="28"/>
        </w:rPr>
      </w:pPr>
      <w:bookmarkStart w:id="0" w:name="_GoBack"/>
      <w:bookmarkEnd w:id="0"/>
    </w:p>
    <w:sectPr w:rsidR="005C296E" w:rsidRPr="00321886" w:rsidSect="007106E9">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6222"/>
    <w:multiLevelType w:val="multilevel"/>
    <w:tmpl w:val="015C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F1BE7"/>
    <w:multiLevelType w:val="multilevel"/>
    <w:tmpl w:val="2F86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E6CEB"/>
    <w:multiLevelType w:val="multilevel"/>
    <w:tmpl w:val="76B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D7B27"/>
    <w:multiLevelType w:val="multilevel"/>
    <w:tmpl w:val="BB0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161312"/>
    <w:multiLevelType w:val="multilevel"/>
    <w:tmpl w:val="9BFA45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FA06AD"/>
    <w:multiLevelType w:val="multilevel"/>
    <w:tmpl w:val="9362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F72C8C"/>
    <w:multiLevelType w:val="multilevel"/>
    <w:tmpl w:val="77EE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517EF"/>
    <w:multiLevelType w:val="multilevel"/>
    <w:tmpl w:val="A8EE2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4764DE"/>
    <w:multiLevelType w:val="multilevel"/>
    <w:tmpl w:val="B7E2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1308E"/>
    <w:multiLevelType w:val="multilevel"/>
    <w:tmpl w:val="C268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5B18CC"/>
    <w:multiLevelType w:val="multilevel"/>
    <w:tmpl w:val="0EF05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6D2E8B"/>
    <w:multiLevelType w:val="multilevel"/>
    <w:tmpl w:val="7094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80636E"/>
    <w:multiLevelType w:val="multilevel"/>
    <w:tmpl w:val="6070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C21B4D"/>
    <w:multiLevelType w:val="multilevel"/>
    <w:tmpl w:val="0A78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F80FDA"/>
    <w:multiLevelType w:val="multilevel"/>
    <w:tmpl w:val="BE6A99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D0B5BD9"/>
    <w:multiLevelType w:val="multilevel"/>
    <w:tmpl w:val="C0B22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2120B5"/>
    <w:multiLevelType w:val="multilevel"/>
    <w:tmpl w:val="E9BEE3B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08B207C"/>
    <w:multiLevelType w:val="multilevel"/>
    <w:tmpl w:val="DEC4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081965"/>
    <w:multiLevelType w:val="multilevel"/>
    <w:tmpl w:val="B71E9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436801"/>
    <w:multiLevelType w:val="multilevel"/>
    <w:tmpl w:val="53A0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2C5ABB"/>
    <w:multiLevelType w:val="multilevel"/>
    <w:tmpl w:val="E4F87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9C3030"/>
    <w:multiLevelType w:val="multilevel"/>
    <w:tmpl w:val="B0EA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DE7354"/>
    <w:multiLevelType w:val="multilevel"/>
    <w:tmpl w:val="71D6BF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7192487"/>
    <w:multiLevelType w:val="multilevel"/>
    <w:tmpl w:val="180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A50803"/>
    <w:multiLevelType w:val="multilevel"/>
    <w:tmpl w:val="3760B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395C25"/>
    <w:multiLevelType w:val="multilevel"/>
    <w:tmpl w:val="862E0D46"/>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A97ED9"/>
    <w:multiLevelType w:val="multilevel"/>
    <w:tmpl w:val="3FB0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D76416"/>
    <w:multiLevelType w:val="multilevel"/>
    <w:tmpl w:val="CFDCB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E22087C"/>
    <w:multiLevelType w:val="multilevel"/>
    <w:tmpl w:val="6AFA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03201C"/>
    <w:multiLevelType w:val="multilevel"/>
    <w:tmpl w:val="2F38C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00F7BB7"/>
    <w:multiLevelType w:val="multilevel"/>
    <w:tmpl w:val="E7AA0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14D186C"/>
    <w:multiLevelType w:val="multilevel"/>
    <w:tmpl w:val="1DAE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6B7EFE"/>
    <w:multiLevelType w:val="multilevel"/>
    <w:tmpl w:val="4502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2FD5E38"/>
    <w:multiLevelType w:val="multilevel"/>
    <w:tmpl w:val="8358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FD5EFD"/>
    <w:multiLevelType w:val="multilevel"/>
    <w:tmpl w:val="A42A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3F0CE4"/>
    <w:multiLevelType w:val="multilevel"/>
    <w:tmpl w:val="9572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6581060"/>
    <w:multiLevelType w:val="multilevel"/>
    <w:tmpl w:val="C5C6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67A2345"/>
    <w:multiLevelType w:val="multilevel"/>
    <w:tmpl w:val="7B9CA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6BB641F"/>
    <w:multiLevelType w:val="multilevel"/>
    <w:tmpl w:val="88B6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9412C3E"/>
    <w:multiLevelType w:val="multilevel"/>
    <w:tmpl w:val="EEAA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616A9F"/>
    <w:multiLevelType w:val="multilevel"/>
    <w:tmpl w:val="68E0B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AA508B3"/>
    <w:multiLevelType w:val="multilevel"/>
    <w:tmpl w:val="C9FA04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E405EC0"/>
    <w:multiLevelType w:val="multilevel"/>
    <w:tmpl w:val="7480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9676FB"/>
    <w:multiLevelType w:val="multilevel"/>
    <w:tmpl w:val="B5C6200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3B830E3"/>
    <w:multiLevelType w:val="multilevel"/>
    <w:tmpl w:val="73CA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4A003E7"/>
    <w:multiLevelType w:val="multilevel"/>
    <w:tmpl w:val="D30A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71364F6"/>
    <w:multiLevelType w:val="multilevel"/>
    <w:tmpl w:val="1B34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0B6913"/>
    <w:multiLevelType w:val="multilevel"/>
    <w:tmpl w:val="7A82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A2645D9"/>
    <w:multiLevelType w:val="multilevel"/>
    <w:tmpl w:val="A914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A8A428E"/>
    <w:multiLevelType w:val="multilevel"/>
    <w:tmpl w:val="0EC28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A916223"/>
    <w:multiLevelType w:val="multilevel"/>
    <w:tmpl w:val="60EC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AA26B12"/>
    <w:multiLevelType w:val="multilevel"/>
    <w:tmpl w:val="A11A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B3022DE"/>
    <w:multiLevelType w:val="multilevel"/>
    <w:tmpl w:val="975058CE"/>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B606E4B"/>
    <w:multiLevelType w:val="multilevel"/>
    <w:tmpl w:val="EB04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D2A06B4"/>
    <w:multiLevelType w:val="multilevel"/>
    <w:tmpl w:val="BF1C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E7B7E84"/>
    <w:multiLevelType w:val="multilevel"/>
    <w:tmpl w:val="ABA6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1F0E08"/>
    <w:multiLevelType w:val="multilevel"/>
    <w:tmpl w:val="01DA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2041CC9"/>
    <w:multiLevelType w:val="multilevel"/>
    <w:tmpl w:val="2042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25A15EF"/>
    <w:multiLevelType w:val="multilevel"/>
    <w:tmpl w:val="4B044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2C75821"/>
    <w:multiLevelType w:val="multilevel"/>
    <w:tmpl w:val="855C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4B438FD"/>
    <w:multiLevelType w:val="multilevel"/>
    <w:tmpl w:val="217A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6CF0048"/>
    <w:multiLevelType w:val="multilevel"/>
    <w:tmpl w:val="03F4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7896976"/>
    <w:multiLevelType w:val="multilevel"/>
    <w:tmpl w:val="32A4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8A46217"/>
    <w:multiLevelType w:val="multilevel"/>
    <w:tmpl w:val="932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C93D49"/>
    <w:multiLevelType w:val="multilevel"/>
    <w:tmpl w:val="A4B0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8C0177"/>
    <w:multiLevelType w:val="multilevel"/>
    <w:tmpl w:val="E556B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A9C5A29"/>
    <w:multiLevelType w:val="multilevel"/>
    <w:tmpl w:val="35AE9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ACA323D"/>
    <w:multiLevelType w:val="multilevel"/>
    <w:tmpl w:val="2FBED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CF915A2"/>
    <w:multiLevelType w:val="multilevel"/>
    <w:tmpl w:val="3BB055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E2A4C1D"/>
    <w:multiLevelType w:val="multilevel"/>
    <w:tmpl w:val="915E6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F9D4A0F"/>
    <w:multiLevelType w:val="multilevel"/>
    <w:tmpl w:val="C526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3916FE"/>
    <w:multiLevelType w:val="multilevel"/>
    <w:tmpl w:val="66DA1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59A0161"/>
    <w:multiLevelType w:val="multilevel"/>
    <w:tmpl w:val="3E78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4C6D7E"/>
    <w:multiLevelType w:val="multilevel"/>
    <w:tmpl w:val="8EC2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8C06473"/>
    <w:multiLevelType w:val="multilevel"/>
    <w:tmpl w:val="DBBE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9065A38"/>
    <w:multiLevelType w:val="multilevel"/>
    <w:tmpl w:val="E344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C931CD6"/>
    <w:multiLevelType w:val="multilevel"/>
    <w:tmpl w:val="F95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DD6072B"/>
    <w:multiLevelType w:val="multilevel"/>
    <w:tmpl w:val="4E1C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09550D3"/>
    <w:multiLevelType w:val="multilevel"/>
    <w:tmpl w:val="D59EB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C24912"/>
    <w:multiLevelType w:val="multilevel"/>
    <w:tmpl w:val="1D2C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37658E8"/>
    <w:multiLevelType w:val="multilevel"/>
    <w:tmpl w:val="F216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4681263"/>
    <w:multiLevelType w:val="multilevel"/>
    <w:tmpl w:val="4496B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6085310"/>
    <w:multiLevelType w:val="multilevel"/>
    <w:tmpl w:val="8CC6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140E53"/>
    <w:multiLevelType w:val="multilevel"/>
    <w:tmpl w:val="7AA8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7AE2B0F"/>
    <w:multiLevelType w:val="multilevel"/>
    <w:tmpl w:val="53369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7EB57B6"/>
    <w:multiLevelType w:val="multilevel"/>
    <w:tmpl w:val="4186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81041E0"/>
    <w:multiLevelType w:val="multilevel"/>
    <w:tmpl w:val="EFF65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819227F"/>
    <w:multiLevelType w:val="multilevel"/>
    <w:tmpl w:val="428A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8565023"/>
    <w:multiLevelType w:val="multilevel"/>
    <w:tmpl w:val="421E026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94C2178"/>
    <w:multiLevelType w:val="multilevel"/>
    <w:tmpl w:val="6688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AA848A3"/>
    <w:multiLevelType w:val="multilevel"/>
    <w:tmpl w:val="8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AE15762"/>
    <w:multiLevelType w:val="multilevel"/>
    <w:tmpl w:val="091A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CB03923"/>
    <w:multiLevelType w:val="multilevel"/>
    <w:tmpl w:val="56F464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CBC13C2"/>
    <w:multiLevelType w:val="multilevel"/>
    <w:tmpl w:val="52FC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DBC5E2B"/>
    <w:multiLevelType w:val="hybridMultilevel"/>
    <w:tmpl w:val="71600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E1B1E0A"/>
    <w:multiLevelType w:val="multilevel"/>
    <w:tmpl w:val="561E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E9314AE"/>
    <w:multiLevelType w:val="multilevel"/>
    <w:tmpl w:val="2A7C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FC749B6"/>
    <w:multiLevelType w:val="multilevel"/>
    <w:tmpl w:val="0D08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5"/>
  </w:num>
  <w:num w:numId="2">
    <w:abstractNumId w:val="74"/>
  </w:num>
  <w:num w:numId="3">
    <w:abstractNumId w:val="45"/>
  </w:num>
  <w:num w:numId="4">
    <w:abstractNumId w:val="95"/>
  </w:num>
  <w:num w:numId="5">
    <w:abstractNumId w:val="15"/>
  </w:num>
  <w:num w:numId="6">
    <w:abstractNumId w:val="19"/>
  </w:num>
  <w:num w:numId="7">
    <w:abstractNumId w:val="23"/>
  </w:num>
  <w:num w:numId="8">
    <w:abstractNumId w:val="71"/>
  </w:num>
  <w:num w:numId="9">
    <w:abstractNumId w:val="62"/>
  </w:num>
  <w:num w:numId="10">
    <w:abstractNumId w:val="66"/>
  </w:num>
  <w:num w:numId="11">
    <w:abstractNumId w:val="34"/>
  </w:num>
  <w:num w:numId="12">
    <w:abstractNumId w:val="39"/>
  </w:num>
  <w:num w:numId="13">
    <w:abstractNumId w:val="97"/>
  </w:num>
  <w:num w:numId="14">
    <w:abstractNumId w:val="54"/>
  </w:num>
  <w:num w:numId="15">
    <w:abstractNumId w:val="20"/>
  </w:num>
  <w:num w:numId="16">
    <w:abstractNumId w:val="64"/>
  </w:num>
  <w:num w:numId="17">
    <w:abstractNumId w:val="27"/>
  </w:num>
  <w:num w:numId="18">
    <w:abstractNumId w:val="49"/>
  </w:num>
  <w:num w:numId="19">
    <w:abstractNumId w:val="18"/>
  </w:num>
  <w:num w:numId="20">
    <w:abstractNumId w:val="22"/>
  </w:num>
  <w:num w:numId="21">
    <w:abstractNumId w:val="77"/>
  </w:num>
  <w:num w:numId="22">
    <w:abstractNumId w:val="90"/>
  </w:num>
  <w:num w:numId="23">
    <w:abstractNumId w:val="37"/>
  </w:num>
  <w:num w:numId="24">
    <w:abstractNumId w:val="42"/>
  </w:num>
  <w:num w:numId="25">
    <w:abstractNumId w:val="28"/>
  </w:num>
  <w:num w:numId="26">
    <w:abstractNumId w:val="33"/>
  </w:num>
  <w:num w:numId="27">
    <w:abstractNumId w:val="0"/>
  </w:num>
  <w:num w:numId="28">
    <w:abstractNumId w:val="48"/>
  </w:num>
  <w:num w:numId="29">
    <w:abstractNumId w:val="63"/>
  </w:num>
  <w:num w:numId="30">
    <w:abstractNumId w:val="86"/>
  </w:num>
  <w:num w:numId="31">
    <w:abstractNumId w:val="30"/>
  </w:num>
  <w:num w:numId="32">
    <w:abstractNumId w:val="16"/>
  </w:num>
  <w:num w:numId="33">
    <w:abstractNumId w:val="9"/>
  </w:num>
  <w:num w:numId="34">
    <w:abstractNumId w:val="61"/>
  </w:num>
  <w:num w:numId="35">
    <w:abstractNumId w:val="50"/>
  </w:num>
  <w:num w:numId="36">
    <w:abstractNumId w:val="32"/>
  </w:num>
  <w:num w:numId="37">
    <w:abstractNumId w:val="3"/>
  </w:num>
  <w:num w:numId="38">
    <w:abstractNumId w:val="46"/>
  </w:num>
  <w:num w:numId="39">
    <w:abstractNumId w:val="21"/>
  </w:num>
  <w:num w:numId="40">
    <w:abstractNumId w:val="85"/>
  </w:num>
  <w:num w:numId="41">
    <w:abstractNumId w:val="60"/>
  </w:num>
  <w:num w:numId="42">
    <w:abstractNumId w:val="40"/>
  </w:num>
  <w:num w:numId="43">
    <w:abstractNumId w:val="31"/>
  </w:num>
  <w:num w:numId="44">
    <w:abstractNumId w:val="47"/>
  </w:num>
  <w:num w:numId="45">
    <w:abstractNumId w:val="94"/>
  </w:num>
  <w:num w:numId="46">
    <w:abstractNumId w:val="7"/>
  </w:num>
  <w:num w:numId="47">
    <w:abstractNumId w:val="25"/>
  </w:num>
  <w:num w:numId="48">
    <w:abstractNumId w:val="52"/>
  </w:num>
  <w:num w:numId="49">
    <w:abstractNumId w:val="92"/>
  </w:num>
  <w:num w:numId="50">
    <w:abstractNumId w:val="41"/>
  </w:num>
  <w:num w:numId="51">
    <w:abstractNumId w:val="68"/>
  </w:num>
  <w:num w:numId="52">
    <w:abstractNumId w:val="14"/>
  </w:num>
  <w:num w:numId="53">
    <w:abstractNumId w:val="43"/>
  </w:num>
  <w:num w:numId="54">
    <w:abstractNumId w:val="88"/>
  </w:num>
  <w:num w:numId="55">
    <w:abstractNumId w:val="4"/>
  </w:num>
  <w:num w:numId="56">
    <w:abstractNumId w:val="79"/>
  </w:num>
  <w:num w:numId="57">
    <w:abstractNumId w:val="67"/>
  </w:num>
  <w:num w:numId="58">
    <w:abstractNumId w:val="59"/>
  </w:num>
  <w:num w:numId="59">
    <w:abstractNumId w:val="84"/>
  </w:num>
  <w:num w:numId="60">
    <w:abstractNumId w:val="73"/>
  </w:num>
  <w:num w:numId="61">
    <w:abstractNumId w:val="10"/>
  </w:num>
  <w:num w:numId="62">
    <w:abstractNumId w:val="13"/>
  </w:num>
  <w:num w:numId="63">
    <w:abstractNumId w:val="78"/>
  </w:num>
  <w:num w:numId="64">
    <w:abstractNumId w:val="17"/>
  </w:num>
  <w:num w:numId="65">
    <w:abstractNumId w:val="82"/>
  </w:num>
  <w:num w:numId="66">
    <w:abstractNumId w:val="38"/>
  </w:num>
  <w:num w:numId="67">
    <w:abstractNumId w:val="51"/>
  </w:num>
  <w:num w:numId="68">
    <w:abstractNumId w:val="58"/>
  </w:num>
  <w:num w:numId="69">
    <w:abstractNumId w:val="80"/>
  </w:num>
  <w:num w:numId="70">
    <w:abstractNumId w:val="81"/>
  </w:num>
  <w:num w:numId="71">
    <w:abstractNumId w:val="44"/>
  </w:num>
  <w:num w:numId="72">
    <w:abstractNumId w:val="5"/>
  </w:num>
  <w:num w:numId="73">
    <w:abstractNumId w:val="91"/>
  </w:num>
  <w:num w:numId="74">
    <w:abstractNumId w:val="36"/>
  </w:num>
  <w:num w:numId="75">
    <w:abstractNumId w:val="6"/>
  </w:num>
  <w:num w:numId="76">
    <w:abstractNumId w:val="24"/>
  </w:num>
  <w:num w:numId="77">
    <w:abstractNumId w:val="12"/>
  </w:num>
  <w:num w:numId="78">
    <w:abstractNumId w:val="83"/>
  </w:num>
  <w:num w:numId="79">
    <w:abstractNumId w:val="69"/>
  </w:num>
  <w:num w:numId="80">
    <w:abstractNumId w:val="57"/>
  </w:num>
  <w:num w:numId="81">
    <w:abstractNumId w:val="29"/>
  </w:num>
  <w:num w:numId="82">
    <w:abstractNumId w:val="35"/>
  </w:num>
  <w:num w:numId="83">
    <w:abstractNumId w:val="1"/>
  </w:num>
  <w:num w:numId="84">
    <w:abstractNumId w:val="65"/>
  </w:num>
  <w:num w:numId="85">
    <w:abstractNumId w:val="72"/>
  </w:num>
  <w:num w:numId="86">
    <w:abstractNumId w:val="76"/>
  </w:num>
  <w:num w:numId="87">
    <w:abstractNumId w:val="56"/>
  </w:num>
  <w:num w:numId="88">
    <w:abstractNumId w:val="55"/>
  </w:num>
  <w:num w:numId="89">
    <w:abstractNumId w:val="96"/>
  </w:num>
  <w:num w:numId="90">
    <w:abstractNumId w:val="26"/>
  </w:num>
  <w:num w:numId="91">
    <w:abstractNumId w:val="93"/>
  </w:num>
  <w:num w:numId="92">
    <w:abstractNumId w:val="8"/>
  </w:num>
  <w:num w:numId="93">
    <w:abstractNumId w:val="2"/>
  </w:num>
  <w:num w:numId="94">
    <w:abstractNumId w:val="11"/>
  </w:num>
  <w:num w:numId="95">
    <w:abstractNumId w:val="87"/>
  </w:num>
  <w:num w:numId="96">
    <w:abstractNumId w:val="53"/>
  </w:num>
  <w:num w:numId="97">
    <w:abstractNumId w:val="89"/>
  </w:num>
  <w:num w:numId="98">
    <w:abstractNumId w:val="7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E9"/>
    <w:rsid w:val="00006755"/>
    <w:rsid w:val="000157E3"/>
    <w:rsid w:val="00035C9E"/>
    <w:rsid w:val="00042AA5"/>
    <w:rsid w:val="00092189"/>
    <w:rsid w:val="00092B2C"/>
    <w:rsid w:val="000E1A15"/>
    <w:rsid w:val="001118B7"/>
    <w:rsid w:val="00160BC5"/>
    <w:rsid w:val="001615F6"/>
    <w:rsid w:val="00186925"/>
    <w:rsid w:val="00193B97"/>
    <w:rsid w:val="001A6058"/>
    <w:rsid w:val="001C2891"/>
    <w:rsid w:val="001D1724"/>
    <w:rsid w:val="001D18C6"/>
    <w:rsid w:val="001D4AC2"/>
    <w:rsid w:val="001E54D5"/>
    <w:rsid w:val="00200030"/>
    <w:rsid w:val="00200383"/>
    <w:rsid w:val="002129F8"/>
    <w:rsid w:val="0023382B"/>
    <w:rsid w:val="00261AF5"/>
    <w:rsid w:val="00264CCF"/>
    <w:rsid w:val="002D6630"/>
    <w:rsid w:val="002F78CB"/>
    <w:rsid w:val="00310819"/>
    <w:rsid w:val="00321886"/>
    <w:rsid w:val="00322A85"/>
    <w:rsid w:val="0032392C"/>
    <w:rsid w:val="00325858"/>
    <w:rsid w:val="00382DF1"/>
    <w:rsid w:val="00395B24"/>
    <w:rsid w:val="003B12D4"/>
    <w:rsid w:val="003B72F2"/>
    <w:rsid w:val="003E3C1C"/>
    <w:rsid w:val="003F1A52"/>
    <w:rsid w:val="00404BCC"/>
    <w:rsid w:val="00420683"/>
    <w:rsid w:val="004271C7"/>
    <w:rsid w:val="0046035B"/>
    <w:rsid w:val="00465BC4"/>
    <w:rsid w:val="004809E4"/>
    <w:rsid w:val="00481756"/>
    <w:rsid w:val="00491170"/>
    <w:rsid w:val="004A45CB"/>
    <w:rsid w:val="004E0BE7"/>
    <w:rsid w:val="0051206C"/>
    <w:rsid w:val="00530AB1"/>
    <w:rsid w:val="005826C9"/>
    <w:rsid w:val="0058315C"/>
    <w:rsid w:val="00595DB7"/>
    <w:rsid w:val="005C296E"/>
    <w:rsid w:val="005C43AA"/>
    <w:rsid w:val="005D2ED8"/>
    <w:rsid w:val="005F144C"/>
    <w:rsid w:val="005F69F6"/>
    <w:rsid w:val="00616F64"/>
    <w:rsid w:val="0064628E"/>
    <w:rsid w:val="0065270C"/>
    <w:rsid w:val="00655659"/>
    <w:rsid w:val="00660E20"/>
    <w:rsid w:val="00682754"/>
    <w:rsid w:val="006A5621"/>
    <w:rsid w:val="006E0138"/>
    <w:rsid w:val="006E4E91"/>
    <w:rsid w:val="006F7ACC"/>
    <w:rsid w:val="007076B8"/>
    <w:rsid w:val="007106E9"/>
    <w:rsid w:val="00720D0C"/>
    <w:rsid w:val="00725F22"/>
    <w:rsid w:val="00727DE9"/>
    <w:rsid w:val="00743547"/>
    <w:rsid w:val="00754CA0"/>
    <w:rsid w:val="0078258C"/>
    <w:rsid w:val="007B3C72"/>
    <w:rsid w:val="007D434B"/>
    <w:rsid w:val="007F5D1A"/>
    <w:rsid w:val="00802B18"/>
    <w:rsid w:val="00845697"/>
    <w:rsid w:val="0085628B"/>
    <w:rsid w:val="008567F1"/>
    <w:rsid w:val="00864C9C"/>
    <w:rsid w:val="008A640F"/>
    <w:rsid w:val="008B1D1A"/>
    <w:rsid w:val="00900AB9"/>
    <w:rsid w:val="00912EBB"/>
    <w:rsid w:val="0092161F"/>
    <w:rsid w:val="009402E7"/>
    <w:rsid w:val="0094456B"/>
    <w:rsid w:val="009537A4"/>
    <w:rsid w:val="00976688"/>
    <w:rsid w:val="00976CEB"/>
    <w:rsid w:val="009814BF"/>
    <w:rsid w:val="00984B9F"/>
    <w:rsid w:val="009B1DD3"/>
    <w:rsid w:val="009D72AF"/>
    <w:rsid w:val="009E49BF"/>
    <w:rsid w:val="009E7EA8"/>
    <w:rsid w:val="00A024A9"/>
    <w:rsid w:val="00A039C3"/>
    <w:rsid w:val="00A07ED7"/>
    <w:rsid w:val="00A11DEF"/>
    <w:rsid w:val="00A14C56"/>
    <w:rsid w:val="00A235CA"/>
    <w:rsid w:val="00A81F23"/>
    <w:rsid w:val="00A9145B"/>
    <w:rsid w:val="00AB230E"/>
    <w:rsid w:val="00AE52E4"/>
    <w:rsid w:val="00AE6D28"/>
    <w:rsid w:val="00AF4DA0"/>
    <w:rsid w:val="00B11197"/>
    <w:rsid w:val="00B15279"/>
    <w:rsid w:val="00B61B49"/>
    <w:rsid w:val="00B84740"/>
    <w:rsid w:val="00B90D5C"/>
    <w:rsid w:val="00B96784"/>
    <w:rsid w:val="00BA7AD9"/>
    <w:rsid w:val="00BD1FF2"/>
    <w:rsid w:val="00BF2B7D"/>
    <w:rsid w:val="00C14B2B"/>
    <w:rsid w:val="00C3762F"/>
    <w:rsid w:val="00C53AF0"/>
    <w:rsid w:val="00C53B4C"/>
    <w:rsid w:val="00C63DF6"/>
    <w:rsid w:val="00C822B0"/>
    <w:rsid w:val="00CA2B40"/>
    <w:rsid w:val="00CA4F98"/>
    <w:rsid w:val="00CA69FE"/>
    <w:rsid w:val="00CC744F"/>
    <w:rsid w:val="00CD7802"/>
    <w:rsid w:val="00CE7301"/>
    <w:rsid w:val="00D07862"/>
    <w:rsid w:val="00D27995"/>
    <w:rsid w:val="00D40CBB"/>
    <w:rsid w:val="00D4102F"/>
    <w:rsid w:val="00D86E49"/>
    <w:rsid w:val="00DA0296"/>
    <w:rsid w:val="00DA4877"/>
    <w:rsid w:val="00DA7905"/>
    <w:rsid w:val="00DC47C4"/>
    <w:rsid w:val="00DD48D0"/>
    <w:rsid w:val="00DF7AF5"/>
    <w:rsid w:val="00E02BC6"/>
    <w:rsid w:val="00E40ED3"/>
    <w:rsid w:val="00E45D88"/>
    <w:rsid w:val="00EA4CC7"/>
    <w:rsid w:val="00EC50E9"/>
    <w:rsid w:val="00EE5C5B"/>
    <w:rsid w:val="00F051C1"/>
    <w:rsid w:val="00F14A78"/>
    <w:rsid w:val="00F177F5"/>
    <w:rsid w:val="00F26042"/>
    <w:rsid w:val="00F47878"/>
    <w:rsid w:val="00F511CA"/>
    <w:rsid w:val="00F61B84"/>
    <w:rsid w:val="00F87577"/>
    <w:rsid w:val="00F97744"/>
    <w:rsid w:val="00FA3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7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30A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B847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82DF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3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30AB1"/>
    <w:rPr>
      <w:rFonts w:ascii="Times New Roman" w:eastAsia="Times New Roman" w:hAnsi="Times New Roman" w:cs="Times New Roman"/>
      <w:b/>
      <w:bCs/>
      <w:sz w:val="36"/>
      <w:szCs w:val="36"/>
      <w:lang w:eastAsia="ru-RU"/>
    </w:rPr>
  </w:style>
  <w:style w:type="paragraph" w:styleId="a4">
    <w:name w:val="Normal (Web)"/>
    <w:basedOn w:val="a"/>
    <w:uiPriority w:val="99"/>
    <w:rsid w:val="00530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0AB1"/>
    <w:rPr>
      <w:b/>
      <w:bCs/>
    </w:rPr>
  </w:style>
  <w:style w:type="character" w:styleId="a6">
    <w:name w:val="Hyperlink"/>
    <w:basedOn w:val="a0"/>
    <w:uiPriority w:val="99"/>
    <w:unhideWhenUsed/>
    <w:rsid w:val="007076B8"/>
    <w:rPr>
      <w:color w:val="0563C1" w:themeColor="hyperlink"/>
      <w:u w:val="single"/>
    </w:rPr>
  </w:style>
  <w:style w:type="character" w:customStyle="1" w:styleId="10">
    <w:name w:val="Заголовок 1 Знак"/>
    <w:basedOn w:val="a0"/>
    <w:link w:val="1"/>
    <w:uiPriority w:val="9"/>
    <w:rsid w:val="00BA7AD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84740"/>
    <w:rPr>
      <w:rFonts w:asciiTheme="majorHAnsi" w:eastAsiaTheme="majorEastAsia" w:hAnsiTheme="majorHAnsi" w:cstheme="majorBidi"/>
      <w:color w:val="1F3763" w:themeColor="accent1" w:themeShade="7F"/>
      <w:sz w:val="24"/>
      <w:szCs w:val="24"/>
    </w:rPr>
  </w:style>
  <w:style w:type="paragraph" w:styleId="a7">
    <w:name w:val="List Paragraph"/>
    <w:basedOn w:val="a"/>
    <w:uiPriority w:val="34"/>
    <w:qFormat/>
    <w:rsid w:val="00B84740"/>
    <w:pPr>
      <w:ind w:left="720"/>
      <w:contextualSpacing/>
    </w:pPr>
  </w:style>
  <w:style w:type="character" w:customStyle="1" w:styleId="hljs-string">
    <w:name w:val="hljs-string"/>
    <w:basedOn w:val="a0"/>
    <w:rsid w:val="00261AF5"/>
  </w:style>
  <w:style w:type="character" w:styleId="a8">
    <w:name w:val="Emphasis"/>
    <w:basedOn w:val="a0"/>
    <w:uiPriority w:val="20"/>
    <w:qFormat/>
    <w:rsid w:val="00382DF1"/>
    <w:rPr>
      <w:i/>
      <w:iCs/>
    </w:rPr>
  </w:style>
  <w:style w:type="character" w:customStyle="1" w:styleId="40">
    <w:name w:val="Заголовок 4 Знак"/>
    <w:basedOn w:val="a0"/>
    <w:link w:val="4"/>
    <w:uiPriority w:val="9"/>
    <w:semiHidden/>
    <w:rsid w:val="00382DF1"/>
    <w:rPr>
      <w:rFonts w:asciiTheme="majorHAnsi" w:eastAsiaTheme="majorEastAsia" w:hAnsiTheme="majorHAnsi" w:cstheme="majorBidi"/>
      <w:i/>
      <w:iCs/>
      <w:color w:val="2F5496" w:themeColor="accent1" w:themeShade="BF"/>
    </w:rPr>
  </w:style>
  <w:style w:type="character" w:customStyle="1" w:styleId="truncate">
    <w:name w:val="truncate"/>
    <w:basedOn w:val="a0"/>
    <w:rsid w:val="00382DF1"/>
  </w:style>
  <w:style w:type="character" w:customStyle="1" w:styleId="katex-mathml">
    <w:name w:val="katex-mathml"/>
    <w:basedOn w:val="a0"/>
    <w:rsid w:val="00382DF1"/>
  </w:style>
  <w:style w:type="character" w:customStyle="1" w:styleId="mord">
    <w:name w:val="mord"/>
    <w:basedOn w:val="a0"/>
    <w:rsid w:val="00382DF1"/>
  </w:style>
  <w:style w:type="character" w:customStyle="1" w:styleId="mrel">
    <w:name w:val="mrel"/>
    <w:basedOn w:val="a0"/>
    <w:rsid w:val="00382DF1"/>
  </w:style>
  <w:style w:type="character" w:customStyle="1" w:styleId="mop">
    <w:name w:val="mop"/>
    <w:basedOn w:val="a0"/>
    <w:rsid w:val="00382DF1"/>
  </w:style>
  <w:style w:type="character" w:customStyle="1" w:styleId="mopen">
    <w:name w:val="mopen"/>
    <w:basedOn w:val="a0"/>
    <w:rsid w:val="00382DF1"/>
  </w:style>
  <w:style w:type="character" w:customStyle="1" w:styleId="vlist-s">
    <w:name w:val="vlist-s"/>
    <w:basedOn w:val="a0"/>
    <w:rsid w:val="00382DF1"/>
  </w:style>
  <w:style w:type="character" w:customStyle="1" w:styleId="mbin">
    <w:name w:val="mbin"/>
    <w:basedOn w:val="a0"/>
    <w:rsid w:val="00382DF1"/>
  </w:style>
  <w:style w:type="character" w:customStyle="1" w:styleId="mclose">
    <w:name w:val="mclose"/>
    <w:basedOn w:val="a0"/>
    <w:rsid w:val="00382DF1"/>
  </w:style>
  <w:style w:type="paragraph" w:styleId="a9">
    <w:name w:val="Balloon Text"/>
    <w:basedOn w:val="a"/>
    <w:link w:val="aa"/>
    <w:uiPriority w:val="99"/>
    <w:semiHidden/>
    <w:unhideWhenUsed/>
    <w:rsid w:val="00382DF1"/>
    <w:pPr>
      <w:spacing w:after="0" w:line="240" w:lineRule="auto"/>
    </w:pPr>
    <w:rPr>
      <w:rFonts w:ascii="Segoe UI" w:eastAsia="Times New Roman" w:hAnsi="Segoe UI" w:cs="Segoe UI"/>
      <w:sz w:val="18"/>
      <w:szCs w:val="18"/>
      <w:lang w:eastAsia="ru-RU"/>
    </w:rPr>
  </w:style>
  <w:style w:type="character" w:customStyle="1" w:styleId="aa">
    <w:name w:val="Текст выноски Знак"/>
    <w:basedOn w:val="a0"/>
    <w:link w:val="a9"/>
    <w:uiPriority w:val="99"/>
    <w:semiHidden/>
    <w:rsid w:val="00382DF1"/>
    <w:rPr>
      <w:rFonts w:ascii="Segoe UI" w:eastAsia="Times New Roman" w:hAnsi="Segoe UI" w:cs="Segoe UI"/>
      <w:sz w:val="18"/>
      <w:szCs w:val="18"/>
      <w:lang w:eastAsia="ru-RU"/>
    </w:rPr>
  </w:style>
  <w:style w:type="table" w:customStyle="1" w:styleId="GridTableLight">
    <w:name w:val="Grid Table Light"/>
    <w:basedOn w:val="a1"/>
    <w:uiPriority w:val="40"/>
    <w:rsid w:val="0094456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7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30A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B847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82DF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3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30AB1"/>
    <w:rPr>
      <w:rFonts w:ascii="Times New Roman" w:eastAsia="Times New Roman" w:hAnsi="Times New Roman" w:cs="Times New Roman"/>
      <w:b/>
      <w:bCs/>
      <w:sz w:val="36"/>
      <w:szCs w:val="36"/>
      <w:lang w:eastAsia="ru-RU"/>
    </w:rPr>
  </w:style>
  <w:style w:type="paragraph" w:styleId="a4">
    <w:name w:val="Normal (Web)"/>
    <w:basedOn w:val="a"/>
    <w:uiPriority w:val="99"/>
    <w:rsid w:val="00530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0AB1"/>
    <w:rPr>
      <w:b/>
      <w:bCs/>
    </w:rPr>
  </w:style>
  <w:style w:type="character" w:styleId="a6">
    <w:name w:val="Hyperlink"/>
    <w:basedOn w:val="a0"/>
    <w:uiPriority w:val="99"/>
    <w:unhideWhenUsed/>
    <w:rsid w:val="007076B8"/>
    <w:rPr>
      <w:color w:val="0563C1" w:themeColor="hyperlink"/>
      <w:u w:val="single"/>
    </w:rPr>
  </w:style>
  <w:style w:type="character" w:customStyle="1" w:styleId="10">
    <w:name w:val="Заголовок 1 Знак"/>
    <w:basedOn w:val="a0"/>
    <w:link w:val="1"/>
    <w:uiPriority w:val="9"/>
    <w:rsid w:val="00BA7AD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84740"/>
    <w:rPr>
      <w:rFonts w:asciiTheme="majorHAnsi" w:eastAsiaTheme="majorEastAsia" w:hAnsiTheme="majorHAnsi" w:cstheme="majorBidi"/>
      <w:color w:val="1F3763" w:themeColor="accent1" w:themeShade="7F"/>
      <w:sz w:val="24"/>
      <w:szCs w:val="24"/>
    </w:rPr>
  </w:style>
  <w:style w:type="paragraph" w:styleId="a7">
    <w:name w:val="List Paragraph"/>
    <w:basedOn w:val="a"/>
    <w:uiPriority w:val="34"/>
    <w:qFormat/>
    <w:rsid w:val="00B84740"/>
    <w:pPr>
      <w:ind w:left="720"/>
      <w:contextualSpacing/>
    </w:pPr>
  </w:style>
  <w:style w:type="character" w:customStyle="1" w:styleId="hljs-string">
    <w:name w:val="hljs-string"/>
    <w:basedOn w:val="a0"/>
    <w:rsid w:val="00261AF5"/>
  </w:style>
  <w:style w:type="character" w:styleId="a8">
    <w:name w:val="Emphasis"/>
    <w:basedOn w:val="a0"/>
    <w:uiPriority w:val="20"/>
    <w:qFormat/>
    <w:rsid w:val="00382DF1"/>
    <w:rPr>
      <w:i/>
      <w:iCs/>
    </w:rPr>
  </w:style>
  <w:style w:type="character" w:customStyle="1" w:styleId="40">
    <w:name w:val="Заголовок 4 Знак"/>
    <w:basedOn w:val="a0"/>
    <w:link w:val="4"/>
    <w:uiPriority w:val="9"/>
    <w:semiHidden/>
    <w:rsid w:val="00382DF1"/>
    <w:rPr>
      <w:rFonts w:asciiTheme="majorHAnsi" w:eastAsiaTheme="majorEastAsia" w:hAnsiTheme="majorHAnsi" w:cstheme="majorBidi"/>
      <w:i/>
      <w:iCs/>
      <w:color w:val="2F5496" w:themeColor="accent1" w:themeShade="BF"/>
    </w:rPr>
  </w:style>
  <w:style w:type="character" w:customStyle="1" w:styleId="truncate">
    <w:name w:val="truncate"/>
    <w:basedOn w:val="a0"/>
    <w:rsid w:val="00382DF1"/>
  </w:style>
  <w:style w:type="character" w:customStyle="1" w:styleId="katex-mathml">
    <w:name w:val="katex-mathml"/>
    <w:basedOn w:val="a0"/>
    <w:rsid w:val="00382DF1"/>
  </w:style>
  <w:style w:type="character" w:customStyle="1" w:styleId="mord">
    <w:name w:val="mord"/>
    <w:basedOn w:val="a0"/>
    <w:rsid w:val="00382DF1"/>
  </w:style>
  <w:style w:type="character" w:customStyle="1" w:styleId="mrel">
    <w:name w:val="mrel"/>
    <w:basedOn w:val="a0"/>
    <w:rsid w:val="00382DF1"/>
  </w:style>
  <w:style w:type="character" w:customStyle="1" w:styleId="mop">
    <w:name w:val="mop"/>
    <w:basedOn w:val="a0"/>
    <w:rsid w:val="00382DF1"/>
  </w:style>
  <w:style w:type="character" w:customStyle="1" w:styleId="mopen">
    <w:name w:val="mopen"/>
    <w:basedOn w:val="a0"/>
    <w:rsid w:val="00382DF1"/>
  </w:style>
  <w:style w:type="character" w:customStyle="1" w:styleId="vlist-s">
    <w:name w:val="vlist-s"/>
    <w:basedOn w:val="a0"/>
    <w:rsid w:val="00382DF1"/>
  </w:style>
  <w:style w:type="character" w:customStyle="1" w:styleId="mbin">
    <w:name w:val="mbin"/>
    <w:basedOn w:val="a0"/>
    <w:rsid w:val="00382DF1"/>
  </w:style>
  <w:style w:type="character" w:customStyle="1" w:styleId="mclose">
    <w:name w:val="mclose"/>
    <w:basedOn w:val="a0"/>
    <w:rsid w:val="00382DF1"/>
  </w:style>
  <w:style w:type="paragraph" w:styleId="a9">
    <w:name w:val="Balloon Text"/>
    <w:basedOn w:val="a"/>
    <w:link w:val="aa"/>
    <w:uiPriority w:val="99"/>
    <w:semiHidden/>
    <w:unhideWhenUsed/>
    <w:rsid w:val="00382DF1"/>
    <w:pPr>
      <w:spacing w:after="0" w:line="240" w:lineRule="auto"/>
    </w:pPr>
    <w:rPr>
      <w:rFonts w:ascii="Segoe UI" w:eastAsia="Times New Roman" w:hAnsi="Segoe UI" w:cs="Segoe UI"/>
      <w:sz w:val="18"/>
      <w:szCs w:val="18"/>
      <w:lang w:eastAsia="ru-RU"/>
    </w:rPr>
  </w:style>
  <w:style w:type="character" w:customStyle="1" w:styleId="aa">
    <w:name w:val="Текст выноски Знак"/>
    <w:basedOn w:val="a0"/>
    <w:link w:val="a9"/>
    <w:uiPriority w:val="99"/>
    <w:semiHidden/>
    <w:rsid w:val="00382DF1"/>
    <w:rPr>
      <w:rFonts w:ascii="Segoe UI" w:eastAsia="Times New Roman" w:hAnsi="Segoe UI" w:cs="Segoe UI"/>
      <w:sz w:val="18"/>
      <w:szCs w:val="18"/>
      <w:lang w:eastAsia="ru-RU"/>
    </w:rPr>
  </w:style>
  <w:style w:type="table" w:customStyle="1" w:styleId="GridTableLight">
    <w:name w:val="Grid Table Light"/>
    <w:basedOn w:val="a1"/>
    <w:uiPriority w:val="40"/>
    <w:rsid w:val="0094456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23248">
      <w:bodyDiv w:val="1"/>
      <w:marLeft w:val="0"/>
      <w:marRight w:val="0"/>
      <w:marTop w:val="0"/>
      <w:marBottom w:val="0"/>
      <w:divBdr>
        <w:top w:val="none" w:sz="0" w:space="0" w:color="auto"/>
        <w:left w:val="none" w:sz="0" w:space="0" w:color="auto"/>
        <w:bottom w:val="none" w:sz="0" w:space="0" w:color="auto"/>
        <w:right w:val="none" w:sz="0" w:space="0" w:color="auto"/>
      </w:divBdr>
    </w:div>
    <w:div w:id="251090041">
      <w:bodyDiv w:val="1"/>
      <w:marLeft w:val="0"/>
      <w:marRight w:val="0"/>
      <w:marTop w:val="0"/>
      <w:marBottom w:val="0"/>
      <w:divBdr>
        <w:top w:val="none" w:sz="0" w:space="0" w:color="auto"/>
        <w:left w:val="none" w:sz="0" w:space="0" w:color="auto"/>
        <w:bottom w:val="none" w:sz="0" w:space="0" w:color="auto"/>
        <w:right w:val="none" w:sz="0" w:space="0" w:color="auto"/>
      </w:divBdr>
    </w:div>
    <w:div w:id="271669981">
      <w:bodyDiv w:val="1"/>
      <w:marLeft w:val="0"/>
      <w:marRight w:val="0"/>
      <w:marTop w:val="0"/>
      <w:marBottom w:val="0"/>
      <w:divBdr>
        <w:top w:val="none" w:sz="0" w:space="0" w:color="auto"/>
        <w:left w:val="none" w:sz="0" w:space="0" w:color="auto"/>
        <w:bottom w:val="none" w:sz="0" w:space="0" w:color="auto"/>
        <w:right w:val="none" w:sz="0" w:space="0" w:color="auto"/>
      </w:divBdr>
    </w:div>
    <w:div w:id="452754725">
      <w:bodyDiv w:val="1"/>
      <w:marLeft w:val="0"/>
      <w:marRight w:val="0"/>
      <w:marTop w:val="0"/>
      <w:marBottom w:val="0"/>
      <w:divBdr>
        <w:top w:val="none" w:sz="0" w:space="0" w:color="auto"/>
        <w:left w:val="none" w:sz="0" w:space="0" w:color="auto"/>
        <w:bottom w:val="none" w:sz="0" w:space="0" w:color="auto"/>
        <w:right w:val="none" w:sz="0" w:space="0" w:color="auto"/>
      </w:divBdr>
    </w:div>
    <w:div w:id="464157440">
      <w:bodyDiv w:val="1"/>
      <w:marLeft w:val="0"/>
      <w:marRight w:val="0"/>
      <w:marTop w:val="0"/>
      <w:marBottom w:val="0"/>
      <w:divBdr>
        <w:top w:val="none" w:sz="0" w:space="0" w:color="auto"/>
        <w:left w:val="none" w:sz="0" w:space="0" w:color="auto"/>
        <w:bottom w:val="none" w:sz="0" w:space="0" w:color="auto"/>
        <w:right w:val="none" w:sz="0" w:space="0" w:color="auto"/>
      </w:divBdr>
    </w:div>
    <w:div w:id="477571289">
      <w:bodyDiv w:val="1"/>
      <w:marLeft w:val="0"/>
      <w:marRight w:val="0"/>
      <w:marTop w:val="0"/>
      <w:marBottom w:val="0"/>
      <w:divBdr>
        <w:top w:val="none" w:sz="0" w:space="0" w:color="auto"/>
        <w:left w:val="none" w:sz="0" w:space="0" w:color="auto"/>
        <w:bottom w:val="none" w:sz="0" w:space="0" w:color="auto"/>
        <w:right w:val="none" w:sz="0" w:space="0" w:color="auto"/>
      </w:divBdr>
      <w:divsChild>
        <w:div w:id="593241758">
          <w:marLeft w:val="0"/>
          <w:marRight w:val="0"/>
          <w:marTop w:val="0"/>
          <w:marBottom w:val="0"/>
          <w:divBdr>
            <w:top w:val="none" w:sz="0" w:space="0" w:color="auto"/>
            <w:left w:val="none" w:sz="0" w:space="0" w:color="auto"/>
            <w:bottom w:val="none" w:sz="0" w:space="0" w:color="auto"/>
            <w:right w:val="none" w:sz="0" w:space="0" w:color="auto"/>
          </w:divBdr>
        </w:div>
      </w:divsChild>
    </w:div>
    <w:div w:id="576860150">
      <w:bodyDiv w:val="1"/>
      <w:marLeft w:val="0"/>
      <w:marRight w:val="0"/>
      <w:marTop w:val="0"/>
      <w:marBottom w:val="0"/>
      <w:divBdr>
        <w:top w:val="none" w:sz="0" w:space="0" w:color="auto"/>
        <w:left w:val="none" w:sz="0" w:space="0" w:color="auto"/>
        <w:bottom w:val="none" w:sz="0" w:space="0" w:color="auto"/>
        <w:right w:val="none" w:sz="0" w:space="0" w:color="auto"/>
      </w:divBdr>
    </w:div>
    <w:div w:id="616059549">
      <w:bodyDiv w:val="1"/>
      <w:marLeft w:val="0"/>
      <w:marRight w:val="0"/>
      <w:marTop w:val="0"/>
      <w:marBottom w:val="0"/>
      <w:divBdr>
        <w:top w:val="none" w:sz="0" w:space="0" w:color="auto"/>
        <w:left w:val="none" w:sz="0" w:space="0" w:color="auto"/>
        <w:bottom w:val="none" w:sz="0" w:space="0" w:color="auto"/>
        <w:right w:val="none" w:sz="0" w:space="0" w:color="auto"/>
      </w:divBdr>
      <w:divsChild>
        <w:div w:id="84768614">
          <w:marLeft w:val="0"/>
          <w:marRight w:val="0"/>
          <w:marTop w:val="0"/>
          <w:marBottom w:val="0"/>
          <w:divBdr>
            <w:top w:val="none" w:sz="0" w:space="0" w:color="auto"/>
            <w:left w:val="none" w:sz="0" w:space="0" w:color="auto"/>
            <w:bottom w:val="none" w:sz="0" w:space="0" w:color="auto"/>
            <w:right w:val="none" w:sz="0" w:space="0" w:color="auto"/>
          </w:divBdr>
        </w:div>
      </w:divsChild>
    </w:div>
    <w:div w:id="699746130">
      <w:bodyDiv w:val="1"/>
      <w:marLeft w:val="0"/>
      <w:marRight w:val="0"/>
      <w:marTop w:val="0"/>
      <w:marBottom w:val="0"/>
      <w:divBdr>
        <w:top w:val="none" w:sz="0" w:space="0" w:color="auto"/>
        <w:left w:val="none" w:sz="0" w:space="0" w:color="auto"/>
        <w:bottom w:val="none" w:sz="0" w:space="0" w:color="auto"/>
        <w:right w:val="none" w:sz="0" w:space="0" w:color="auto"/>
      </w:divBdr>
    </w:div>
    <w:div w:id="733771464">
      <w:bodyDiv w:val="1"/>
      <w:marLeft w:val="0"/>
      <w:marRight w:val="0"/>
      <w:marTop w:val="0"/>
      <w:marBottom w:val="0"/>
      <w:divBdr>
        <w:top w:val="none" w:sz="0" w:space="0" w:color="auto"/>
        <w:left w:val="none" w:sz="0" w:space="0" w:color="auto"/>
        <w:bottom w:val="none" w:sz="0" w:space="0" w:color="auto"/>
        <w:right w:val="none" w:sz="0" w:space="0" w:color="auto"/>
      </w:divBdr>
    </w:div>
    <w:div w:id="762532304">
      <w:bodyDiv w:val="1"/>
      <w:marLeft w:val="0"/>
      <w:marRight w:val="0"/>
      <w:marTop w:val="0"/>
      <w:marBottom w:val="0"/>
      <w:divBdr>
        <w:top w:val="none" w:sz="0" w:space="0" w:color="auto"/>
        <w:left w:val="none" w:sz="0" w:space="0" w:color="auto"/>
        <w:bottom w:val="none" w:sz="0" w:space="0" w:color="auto"/>
        <w:right w:val="none" w:sz="0" w:space="0" w:color="auto"/>
      </w:divBdr>
    </w:div>
    <w:div w:id="961887989">
      <w:bodyDiv w:val="1"/>
      <w:marLeft w:val="0"/>
      <w:marRight w:val="0"/>
      <w:marTop w:val="0"/>
      <w:marBottom w:val="0"/>
      <w:divBdr>
        <w:top w:val="none" w:sz="0" w:space="0" w:color="auto"/>
        <w:left w:val="none" w:sz="0" w:space="0" w:color="auto"/>
        <w:bottom w:val="none" w:sz="0" w:space="0" w:color="auto"/>
        <w:right w:val="none" w:sz="0" w:space="0" w:color="auto"/>
      </w:divBdr>
    </w:div>
    <w:div w:id="968440430">
      <w:bodyDiv w:val="1"/>
      <w:marLeft w:val="0"/>
      <w:marRight w:val="0"/>
      <w:marTop w:val="0"/>
      <w:marBottom w:val="0"/>
      <w:divBdr>
        <w:top w:val="none" w:sz="0" w:space="0" w:color="auto"/>
        <w:left w:val="none" w:sz="0" w:space="0" w:color="auto"/>
        <w:bottom w:val="none" w:sz="0" w:space="0" w:color="auto"/>
        <w:right w:val="none" w:sz="0" w:space="0" w:color="auto"/>
      </w:divBdr>
    </w:div>
    <w:div w:id="1106316607">
      <w:bodyDiv w:val="1"/>
      <w:marLeft w:val="0"/>
      <w:marRight w:val="0"/>
      <w:marTop w:val="0"/>
      <w:marBottom w:val="0"/>
      <w:divBdr>
        <w:top w:val="none" w:sz="0" w:space="0" w:color="auto"/>
        <w:left w:val="none" w:sz="0" w:space="0" w:color="auto"/>
        <w:bottom w:val="none" w:sz="0" w:space="0" w:color="auto"/>
        <w:right w:val="none" w:sz="0" w:space="0" w:color="auto"/>
      </w:divBdr>
    </w:div>
    <w:div w:id="1166020232">
      <w:bodyDiv w:val="1"/>
      <w:marLeft w:val="0"/>
      <w:marRight w:val="0"/>
      <w:marTop w:val="0"/>
      <w:marBottom w:val="0"/>
      <w:divBdr>
        <w:top w:val="none" w:sz="0" w:space="0" w:color="auto"/>
        <w:left w:val="none" w:sz="0" w:space="0" w:color="auto"/>
        <w:bottom w:val="none" w:sz="0" w:space="0" w:color="auto"/>
        <w:right w:val="none" w:sz="0" w:space="0" w:color="auto"/>
      </w:divBdr>
      <w:divsChild>
        <w:div w:id="1792281619">
          <w:marLeft w:val="0"/>
          <w:marRight w:val="0"/>
          <w:marTop w:val="0"/>
          <w:marBottom w:val="0"/>
          <w:divBdr>
            <w:top w:val="none" w:sz="0" w:space="0" w:color="auto"/>
            <w:left w:val="none" w:sz="0" w:space="0" w:color="auto"/>
            <w:bottom w:val="none" w:sz="0" w:space="0" w:color="auto"/>
            <w:right w:val="none" w:sz="0" w:space="0" w:color="auto"/>
          </w:divBdr>
        </w:div>
      </w:divsChild>
    </w:div>
    <w:div w:id="1336571934">
      <w:bodyDiv w:val="1"/>
      <w:marLeft w:val="0"/>
      <w:marRight w:val="0"/>
      <w:marTop w:val="0"/>
      <w:marBottom w:val="0"/>
      <w:divBdr>
        <w:top w:val="none" w:sz="0" w:space="0" w:color="auto"/>
        <w:left w:val="none" w:sz="0" w:space="0" w:color="auto"/>
        <w:bottom w:val="none" w:sz="0" w:space="0" w:color="auto"/>
        <w:right w:val="none" w:sz="0" w:space="0" w:color="auto"/>
      </w:divBdr>
    </w:div>
    <w:div w:id="1454471531">
      <w:bodyDiv w:val="1"/>
      <w:marLeft w:val="0"/>
      <w:marRight w:val="0"/>
      <w:marTop w:val="0"/>
      <w:marBottom w:val="0"/>
      <w:divBdr>
        <w:top w:val="none" w:sz="0" w:space="0" w:color="auto"/>
        <w:left w:val="none" w:sz="0" w:space="0" w:color="auto"/>
        <w:bottom w:val="none" w:sz="0" w:space="0" w:color="auto"/>
        <w:right w:val="none" w:sz="0" w:space="0" w:color="auto"/>
      </w:divBdr>
    </w:div>
    <w:div w:id="1547256477">
      <w:bodyDiv w:val="1"/>
      <w:marLeft w:val="0"/>
      <w:marRight w:val="0"/>
      <w:marTop w:val="0"/>
      <w:marBottom w:val="0"/>
      <w:divBdr>
        <w:top w:val="none" w:sz="0" w:space="0" w:color="auto"/>
        <w:left w:val="none" w:sz="0" w:space="0" w:color="auto"/>
        <w:bottom w:val="none" w:sz="0" w:space="0" w:color="auto"/>
        <w:right w:val="none" w:sz="0" w:space="0" w:color="auto"/>
      </w:divBdr>
    </w:div>
    <w:div w:id="1558085072">
      <w:bodyDiv w:val="1"/>
      <w:marLeft w:val="0"/>
      <w:marRight w:val="0"/>
      <w:marTop w:val="0"/>
      <w:marBottom w:val="0"/>
      <w:divBdr>
        <w:top w:val="none" w:sz="0" w:space="0" w:color="auto"/>
        <w:left w:val="none" w:sz="0" w:space="0" w:color="auto"/>
        <w:bottom w:val="none" w:sz="0" w:space="0" w:color="auto"/>
        <w:right w:val="none" w:sz="0" w:space="0" w:color="auto"/>
      </w:divBdr>
    </w:div>
    <w:div w:id="1965382448">
      <w:bodyDiv w:val="1"/>
      <w:marLeft w:val="0"/>
      <w:marRight w:val="0"/>
      <w:marTop w:val="0"/>
      <w:marBottom w:val="0"/>
      <w:divBdr>
        <w:top w:val="none" w:sz="0" w:space="0" w:color="auto"/>
        <w:left w:val="none" w:sz="0" w:space="0" w:color="auto"/>
        <w:bottom w:val="none" w:sz="0" w:space="0" w:color="auto"/>
        <w:right w:val="none" w:sz="0" w:space="0" w:color="auto"/>
      </w:divBdr>
    </w:div>
    <w:div w:id="200797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chart" Target="charts/chart8.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3.xml"/><Relationship Id="rId34" Type="http://schemas.openxmlformats.org/officeDocument/2006/relationships/hyperlink" Target="https://www.graphpad.com/quickcalcs/chisquared1/"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chart" Target="charts/chart7.xm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6.xml"/><Relationship Id="rId32" Type="http://schemas.openxmlformats.org/officeDocument/2006/relationships/image" Target="media/image16.png"/><Relationship Id="rId37"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chart" Target="charts/chart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4.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Насколько, по вашему мнению, важно формировать профессиональную направленность у учащихся (студентов) уже в процессе обучения?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27-419A-9F8A-C6FF587BAAF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27-419A-9F8A-C6FF587BAAF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27-419A-9F8A-C6FF587BAAF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A27-419A-9F8A-C6FF587BAAFD}"/>
              </c:ext>
            </c:extLst>
          </c:dPt>
          <c:cat>
            <c:strRef>
              <c:f>Лист1!$A$2:$A$5</c:f>
              <c:strCache>
                <c:ptCount val="4"/>
                <c:pt idx="0">
                  <c:v>Очень важно</c:v>
                </c:pt>
                <c:pt idx="1">
                  <c:v>Скорее важно</c:v>
                </c:pt>
                <c:pt idx="2">
                  <c:v>Скорее не важно</c:v>
                </c:pt>
                <c:pt idx="3">
                  <c:v>Не важно</c:v>
                </c:pt>
              </c:strCache>
            </c:strRef>
          </c:cat>
          <c:val>
            <c:numRef>
              <c:f>Лист1!$B$2:$B$5</c:f>
              <c:numCache>
                <c:formatCode>General</c:formatCode>
                <c:ptCount val="4"/>
                <c:pt idx="0">
                  <c:v>80</c:v>
                </c:pt>
                <c:pt idx="1">
                  <c:v>20</c:v>
                </c:pt>
                <c:pt idx="2">
                  <c:v>0</c:v>
                </c:pt>
                <c:pt idx="3">
                  <c:v>0</c:v>
                </c:pt>
              </c:numCache>
            </c:numRef>
          </c:val>
          <c:extLst xmlns:c16r2="http://schemas.microsoft.com/office/drawing/2015/06/chart">
            <c:ext xmlns:c16="http://schemas.microsoft.com/office/drawing/2014/chart" uri="{C3380CC4-5D6E-409C-BE32-E72D297353CC}">
              <c16:uniqueId val="{00000008-1A27-419A-9F8A-C6FF587BAAF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Контрольная группа</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уровень</c:v>
                </c:pt>
              </c:strCache>
            </c:strRef>
          </c:tx>
          <c:spPr>
            <a:solidFill>
              <a:schemeClr val="accent1"/>
            </a:solidFill>
            <a:ln>
              <a:noFill/>
            </a:ln>
            <a:effectLst/>
          </c:spPr>
          <c:invertIfNegative val="0"/>
          <c:cat>
            <c:strRef>
              <c:f>Лист1!$A$2:$A$3</c:f>
              <c:strCache>
                <c:ptCount val="2"/>
                <c:pt idx="0">
                  <c:v>Начало эксперимента</c:v>
                </c:pt>
                <c:pt idx="1">
                  <c:v>Конец эксперимента</c:v>
                </c:pt>
              </c:strCache>
            </c:strRef>
          </c:cat>
          <c:val>
            <c:numRef>
              <c:f>Лист1!$B$2:$B$3</c:f>
              <c:numCache>
                <c:formatCode>General</c:formatCode>
                <c:ptCount val="2"/>
                <c:pt idx="0">
                  <c:v>32</c:v>
                </c:pt>
                <c:pt idx="1">
                  <c:v>14</c:v>
                </c:pt>
              </c:numCache>
            </c:numRef>
          </c:val>
          <c:extLst xmlns:c16r2="http://schemas.microsoft.com/office/drawing/2015/06/chart">
            <c:ext xmlns:c16="http://schemas.microsoft.com/office/drawing/2014/chart" uri="{C3380CC4-5D6E-409C-BE32-E72D297353CC}">
              <c16:uniqueId val="{00000000-2204-4587-A63C-AE6B04845942}"/>
            </c:ext>
          </c:extLst>
        </c:ser>
        <c:ser>
          <c:idx val="1"/>
          <c:order val="1"/>
          <c:tx>
            <c:strRef>
              <c:f>Лист1!$C$1</c:f>
              <c:strCache>
                <c:ptCount val="1"/>
                <c:pt idx="0">
                  <c:v>2 уровень</c:v>
                </c:pt>
              </c:strCache>
            </c:strRef>
          </c:tx>
          <c:spPr>
            <a:solidFill>
              <a:schemeClr val="accent2"/>
            </a:solidFill>
            <a:ln>
              <a:noFill/>
            </a:ln>
            <a:effectLst/>
          </c:spPr>
          <c:invertIfNegative val="0"/>
          <c:cat>
            <c:strRef>
              <c:f>Лист1!$A$2:$A$3</c:f>
              <c:strCache>
                <c:ptCount val="2"/>
                <c:pt idx="0">
                  <c:v>Начало эксперимента</c:v>
                </c:pt>
                <c:pt idx="1">
                  <c:v>Конец эксперимента</c:v>
                </c:pt>
              </c:strCache>
            </c:strRef>
          </c:cat>
          <c:val>
            <c:numRef>
              <c:f>Лист1!$C$2:$C$3</c:f>
              <c:numCache>
                <c:formatCode>General</c:formatCode>
                <c:ptCount val="2"/>
                <c:pt idx="0">
                  <c:v>41</c:v>
                </c:pt>
                <c:pt idx="1">
                  <c:v>45</c:v>
                </c:pt>
              </c:numCache>
            </c:numRef>
          </c:val>
          <c:extLst xmlns:c16r2="http://schemas.microsoft.com/office/drawing/2015/06/chart">
            <c:ext xmlns:c16="http://schemas.microsoft.com/office/drawing/2014/chart" uri="{C3380CC4-5D6E-409C-BE32-E72D297353CC}">
              <c16:uniqueId val="{00000001-2204-4587-A63C-AE6B04845942}"/>
            </c:ext>
          </c:extLst>
        </c:ser>
        <c:ser>
          <c:idx val="2"/>
          <c:order val="2"/>
          <c:tx>
            <c:strRef>
              <c:f>Лист1!$D$1</c:f>
              <c:strCache>
                <c:ptCount val="1"/>
                <c:pt idx="0">
                  <c:v>3 уровень</c:v>
                </c:pt>
              </c:strCache>
            </c:strRef>
          </c:tx>
          <c:spPr>
            <a:solidFill>
              <a:schemeClr val="accent3"/>
            </a:solidFill>
            <a:ln>
              <a:noFill/>
            </a:ln>
            <a:effectLst/>
          </c:spPr>
          <c:invertIfNegative val="0"/>
          <c:cat>
            <c:strRef>
              <c:f>Лист1!$A$2:$A$3</c:f>
              <c:strCache>
                <c:ptCount val="2"/>
                <c:pt idx="0">
                  <c:v>Начало эксперимента</c:v>
                </c:pt>
                <c:pt idx="1">
                  <c:v>Конец эксперимента</c:v>
                </c:pt>
              </c:strCache>
            </c:strRef>
          </c:cat>
          <c:val>
            <c:numRef>
              <c:f>Лист1!$D$2:$D$3</c:f>
              <c:numCache>
                <c:formatCode>General</c:formatCode>
                <c:ptCount val="2"/>
                <c:pt idx="0">
                  <c:v>23</c:v>
                </c:pt>
                <c:pt idx="1">
                  <c:v>27</c:v>
                </c:pt>
              </c:numCache>
            </c:numRef>
          </c:val>
          <c:extLst xmlns:c16r2="http://schemas.microsoft.com/office/drawing/2015/06/chart">
            <c:ext xmlns:c16="http://schemas.microsoft.com/office/drawing/2014/chart" uri="{C3380CC4-5D6E-409C-BE32-E72D297353CC}">
              <c16:uniqueId val="{00000002-2204-4587-A63C-AE6B04845942}"/>
            </c:ext>
          </c:extLst>
        </c:ser>
        <c:ser>
          <c:idx val="3"/>
          <c:order val="3"/>
          <c:tx>
            <c:strRef>
              <c:f>Лист1!$E$1</c:f>
              <c:strCache>
                <c:ptCount val="1"/>
                <c:pt idx="0">
                  <c:v>4 уровень</c:v>
                </c:pt>
              </c:strCache>
            </c:strRef>
          </c:tx>
          <c:spPr>
            <a:solidFill>
              <a:schemeClr val="accent4"/>
            </a:solidFill>
            <a:ln>
              <a:noFill/>
            </a:ln>
            <a:effectLst/>
          </c:spPr>
          <c:invertIfNegative val="0"/>
          <c:cat>
            <c:strRef>
              <c:f>Лист1!$A$2:$A$3</c:f>
              <c:strCache>
                <c:ptCount val="2"/>
                <c:pt idx="0">
                  <c:v>Начало эксперимента</c:v>
                </c:pt>
                <c:pt idx="1">
                  <c:v>Конец эксперимента</c:v>
                </c:pt>
              </c:strCache>
            </c:strRef>
          </c:cat>
          <c:val>
            <c:numRef>
              <c:f>Лист1!$E$2:$E$3</c:f>
              <c:numCache>
                <c:formatCode>General</c:formatCode>
                <c:ptCount val="2"/>
                <c:pt idx="0">
                  <c:v>4</c:v>
                </c:pt>
                <c:pt idx="1">
                  <c:v>14</c:v>
                </c:pt>
              </c:numCache>
            </c:numRef>
          </c:val>
          <c:extLst xmlns:c16r2="http://schemas.microsoft.com/office/drawing/2015/06/chart">
            <c:ext xmlns:c16="http://schemas.microsoft.com/office/drawing/2014/chart" uri="{C3380CC4-5D6E-409C-BE32-E72D297353CC}">
              <c16:uniqueId val="{00000003-2204-4587-A63C-AE6B04845942}"/>
            </c:ext>
          </c:extLst>
        </c:ser>
        <c:dLbls>
          <c:showLegendKey val="0"/>
          <c:showVal val="0"/>
          <c:showCatName val="0"/>
          <c:showSerName val="0"/>
          <c:showPercent val="0"/>
          <c:showBubbleSize val="0"/>
        </c:dLbls>
        <c:gapWidth val="219"/>
        <c:overlap val="-27"/>
        <c:axId val="78772096"/>
        <c:axId val="78773632"/>
      </c:barChart>
      <c:catAx>
        <c:axId val="787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73632"/>
        <c:crosses val="autoZero"/>
        <c:auto val="1"/>
        <c:lblAlgn val="ctr"/>
        <c:lblOffset val="100"/>
        <c:noMultiLvlLbl val="0"/>
      </c:catAx>
      <c:valAx>
        <c:axId val="7877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Экспериментальная группа</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уровень</c:v>
                </c:pt>
              </c:strCache>
            </c:strRef>
          </c:tx>
          <c:spPr>
            <a:solidFill>
              <a:schemeClr val="accent1"/>
            </a:solidFill>
            <a:ln>
              <a:noFill/>
            </a:ln>
            <a:effectLst/>
          </c:spPr>
          <c:invertIfNegative val="0"/>
          <c:cat>
            <c:strRef>
              <c:f>Лист1!$A$2:$A$3</c:f>
              <c:strCache>
                <c:ptCount val="2"/>
                <c:pt idx="0">
                  <c:v>Начало эксперимента</c:v>
                </c:pt>
                <c:pt idx="1">
                  <c:v>Конец эксперимента</c:v>
                </c:pt>
              </c:strCache>
            </c:strRef>
          </c:cat>
          <c:val>
            <c:numRef>
              <c:f>Лист1!$B$2:$B$3</c:f>
              <c:numCache>
                <c:formatCode>General</c:formatCode>
                <c:ptCount val="2"/>
                <c:pt idx="0">
                  <c:v>35</c:v>
                </c:pt>
                <c:pt idx="1">
                  <c:v>4</c:v>
                </c:pt>
              </c:numCache>
            </c:numRef>
          </c:val>
          <c:extLst xmlns:c16r2="http://schemas.microsoft.com/office/drawing/2015/06/chart">
            <c:ext xmlns:c16="http://schemas.microsoft.com/office/drawing/2014/chart" uri="{C3380CC4-5D6E-409C-BE32-E72D297353CC}">
              <c16:uniqueId val="{00000000-6005-485E-BDE5-F8FACB8B1B57}"/>
            </c:ext>
          </c:extLst>
        </c:ser>
        <c:ser>
          <c:idx val="1"/>
          <c:order val="1"/>
          <c:tx>
            <c:strRef>
              <c:f>Лист1!$C$1</c:f>
              <c:strCache>
                <c:ptCount val="1"/>
                <c:pt idx="0">
                  <c:v>2 уровень</c:v>
                </c:pt>
              </c:strCache>
            </c:strRef>
          </c:tx>
          <c:spPr>
            <a:solidFill>
              <a:schemeClr val="accent2"/>
            </a:solidFill>
            <a:ln>
              <a:noFill/>
            </a:ln>
            <a:effectLst/>
          </c:spPr>
          <c:invertIfNegative val="0"/>
          <c:cat>
            <c:strRef>
              <c:f>Лист1!$A$2:$A$3</c:f>
              <c:strCache>
                <c:ptCount val="2"/>
                <c:pt idx="0">
                  <c:v>Начало эксперимента</c:v>
                </c:pt>
                <c:pt idx="1">
                  <c:v>Конец эксперимента</c:v>
                </c:pt>
              </c:strCache>
            </c:strRef>
          </c:cat>
          <c:val>
            <c:numRef>
              <c:f>Лист1!$C$2:$C$3</c:f>
              <c:numCache>
                <c:formatCode>General</c:formatCode>
                <c:ptCount val="2"/>
                <c:pt idx="0">
                  <c:v>39</c:v>
                </c:pt>
                <c:pt idx="1">
                  <c:v>13</c:v>
                </c:pt>
              </c:numCache>
            </c:numRef>
          </c:val>
          <c:extLst xmlns:c16r2="http://schemas.microsoft.com/office/drawing/2015/06/chart">
            <c:ext xmlns:c16="http://schemas.microsoft.com/office/drawing/2014/chart" uri="{C3380CC4-5D6E-409C-BE32-E72D297353CC}">
              <c16:uniqueId val="{00000001-6005-485E-BDE5-F8FACB8B1B57}"/>
            </c:ext>
          </c:extLst>
        </c:ser>
        <c:ser>
          <c:idx val="2"/>
          <c:order val="2"/>
          <c:tx>
            <c:strRef>
              <c:f>Лист1!$D$1</c:f>
              <c:strCache>
                <c:ptCount val="1"/>
                <c:pt idx="0">
                  <c:v>3 уровень</c:v>
                </c:pt>
              </c:strCache>
            </c:strRef>
          </c:tx>
          <c:spPr>
            <a:solidFill>
              <a:schemeClr val="accent3"/>
            </a:solidFill>
            <a:ln>
              <a:noFill/>
            </a:ln>
            <a:effectLst/>
          </c:spPr>
          <c:invertIfNegative val="0"/>
          <c:cat>
            <c:strRef>
              <c:f>Лист1!$A$2:$A$3</c:f>
              <c:strCache>
                <c:ptCount val="2"/>
                <c:pt idx="0">
                  <c:v>Начало эксперимента</c:v>
                </c:pt>
                <c:pt idx="1">
                  <c:v>Конец эксперимента</c:v>
                </c:pt>
              </c:strCache>
            </c:strRef>
          </c:cat>
          <c:val>
            <c:numRef>
              <c:f>Лист1!$D$2:$D$3</c:f>
              <c:numCache>
                <c:formatCode>General</c:formatCode>
                <c:ptCount val="2"/>
                <c:pt idx="0">
                  <c:v>17</c:v>
                </c:pt>
                <c:pt idx="1">
                  <c:v>40</c:v>
                </c:pt>
              </c:numCache>
            </c:numRef>
          </c:val>
          <c:extLst xmlns:c16r2="http://schemas.microsoft.com/office/drawing/2015/06/chart">
            <c:ext xmlns:c16="http://schemas.microsoft.com/office/drawing/2014/chart" uri="{C3380CC4-5D6E-409C-BE32-E72D297353CC}">
              <c16:uniqueId val="{00000002-6005-485E-BDE5-F8FACB8B1B57}"/>
            </c:ext>
          </c:extLst>
        </c:ser>
        <c:ser>
          <c:idx val="3"/>
          <c:order val="3"/>
          <c:tx>
            <c:strRef>
              <c:f>Лист1!$E$1</c:f>
              <c:strCache>
                <c:ptCount val="1"/>
                <c:pt idx="0">
                  <c:v>4 уровень</c:v>
                </c:pt>
              </c:strCache>
            </c:strRef>
          </c:tx>
          <c:spPr>
            <a:solidFill>
              <a:schemeClr val="accent4"/>
            </a:solidFill>
            <a:ln>
              <a:noFill/>
            </a:ln>
            <a:effectLst/>
          </c:spPr>
          <c:invertIfNegative val="0"/>
          <c:cat>
            <c:strRef>
              <c:f>Лист1!$A$2:$A$3</c:f>
              <c:strCache>
                <c:ptCount val="2"/>
                <c:pt idx="0">
                  <c:v>Начало эксперимента</c:v>
                </c:pt>
                <c:pt idx="1">
                  <c:v>Конец эксперимента</c:v>
                </c:pt>
              </c:strCache>
            </c:strRef>
          </c:cat>
          <c:val>
            <c:numRef>
              <c:f>Лист1!$E$2:$E$3</c:f>
              <c:numCache>
                <c:formatCode>General</c:formatCode>
                <c:ptCount val="2"/>
                <c:pt idx="0">
                  <c:v>9</c:v>
                </c:pt>
                <c:pt idx="1">
                  <c:v>43</c:v>
                </c:pt>
              </c:numCache>
            </c:numRef>
          </c:val>
          <c:extLst xmlns:c16r2="http://schemas.microsoft.com/office/drawing/2015/06/chart">
            <c:ext xmlns:c16="http://schemas.microsoft.com/office/drawing/2014/chart" uri="{C3380CC4-5D6E-409C-BE32-E72D297353CC}">
              <c16:uniqueId val="{00000003-6005-485E-BDE5-F8FACB8B1B57}"/>
            </c:ext>
          </c:extLst>
        </c:ser>
        <c:dLbls>
          <c:showLegendKey val="0"/>
          <c:showVal val="0"/>
          <c:showCatName val="0"/>
          <c:showSerName val="0"/>
          <c:showPercent val="0"/>
          <c:showBubbleSize val="0"/>
        </c:dLbls>
        <c:gapWidth val="219"/>
        <c:overlap val="-27"/>
        <c:axId val="80399744"/>
        <c:axId val="80405632"/>
      </c:barChart>
      <c:catAx>
        <c:axId val="803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405632"/>
        <c:crosses val="autoZero"/>
        <c:auto val="1"/>
        <c:lblAlgn val="ctr"/>
        <c:lblOffset val="100"/>
        <c:noMultiLvlLbl val="0"/>
      </c:catAx>
      <c:valAx>
        <c:axId val="8040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39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Данные формирующего эксперимента</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Студенты КазНацЖПУ</c:v>
                </c:pt>
              </c:strCache>
            </c:strRef>
          </c:tx>
          <c:spPr>
            <a:solidFill>
              <a:schemeClr val="accent1"/>
            </a:solidFill>
            <a:ln>
              <a:noFill/>
            </a:ln>
            <a:effectLst/>
          </c:spPr>
          <c:invertIfNegative val="0"/>
          <c:cat>
            <c:strRef>
              <c:f>Лист1!$A$2:$A$3</c:f>
              <c:strCache>
                <c:ptCount val="2"/>
                <c:pt idx="0">
                  <c:v>Начало эксперимента</c:v>
                </c:pt>
                <c:pt idx="1">
                  <c:v>Конец эксперимента</c:v>
                </c:pt>
              </c:strCache>
            </c:strRef>
          </c:cat>
          <c:val>
            <c:numRef>
              <c:f>Лист1!$B$2:$B$3</c:f>
              <c:numCache>
                <c:formatCode>General</c:formatCode>
                <c:ptCount val="2"/>
                <c:pt idx="0">
                  <c:v>53</c:v>
                </c:pt>
                <c:pt idx="1">
                  <c:v>87</c:v>
                </c:pt>
              </c:numCache>
            </c:numRef>
          </c:val>
          <c:extLst xmlns:c16r2="http://schemas.microsoft.com/office/drawing/2015/06/chart">
            <c:ext xmlns:c16="http://schemas.microsoft.com/office/drawing/2014/chart" uri="{C3380CC4-5D6E-409C-BE32-E72D297353CC}">
              <c16:uniqueId val="{00000000-F88C-44A8-8CB1-36AA99D2BE27}"/>
            </c:ext>
          </c:extLst>
        </c:ser>
        <c:ser>
          <c:idx val="1"/>
          <c:order val="1"/>
          <c:tx>
            <c:strRef>
              <c:f>Лист1!$C$1</c:f>
              <c:strCache>
                <c:ptCount val="1"/>
                <c:pt idx="0">
                  <c:v>Ученики школы №12</c:v>
                </c:pt>
              </c:strCache>
            </c:strRef>
          </c:tx>
          <c:spPr>
            <a:solidFill>
              <a:schemeClr val="accent2"/>
            </a:solidFill>
            <a:ln>
              <a:noFill/>
            </a:ln>
            <a:effectLst/>
          </c:spPr>
          <c:invertIfNegative val="0"/>
          <c:cat>
            <c:strRef>
              <c:f>Лист1!$A$2:$A$3</c:f>
              <c:strCache>
                <c:ptCount val="2"/>
                <c:pt idx="0">
                  <c:v>Начало эксперимента</c:v>
                </c:pt>
                <c:pt idx="1">
                  <c:v>Конец эксперимента</c:v>
                </c:pt>
              </c:strCache>
            </c:strRef>
          </c:cat>
          <c:val>
            <c:numRef>
              <c:f>Лист1!$C$2:$C$3</c:f>
              <c:numCache>
                <c:formatCode>General</c:formatCode>
                <c:ptCount val="2"/>
                <c:pt idx="0">
                  <c:v>45</c:v>
                </c:pt>
                <c:pt idx="1">
                  <c:v>82</c:v>
                </c:pt>
              </c:numCache>
            </c:numRef>
          </c:val>
          <c:extLst xmlns:c16r2="http://schemas.microsoft.com/office/drawing/2015/06/chart">
            <c:ext xmlns:c16="http://schemas.microsoft.com/office/drawing/2014/chart" uri="{C3380CC4-5D6E-409C-BE32-E72D297353CC}">
              <c16:uniqueId val="{00000001-F88C-44A8-8CB1-36AA99D2BE27}"/>
            </c:ext>
          </c:extLst>
        </c:ser>
        <c:ser>
          <c:idx val="2"/>
          <c:order val="2"/>
          <c:tx>
            <c:strRef>
              <c:f>Лист1!$D$1</c:f>
              <c:strCache>
                <c:ptCount val="1"/>
                <c:pt idx="0">
                  <c:v>Учащиеся кружков «Станции юных техников»</c:v>
                </c:pt>
              </c:strCache>
            </c:strRef>
          </c:tx>
          <c:spPr>
            <a:solidFill>
              <a:schemeClr val="accent3"/>
            </a:solidFill>
            <a:ln>
              <a:noFill/>
            </a:ln>
            <a:effectLst/>
          </c:spPr>
          <c:invertIfNegative val="0"/>
          <c:cat>
            <c:strRef>
              <c:f>Лист1!$A$2:$A$3</c:f>
              <c:strCache>
                <c:ptCount val="2"/>
                <c:pt idx="0">
                  <c:v>Начало эксперимента</c:v>
                </c:pt>
                <c:pt idx="1">
                  <c:v>Конец эксперимента</c:v>
                </c:pt>
              </c:strCache>
            </c:strRef>
          </c:cat>
          <c:val>
            <c:numRef>
              <c:f>Лист1!$D$2:$D$3</c:f>
              <c:numCache>
                <c:formatCode>General</c:formatCode>
                <c:ptCount val="2"/>
                <c:pt idx="0">
                  <c:v>58</c:v>
                </c:pt>
                <c:pt idx="1">
                  <c:v>88</c:v>
                </c:pt>
              </c:numCache>
            </c:numRef>
          </c:val>
          <c:extLst xmlns:c16r2="http://schemas.microsoft.com/office/drawing/2015/06/chart">
            <c:ext xmlns:c16="http://schemas.microsoft.com/office/drawing/2014/chart" uri="{C3380CC4-5D6E-409C-BE32-E72D297353CC}">
              <c16:uniqueId val="{00000002-F88C-44A8-8CB1-36AA99D2BE27}"/>
            </c:ext>
          </c:extLst>
        </c:ser>
        <c:dLbls>
          <c:showLegendKey val="0"/>
          <c:showVal val="0"/>
          <c:showCatName val="0"/>
          <c:showSerName val="0"/>
          <c:showPercent val="0"/>
          <c:showBubbleSize val="0"/>
        </c:dLbls>
        <c:gapWidth val="219"/>
        <c:overlap val="-27"/>
        <c:axId val="80440704"/>
        <c:axId val="80454784"/>
      </c:barChart>
      <c:catAx>
        <c:axId val="8044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454784"/>
        <c:crosses val="autoZero"/>
        <c:auto val="1"/>
        <c:lblAlgn val="ctr"/>
        <c:lblOffset val="100"/>
        <c:noMultiLvlLbl val="0"/>
      </c:catAx>
      <c:valAx>
        <c:axId val="8045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44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Используете ли вы в своей практике профессионально направленные задачи?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BB9-4B1F-AAE7-C0C9EEF68F0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BB9-4B1F-AAE7-C0C9EEF68F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BB9-4B1F-AAE7-C0C9EEF68F0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BB9-4B1F-AAE7-C0C9EEF68F05}"/>
              </c:ext>
            </c:extLst>
          </c:dPt>
          <c:cat>
            <c:strRef>
              <c:f>Лист1!$A$2:$A$5</c:f>
              <c:strCache>
                <c:ptCount val="4"/>
                <c:pt idx="0">
                  <c:v>Регулярно</c:v>
                </c:pt>
                <c:pt idx="1">
                  <c:v>Иногда</c:v>
                </c:pt>
                <c:pt idx="2">
                  <c:v>Редко</c:v>
                </c:pt>
                <c:pt idx="3">
                  <c:v>Не использую</c:v>
                </c:pt>
              </c:strCache>
            </c:strRef>
          </c:cat>
          <c:val>
            <c:numRef>
              <c:f>Лист1!$B$2:$B$5</c:f>
              <c:numCache>
                <c:formatCode>General</c:formatCode>
                <c:ptCount val="4"/>
                <c:pt idx="0">
                  <c:v>17</c:v>
                </c:pt>
                <c:pt idx="1">
                  <c:v>45</c:v>
                </c:pt>
                <c:pt idx="2">
                  <c:v>33</c:v>
                </c:pt>
                <c:pt idx="3">
                  <c:v>5</c:v>
                </c:pt>
              </c:numCache>
            </c:numRef>
          </c:val>
          <c:extLst xmlns:c16r2="http://schemas.microsoft.com/office/drawing/2015/06/chart">
            <c:ext xmlns:c16="http://schemas.microsoft.com/office/drawing/2014/chart" uri="{C3380CC4-5D6E-409C-BE32-E72D297353CC}">
              <c16:uniqueId val="{00000008-FBB9-4B1F-AAE7-C0C9EEF68F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Знакомы ли вы с концепцией стохастико-игровых упражнений?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65C-4335-A624-ADFB340D659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65C-4335-A624-ADFB340D659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65C-4335-A624-ADFB340D659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65C-4335-A624-ADFB340D6593}"/>
              </c:ext>
            </c:extLst>
          </c:dPt>
          <c:cat>
            <c:strRef>
              <c:f>Лист1!$A$2:$A$5</c:f>
              <c:strCache>
                <c:ptCount val="4"/>
                <c:pt idx="0">
                  <c:v>Да, использую в работе</c:v>
                </c:pt>
                <c:pt idx="1">
                  <c:v>Да, но не применяю</c:v>
                </c:pt>
                <c:pt idx="2">
                  <c:v>Слышал(а), но плохо представляю</c:v>
                </c:pt>
                <c:pt idx="3">
                  <c:v>Нет, впервые узнал(а) из этой анкеты</c:v>
                </c:pt>
              </c:strCache>
            </c:strRef>
          </c:cat>
          <c:val>
            <c:numRef>
              <c:f>Лист1!$B$2:$B$5</c:f>
              <c:numCache>
                <c:formatCode>General</c:formatCode>
                <c:ptCount val="4"/>
                <c:pt idx="0">
                  <c:v>5</c:v>
                </c:pt>
                <c:pt idx="1">
                  <c:v>13</c:v>
                </c:pt>
                <c:pt idx="2">
                  <c:v>58</c:v>
                </c:pt>
                <c:pt idx="3">
                  <c:v>24</c:v>
                </c:pt>
              </c:numCache>
            </c:numRef>
          </c:val>
          <c:extLst xmlns:c16r2="http://schemas.microsoft.com/office/drawing/2015/06/chart">
            <c:ext xmlns:c16="http://schemas.microsoft.com/office/drawing/2014/chart" uri="{C3380CC4-5D6E-409C-BE32-E72D297353CC}">
              <c16:uniqueId val="{00000008-965C-4335-A624-ADFB340D65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Какие, на ваш взгляд, преимущества могут дать стохастико-игровые упражнения в обучении? (можно выбрать несколько вариантов)</c:v>
                </c:pt>
              </c:strCache>
            </c:strRef>
          </c:tx>
          <c:spPr>
            <a:solidFill>
              <a:schemeClr val="accent1"/>
            </a:solidFill>
            <a:ln>
              <a:noFill/>
            </a:ln>
            <a:effectLst/>
          </c:spPr>
          <c:invertIfNegative val="0"/>
          <c:cat>
            <c:strRef>
              <c:f>Лист1!$A$2:$A$7</c:f>
              <c:strCache>
                <c:ptCount val="6"/>
                <c:pt idx="0">
                  <c:v>Повышение мотивации учащихся</c:v>
                </c:pt>
                <c:pt idx="1">
                  <c:v>Улучшение понимания теоретического материала</c:v>
                </c:pt>
                <c:pt idx="2">
                  <c:v>Развитие навыков принятия решений в условиях неопределенности</c:v>
                </c:pt>
                <c:pt idx="3">
                  <c:v>Формирование аналитического и критического мышления</c:v>
                </c:pt>
                <c:pt idx="4">
                  <c:v>Развитие командной работы и коммуникации</c:v>
                </c:pt>
                <c:pt idx="5">
                  <c:v>Не вижу преимуществ</c:v>
                </c:pt>
              </c:strCache>
            </c:strRef>
          </c:cat>
          <c:val>
            <c:numRef>
              <c:f>Лист1!$B$2:$B$7</c:f>
              <c:numCache>
                <c:formatCode>General</c:formatCode>
                <c:ptCount val="6"/>
                <c:pt idx="0">
                  <c:v>83</c:v>
                </c:pt>
                <c:pt idx="1">
                  <c:v>43</c:v>
                </c:pt>
                <c:pt idx="2">
                  <c:v>48</c:v>
                </c:pt>
                <c:pt idx="3">
                  <c:v>92</c:v>
                </c:pt>
                <c:pt idx="4">
                  <c:v>75</c:v>
                </c:pt>
                <c:pt idx="5">
                  <c:v>0</c:v>
                </c:pt>
              </c:numCache>
            </c:numRef>
          </c:val>
          <c:extLst xmlns:c16r2="http://schemas.microsoft.com/office/drawing/2015/06/chart">
            <c:ext xmlns:c16="http://schemas.microsoft.com/office/drawing/2014/chart" uri="{C3380CC4-5D6E-409C-BE32-E72D297353CC}">
              <c16:uniqueId val="{00000000-5842-4024-84BD-D846CC96D0C6}"/>
            </c:ext>
          </c:extLst>
        </c:ser>
        <c:dLbls>
          <c:showLegendKey val="0"/>
          <c:showVal val="0"/>
          <c:showCatName val="0"/>
          <c:showSerName val="0"/>
          <c:showPercent val="0"/>
          <c:showBubbleSize val="0"/>
        </c:dLbls>
        <c:gapWidth val="219"/>
        <c:overlap val="-27"/>
        <c:axId val="78875264"/>
        <c:axId val="78877056"/>
      </c:barChart>
      <c:catAx>
        <c:axId val="788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77056"/>
        <c:crosses val="autoZero"/>
        <c:auto val="1"/>
        <c:lblAlgn val="ctr"/>
        <c:lblOffset val="100"/>
        <c:noMultiLvlLbl val="0"/>
      </c:catAx>
      <c:valAx>
        <c:axId val="7887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7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 какими трудностями, по вашему мнению, можно столкнуться при внедрении стохастико-игровых упражнений? (можно выбрать несколько вариантов)</c:v>
                </c:pt>
              </c:strCache>
            </c:strRef>
          </c:tx>
          <c:spPr>
            <a:solidFill>
              <a:schemeClr val="accent1"/>
            </a:solidFill>
            <a:ln>
              <a:noFill/>
            </a:ln>
            <a:effectLst/>
          </c:spPr>
          <c:invertIfNegative val="0"/>
          <c:cat>
            <c:strRef>
              <c:f>Лист1!$A$2:$A$7</c:f>
              <c:strCache>
                <c:ptCount val="6"/>
                <c:pt idx="0">
                  <c:v>Недостаток времени в учебном плане</c:v>
                </c:pt>
                <c:pt idx="1">
                  <c:v>Сложность подготовки таких заданий</c:v>
                </c:pt>
                <c:pt idx="2">
                  <c:v>Недостаток методических материалов</c:v>
                </c:pt>
                <c:pt idx="3">
                  <c:v>Низкая подготовленность учащихся к такому формату</c:v>
                </c:pt>
                <c:pt idx="4">
                  <c:v>Отсутствие опыта у преподавателей</c:v>
                </c:pt>
                <c:pt idx="5">
                  <c:v>Не вижу трудностей</c:v>
                </c:pt>
              </c:strCache>
            </c:strRef>
          </c:cat>
          <c:val>
            <c:numRef>
              <c:f>Лист1!$B$2:$B$7</c:f>
              <c:numCache>
                <c:formatCode>General</c:formatCode>
                <c:ptCount val="6"/>
                <c:pt idx="0">
                  <c:v>50</c:v>
                </c:pt>
                <c:pt idx="1">
                  <c:v>85</c:v>
                </c:pt>
                <c:pt idx="2">
                  <c:v>88</c:v>
                </c:pt>
                <c:pt idx="3">
                  <c:v>88</c:v>
                </c:pt>
                <c:pt idx="4">
                  <c:v>75</c:v>
                </c:pt>
                <c:pt idx="5">
                  <c:v>3</c:v>
                </c:pt>
              </c:numCache>
            </c:numRef>
          </c:val>
          <c:extLst xmlns:c16r2="http://schemas.microsoft.com/office/drawing/2015/06/chart">
            <c:ext xmlns:c16="http://schemas.microsoft.com/office/drawing/2014/chart" uri="{C3380CC4-5D6E-409C-BE32-E72D297353CC}">
              <c16:uniqueId val="{00000000-0E53-4569-8F1C-B43C80B251AA}"/>
            </c:ext>
          </c:extLst>
        </c:ser>
        <c:dLbls>
          <c:showLegendKey val="0"/>
          <c:showVal val="0"/>
          <c:showCatName val="0"/>
          <c:showSerName val="0"/>
          <c:showPercent val="0"/>
          <c:showBubbleSize val="0"/>
        </c:dLbls>
        <c:gapWidth val="219"/>
        <c:overlap val="-27"/>
        <c:axId val="78897920"/>
        <c:axId val="78899456"/>
      </c:barChart>
      <c:catAx>
        <c:axId val="788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99456"/>
        <c:crosses val="autoZero"/>
        <c:auto val="1"/>
        <c:lblAlgn val="ctr"/>
        <c:lblOffset val="100"/>
        <c:noMultiLvlLbl val="0"/>
      </c:catAx>
      <c:valAx>
        <c:axId val="7889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Какие методы, на ваш взгляд, наиболее эффективны для формирования профессиональной направленности учащихся? (можно выбрать несколько вариантов)</c:v>
                </c:pt>
              </c:strCache>
            </c:strRef>
          </c:tx>
          <c:spPr>
            <a:solidFill>
              <a:schemeClr val="accent1"/>
            </a:solidFill>
            <a:ln>
              <a:noFill/>
            </a:ln>
            <a:effectLst/>
          </c:spPr>
          <c:invertIfNegative val="0"/>
          <c:cat>
            <c:strRef>
              <c:f>Лист1!$A$2:$A$7</c:f>
              <c:strCache>
                <c:ptCount val="6"/>
                <c:pt idx="0">
                  <c:v>Лекции и семинары с акцентом на профессиональные аспекты</c:v>
                </c:pt>
                <c:pt idx="1">
                  <c:v>Решение практических задач, связанных с будущей профессией</c:v>
                </c:pt>
                <c:pt idx="2">
                  <c:v>Проектная и исследовательская деятельность</c:v>
                </c:pt>
                <c:pt idx="3">
                  <c:v>Моделирование профессиональных ситуаций через игровые упражнения</c:v>
                </c:pt>
                <c:pt idx="4">
                  <c:v>Практика и стажировки</c:v>
                </c:pt>
                <c:pt idx="5">
                  <c:v>Другое (укажите)</c:v>
                </c:pt>
              </c:strCache>
            </c:strRef>
          </c:cat>
          <c:val>
            <c:numRef>
              <c:f>Лист1!$B$2:$B$7</c:f>
              <c:numCache>
                <c:formatCode>General</c:formatCode>
                <c:ptCount val="6"/>
                <c:pt idx="0">
                  <c:v>73</c:v>
                </c:pt>
                <c:pt idx="1">
                  <c:v>97</c:v>
                </c:pt>
                <c:pt idx="2">
                  <c:v>82</c:v>
                </c:pt>
                <c:pt idx="3">
                  <c:v>77</c:v>
                </c:pt>
                <c:pt idx="4">
                  <c:v>55</c:v>
                </c:pt>
                <c:pt idx="5">
                  <c:v>0</c:v>
                </c:pt>
              </c:numCache>
            </c:numRef>
          </c:val>
          <c:extLst xmlns:c16r2="http://schemas.microsoft.com/office/drawing/2015/06/chart">
            <c:ext xmlns:c16="http://schemas.microsoft.com/office/drawing/2014/chart" uri="{C3380CC4-5D6E-409C-BE32-E72D297353CC}">
              <c16:uniqueId val="{00000000-743E-430C-97E9-19CEA5F6AE77}"/>
            </c:ext>
          </c:extLst>
        </c:ser>
        <c:dLbls>
          <c:showLegendKey val="0"/>
          <c:showVal val="0"/>
          <c:showCatName val="0"/>
          <c:showSerName val="0"/>
          <c:showPercent val="0"/>
          <c:showBubbleSize val="0"/>
        </c:dLbls>
        <c:gapWidth val="219"/>
        <c:overlap val="-27"/>
        <c:axId val="72608384"/>
        <c:axId val="72610176"/>
      </c:barChart>
      <c:catAx>
        <c:axId val="726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10176"/>
        <c:crosses val="autoZero"/>
        <c:auto val="1"/>
        <c:lblAlgn val="ctr"/>
        <c:lblOffset val="100"/>
        <c:noMultiLvlLbl val="0"/>
      </c:catAx>
      <c:valAx>
        <c:axId val="7261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0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Готовы ли вы внедрять стохастико-игровые упражнения в свою практику, если получите методические рекомендации и поддержку?</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838-416F-8BD0-7F07E82F235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838-416F-8BD0-7F07E82F235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838-416F-8BD0-7F07E82F235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838-416F-8BD0-7F07E82F235C}"/>
              </c:ext>
            </c:extLst>
          </c:dPt>
          <c:cat>
            <c:strRef>
              <c:f>Лист1!$A$2:$A$5</c:f>
              <c:strCache>
                <c:ptCount val="4"/>
                <c:pt idx="0">
                  <c:v>Да, обязательно</c:v>
                </c:pt>
                <c:pt idx="1">
                  <c:v>Скорее да, но нужна дополнительная подготовка</c:v>
                </c:pt>
                <c:pt idx="2">
                  <c:v>Скорее нет, сомневаюсь в их эффективности</c:v>
                </c:pt>
                <c:pt idx="3">
                  <c:v>Нет, считаю этот метод нецелесообразным</c:v>
                </c:pt>
              </c:strCache>
            </c:strRef>
          </c:cat>
          <c:val>
            <c:numRef>
              <c:f>Лист1!$B$2:$B$5</c:f>
              <c:numCache>
                <c:formatCode>General</c:formatCode>
                <c:ptCount val="4"/>
                <c:pt idx="0">
                  <c:v>88</c:v>
                </c:pt>
                <c:pt idx="1">
                  <c:v>22</c:v>
                </c:pt>
                <c:pt idx="2">
                  <c:v>0</c:v>
                </c:pt>
                <c:pt idx="3">
                  <c:v>0</c:v>
                </c:pt>
              </c:numCache>
            </c:numRef>
          </c:val>
          <c:extLst xmlns:c16r2="http://schemas.microsoft.com/office/drawing/2015/06/chart">
            <c:ext xmlns:c16="http://schemas.microsoft.com/office/drawing/2014/chart" uri="{C3380CC4-5D6E-409C-BE32-E72D297353CC}">
              <c16:uniqueId val="{00000008-A838-416F-8BD0-7F07E82F23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a:effectLst/>
              </a:rPr>
              <a:t>Результаты тестирования</a:t>
            </a:r>
            <a:endParaRPr lang="ru-RU" sz="1800" b="1">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Учителя</c:v>
                </c:pt>
              </c:strCache>
            </c:strRef>
          </c:tx>
          <c:spPr>
            <a:solidFill>
              <a:schemeClr val="accent1"/>
            </a:solidFill>
            <a:ln>
              <a:noFill/>
            </a:ln>
            <a:effectLst/>
          </c:spPr>
          <c:invertIfNegative val="0"/>
          <c:cat>
            <c:strRef>
              <c:f>Лист1!$A$2</c:f>
              <c:strCache>
                <c:ptCount val="1"/>
                <c:pt idx="0">
                  <c:v>Результаты тестирования</c:v>
                </c:pt>
              </c:strCache>
            </c:strRef>
          </c:cat>
          <c:val>
            <c:numRef>
              <c:f>Лист1!$B$2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0-1F89-499A-A4EF-72A5791D1986}"/>
            </c:ext>
          </c:extLst>
        </c:ser>
        <c:ser>
          <c:idx val="1"/>
          <c:order val="1"/>
          <c:tx>
            <c:strRef>
              <c:f>Лист1!$C$1</c:f>
              <c:strCache>
                <c:ptCount val="1"/>
                <c:pt idx="0">
                  <c:v>Педагоги доп. образования</c:v>
                </c:pt>
              </c:strCache>
            </c:strRef>
          </c:tx>
          <c:spPr>
            <a:solidFill>
              <a:schemeClr val="accent2"/>
            </a:solidFill>
            <a:ln>
              <a:noFill/>
            </a:ln>
            <a:effectLst/>
          </c:spPr>
          <c:invertIfNegative val="0"/>
          <c:cat>
            <c:strRef>
              <c:f>Лист1!$A$2</c:f>
              <c:strCache>
                <c:ptCount val="1"/>
                <c:pt idx="0">
                  <c:v>Результаты тестирования</c:v>
                </c:pt>
              </c:strCache>
            </c:strRef>
          </c:cat>
          <c:val>
            <c:numRef>
              <c:f>Лист1!$C$2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1-1F89-499A-A4EF-72A5791D1986}"/>
            </c:ext>
          </c:extLst>
        </c:ser>
        <c:ser>
          <c:idx val="2"/>
          <c:order val="2"/>
          <c:tx>
            <c:strRef>
              <c:f>Лист1!$D$1</c:f>
              <c:strCache>
                <c:ptCount val="1"/>
                <c:pt idx="0">
                  <c:v>Магистранты</c:v>
                </c:pt>
              </c:strCache>
            </c:strRef>
          </c:tx>
          <c:spPr>
            <a:solidFill>
              <a:schemeClr val="accent3"/>
            </a:solidFill>
            <a:ln>
              <a:noFill/>
            </a:ln>
            <a:effectLst/>
          </c:spPr>
          <c:invertIfNegative val="0"/>
          <c:cat>
            <c:strRef>
              <c:f>Лист1!$A$2</c:f>
              <c:strCache>
                <c:ptCount val="1"/>
                <c:pt idx="0">
                  <c:v>Результаты тестирования</c:v>
                </c:pt>
              </c:strCache>
            </c:strRef>
          </c:cat>
          <c:val>
            <c:numRef>
              <c:f>Лист1!$D$2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2-1F89-499A-A4EF-72A5791D1986}"/>
            </c:ext>
          </c:extLst>
        </c:ser>
        <c:ser>
          <c:idx val="3"/>
          <c:order val="3"/>
          <c:tx>
            <c:strRef>
              <c:f>Лист1!$E$1</c:f>
              <c:strCache>
                <c:ptCount val="1"/>
                <c:pt idx="0">
                  <c:v>Докторанты</c:v>
                </c:pt>
              </c:strCache>
            </c:strRef>
          </c:tx>
          <c:spPr>
            <a:solidFill>
              <a:schemeClr val="accent4"/>
            </a:solidFill>
            <a:ln>
              <a:noFill/>
            </a:ln>
            <a:effectLst/>
          </c:spPr>
          <c:invertIfNegative val="0"/>
          <c:cat>
            <c:strRef>
              <c:f>Лист1!$A$2</c:f>
              <c:strCache>
                <c:ptCount val="1"/>
                <c:pt idx="0">
                  <c:v>Результаты тестирования</c:v>
                </c:pt>
              </c:strCache>
            </c:strRef>
          </c:cat>
          <c:val>
            <c:numRef>
              <c:f>Лист1!$E$2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3-1F89-499A-A4EF-72A5791D1986}"/>
            </c:ext>
          </c:extLst>
        </c:ser>
        <c:dLbls>
          <c:showLegendKey val="0"/>
          <c:showVal val="0"/>
          <c:showCatName val="0"/>
          <c:showSerName val="0"/>
          <c:showPercent val="0"/>
          <c:showBubbleSize val="0"/>
        </c:dLbls>
        <c:gapWidth val="219"/>
        <c:overlap val="-27"/>
        <c:axId val="139024640"/>
        <c:axId val="139030528"/>
      </c:barChart>
      <c:catAx>
        <c:axId val="1390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030528"/>
        <c:crosses val="autoZero"/>
        <c:auto val="1"/>
        <c:lblAlgn val="ctr"/>
        <c:lblOffset val="100"/>
        <c:noMultiLvlLbl val="0"/>
      </c:catAx>
      <c:valAx>
        <c:axId val="1390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02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Студенты ЖУ</c:v>
                </c:pt>
              </c:strCache>
            </c:strRef>
          </c:tx>
          <c:spPr>
            <a:solidFill>
              <a:schemeClr val="accent1"/>
            </a:solidFill>
            <a:ln>
              <a:noFill/>
            </a:ln>
            <a:effectLst/>
          </c:spPr>
          <c:invertIfNegative val="0"/>
          <c:cat>
            <c:strRef>
              <c:f>Лист1!$A$2</c:f>
              <c:strCache>
                <c:ptCount val="1"/>
                <c:pt idx="0">
                  <c:v>Результаты контрольной работы</c:v>
                </c:pt>
              </c:strCache>
            </c:strRef>
          </c:cat>
          <c:val>
            <c:numRef>
              <c:f>Лист1!$B$2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0-A4D1-481A-8A23-2044864F2F3C}"/>
            </c:ext>
          </c:extLst>
        </c:ser>
        <c:ser>
          <c:idx val="1"/>
          <c:order val="1"/>
          <c:tx>
            <c:strRef>
              <c:f>Лист1!$C$1</c:f>
              <c:strCache>
                <c:ptCount val="1"/>
                <c:pt idx="0">
                  <c:v>Студенты КазНацЖПУ</c:v>
                </c:pt>
              </c:strCache>
            </c:strRef>
          </c:tx>
          <c:spPr>
            <a:solidFill>
              <a:schemeClr val="accent2"/>
            </a:solidFill>
            <a:ln>
              <a:noFill/>
            </a:ln>
            <a:effectLst/>
          </c:spPr>
          <c:invertIfNegative val="0"/>
          <c:cat>
            <c:strRef>
              <c:f>Лист1!$A$2</c:f>
              <c:strCache>
                <c:ptCount val="1"/>
                <c:pt idx="0">
                  <c:v>Результаты контрольной работы</c:v>
                </c:pt>
              </c:strCache>
            </c:strRef>
          </c:cat>
          <c:val>
            <c:numRef>
              <c:f>Лист1!$C$2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1-A4D1-481A-8A23-2044864F2F3C}"/>
            </c:ext>
          </c:extLst>
        </c:ser>
        <c:ser>
          <c:idx val="2"/>
          <c:order val="2"/>
          <c:tx>
            <c:strRef>
              <c:f>Лист1!$D$1</c:f>
              <c:strCache>
                <c:ptCount val="1"/>
                <c:pt idx="0">
                  <c:v>Ученики школы</c:v>
                </c:pt>
              </c:strCache>
            </c:strRef>
          </c:tx>
          <c:spPr>
            <a:solidFill>
              <a:schemeClr val="accent3"/>
            </a:solidFill>
            <a:ln>
              <a:noFill/>
            </a:ln>
            <a:effectLst/>
          </c:spPr>
          <c:invertIfNegative val="0"/>
          <c:cat>
            <c:strRef>
              <c:f>Лист1!$A$2</c:f>
              <c:strCache>
                <c:ptCount val="1"/>
                <c:pt idx="0">
                  <c:v>Результаты контрольной работы</c:v>
                </c:pt>
              </c:strCache>
            </c:strRef>
          </c:cat>
          <c:val>
            <c:numRef>
              <c:f>Лист1!$D$2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2-A4D1-481A-8A23-2044864F2F3C}"/>
            </c:ext>
          </c:extLst>
        </c:ser>
        <c:ser>
          <c:idx val="3"/>
          <c:order val="3"/>
          <c:tx>
            <c:strRef>
              <c:f>Лист1!$E$1</c:f>
              <c:strCache>
                <c:ptCount val="1"/>
                <c:pt idx="0">
                  <c:v>Учащиеся кружков</c:v>
                </c:pt>
              </c:strCache>
            </c:strRef>
          </c:tx>
          <c:spPr>
            <a:solidFill>
              <a:schemeClr val="accent4"/>
            </a:solidFill>
            <a:ln>
              <a:noFill/>
            </a:ln>
            <a:effectLst/>
          </c:spPr>
          <c:invertIfNegative val="0"/>
          <c:cat>
            <c:strRef>
              <c:f>Лист1!$A$2</c:f>
              <c:strCache>
                <c:ptCount val="1"/>
                <c:pt idx="0">
                  <c:v>Результаты контрольной работы</c:v>
                </c:pt>
              </c:strCache>
            </c:strRef>
          </c:cat>
          <c:val>
            <c:numRef>
              <c:f>Лист1!$E$2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3-A4D1-481A-8A23-2044864F2F3C}"/>
            </c:ext>
          </c:extLst>
        </c:ser>
        <c:dLbls>
          <c:showLegendKey val="0"/>
          <c:showVal val="0"/>
          <c:showCatName val="0"/>
          <c:showSerName val="0"/>
          <c:showPercent val="0"/>
          <c:showBubbleSize val="0"/>
        </c:dLbls>
        <c:gapWidth val="219"/>
        <c:overlap val="-27"/>
        <c:axId val="139055488"/>
        <c:axId val="139057024"/>
      </c:barChart>
      <c:catAx>
        <c:axId val="1390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057024"/>
        <c:crosses val="autoZero"/>
        <c:auto val="1"/>
        <c:lblAlgn val="ctr"/>
        <c:lblOffset val="100"/>
        <c:noMultiLvlLbl val="0"/>
      </c:catAx>
      <c:valAx>
        <c:axId val="13905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05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935</TotalTime>
  <Pages>1</Pages>
  <Words>47258</Words>
  <Characters>269376</Characters>
  <Application>Microsoft Office Word</Application>
  <DocSecurity>0</DocSecurity>
  <Lines>2244</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1111</cp:lastModifiedBy>
  <cp:revision>35</cp:revision>
  <dcterms:created xsi:type="dcterms:W3CDTF">2025-03-02T14:41:00Z</dcterms:created>
  <dcterms:modified xsi:type="dcterms:W3CDTF">2025-03-20T08:35:00Z</dcterms:modified>
</cp:coreProperties>
</file>